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8255759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separatora iegāde</w:t>
      </w:r>
    </w:p>
    <w:p w14:paraId="3B94C0D5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54B67A81" w14:textId="77777777" w:rsidR="00205AF6" w:rsidRPr="00B22DDC" w:rsidRDefault="00205AF6" w:rsidP="00205AF6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77867982" w14:textId="77777777" w:rsidR="00205AF6" w:rsidRPr="00B22DDC" w:rsidRDefault="00205AF6" w:rsidP="00205AF6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 xml:space="preserve">/Pasūtītāja </w:t>
      </w:r>
      <w:r w:rsidRPr="00B22DDC">
        <w:rPr>
          <w:rFonts w:cstheme="minorHAnsi"/>
          <w:i/>
          <w:spacing w:val="-2"/>
          <w:sz w:val="20"/>
          <w:szCs w:val="20"/>
        </w:rPr>
        <w:t>nosaukums/</w:t>
      </w:r>
    </w:p>
    <w:p w14:paraId="7CF05779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2B58C8DA" w14:textId="77777777" w:rsidR="00205AF6" w:rsidRPr="00B22DDC" w:rsidRDefault="00205AF6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81E0B78" w14:textId="77777777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                                                                 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205AF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12807"/>
    <w:rsid w:val="00205AF6"/>
    <w:rsid w:val="003349AA"/>
    <w:rsid w:val="00365E3A"/>
    <w:rsid w:val="00373839"/>
    <w:rsid w:val="003E0C06"/>
    <w:rsid w:val="004F479B"/>
    <w:rsid w:val="006439AC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2025-09-19T11:59:00Z</dcterms:modified>
</cp:coreProperties>
</file>