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APSTIPRIN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SIA "4 LIFE"</w:t>
      </w:r>
    </w:p>
    <w:p>
      <w:pPr>
        <w:pStyle w:val="Body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ris Dreimanis</w:t>
      </w:r>
    </w:p>
    <w:p>
      <w:pPr>
        <w:pStyle w:val="Body"/>
        <w:jc w:val="right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Valdes loceklis</w:t>
      </w:r>
    </w:p>
    <w:p>
      <w:pPr>
        <w:pStyle w:val="Body"/>
        <w:jc w:val="right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ras</w:t>
      </w:r>
    </w:p>
    <w:p>
      <w:pPr>
        <w:pStyle w:val="Body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Klientu attiec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vad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bas sist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ar 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funkcij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8"/>
          <w:szCs w:val="2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32"/>
          <w:szCs w:val="3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2025. gads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2"/>
        </w:numPr>
        <w:bidi w:val="0"/>
        <w:ind w:right="0"/>
        <w:jc w:val="both"/>
        <w:rPr>
          <w:b w:val="1"/>
          <w:bCs w:val="1"/>
          <w:rtl w:val="0"/>
          <w:lang w:val="de-D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 par pas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ju:</w:t>
      </w:r>
    </w:p>
    <w:p>
      <w:pPr>
        <w:pStyle w:val="Body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1.1. Pas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>SIA "4 LIFE"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Jasm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nu iela 6, Carnikava, Carnikavas pag.,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nov., LV-2163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numurs: 40003615501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1.2. Pas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ja kontaktpersona 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Liene Meldere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Projekta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liene@meldere.lv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keepNext w:val="1"/>
        <w:numPr>
          <w:ilvl w:val="0"/>
          <w:numId w:val="5"/>
        </w:numPr>
        <w:bidi w:val="0"/>
        <w:ind w:right="0"/>
        <w:jc w:val="both"/>
        <w:rPr>
          <w:b w:val="1"/>
          <w:bCs w:val="1"/>
          <w:sz w:val="22"/>
          <w:szCs w:val="22"/>
          <w:rtl w:val="0"/>
          <w:lang w:val="de-D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Inform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 par iepirkuma priek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metu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nosaukums: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Klientu attiec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bas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ar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funkcij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mo" w:cs="Arimo" w:hAnsi="Arimo" w:eastAsia="Arim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</w:p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tiek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kots saska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ar Ministru kabineta 28.02.2017. noteikumiem Nr.104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„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Noteikumi par iepirkuma proced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ru un 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s piem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finans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tiem projektiem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ody"/>
        <w:numPr>
          <w:ilvl w:val="2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Projekts tiks finans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ar Latvijas Invest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ciju un att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bas 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ras atbalsta programmu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Atbalsts procesu digitaliz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cijai un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jumiem.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priek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meta detaliz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 raksturojums jeb tehnisk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bas apkopotas un pievienotas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nolikuma 2.pielikum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paredzem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guma cena ir 250 000 eiro bez PVN.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2029. gada 31. maijs.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guma izpildes termi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i: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24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guma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Digitaliz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procesu un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risin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atbalsta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parakst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anas.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juma iesnieg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anas termi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Pretendents iesniedz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dz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2025.gada 2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7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.oktobrim.</w:t>
      </w:r>
    </w:p>
    <w:p>
      <w:pPr>
        <w:pStyle w:val="Body"/>
        <w:ind w:left="72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iesnieg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anas vieta un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ba: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iesniedz elektronisk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veid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tot uz e-pasta adresi: </w:t>
      </w:r>
      <w:r>
        <w:rPr>
          <w:caps w:val="0"/>
          <w:smallCaps w:val="0"/>
          <w:strike w:val="0"/>
          <w:dstrike w:val="0"/>
          <w:outline w:val="0"/>
          <w:color w:val="0433ff"/>
          <w:sz w:val="22"/>
          <w:szCs w:val="22"/>
          <w:u w:val="single" w:color="0433ff"/>
          <w:shd w:val="nil" w:color="auto" w:fill="auto"/>
          <w:vertAlign w:val="baseline"/>
          <w:rtl w:val="0"/>
          <w14:textFill>
            <w14:solidFill>
              <w14:srgbClr w14:val="0433FF"/>
            </w14:solidFill>
          </w14:textFill>
        </w:rPr>
        <w:t>agija@vissbiznesam.lv</w:t>
      </w:r>
    </w:p>
    <w:p>
      <w:pPr>
        <w:pStyle w:val="Body"/>
        <w:numPr>
          <w:ilvl w:val="1"/>
          <w:numId w:val="7"/>
        </w:numPr>
        <w:bidi w:val="0"/>
        <w:ind w:right="0"/>
        <w:jc w:val="both"/>
        <w:rPr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Pretendents sagatavo pied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datorrakst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latvie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 valod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 iesniedz elektronisk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veid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parakst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ar elektronisko parakstu. Ja Pretendents iesniedz dokumentus sve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valod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, tiem j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pievieno parakstties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vai pilnvarot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personas (pievienojot pilnvaru vai 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kopiju) apliecin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 tulkojums latvie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u valod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9"/>
        </w:numPr>
        <w:bidi w:val="0"/>
        <w:ind w:right="0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Pretendents ir ties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gs iesniegt tikai vienu pieteikuma un pied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juma variantu par visu iepirkuma priek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metu kop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9"/>
        </w:numPr>
        <w:bidi w:val="0"/>
        <w:ind w:right="0"/>
        <w:jc w:val="both"/>
        <w:rPr>
          <w:rtl w:val="0"/>
          <w:lang w:val="de-DE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Finan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jums: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Pretendentam ir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iesniedz finan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 saska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ar Nolikuma pielikuma </w:t>
      </w:r>
      <w:r>
        <w:rPr>
          <w:rFonts w:ascii="Arimo" w:cs="Arimo" w:hAnsi="Arimo" w:eastAsia="Arim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Finan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noteikto finan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juma formu (1.pielikums).</w:t>
      </w:r>
    </w:p>
    <w:p>
      <w:pPr>
        <w:pStyle w:val="Body"/>
        <w:tabs>
          <w:tab w:val="left" w:pos="900"/>
          <w:tab w:val="left" w:pos="990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10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numPr>
          <w:ilvl w:val="1"/>
          <w:numId w:val="4"/>
        </w:numPr>
        <w:bidi w:val="0"/>
        <w:ind w:right="0"/>
        <w:jc w:val="both"/>
        <w:rPr>
          <w:b w:val="1"/>
          <w:bCs w:val="1"/>
          <w:sz w:val="22"/>
          <w:szCs w:val="22"/>
          <w:rtl w:val="0"/>
          <w:lang w:val="en-US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Pretendents nodro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 tehnisko pras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izpildi atbilsto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šī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Nolikuma Pielikuma Nr. 2. </w:t>
      </w:r>
      <w:r>
        <w:rPr>
          <w:rFonts w:ascii="Arimo" w:cs="Arimo" w:hAnsi="Arimo" w:eastAsia="Arimo" w:hint="default"/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pras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jums j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iesniedz par visu Tehniskaj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noteikto iepirkumu.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pacing w:before="75" w:after="75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</w:rPr>
        <w:t xml:space="preserve">4.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Citas Pretendentam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bas:</w:t>
      </w:r>
    </w:p>
    <w:p>
      <w:pPr>
        <w:pStyle w:val="Body"/>
        <w:ind w:left="720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4.1.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Pieredze un kompetences:</w:t>
      </w:r>
    </w:p>
    <w:tbl>
      <w:tblPr>
        <w:tblW w:w="9044" w:type="dxa"/>
        <w:jc w:val="left"/>
        <w:tblInd w:w="8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14"/>
        <w:gridCol w:w="4330"/>
      </w:tblGrid>
      <w:tr>
        <w:tblPrEx>
          <w:shd w:val="clear" w:color="auto" w:fill="cadfff"/>
        </w:tblPrEx>
        <w:trPr>
          <w:trHeight w:val="48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1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bas PRETENDENTAM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1f1f1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1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Iesniedzamie dokumenti:</w:t>
            </w:r>
          </w:p>
        </w:tc>
      </w:tr>
      <w:tr>
        <w:tblPrEx>
          <w:shd w:val="clear" w:color="auto" w:fill="cadfff"/>
        </w:tblPrEx>
        <w:trPr>
          <w:trHeight w:val="176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 Pretendentam iepriek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jo 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gadu laik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gad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(l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anai) ir pieredze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mu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un pilnveido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kur: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a7a7a7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Pretendents iesniedz apliecin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tu pieredzes aprakstu. Par katru realiz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to projektu 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pievieno klienta parakst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tu atsauksmi vai citus 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guma izpildi apliecino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us dokumentus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piem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ram, 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gumu un darbu nodo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-pie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aktu kopijas, kas pier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da izvirz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to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 izpildi.</w:t>
            </w:r>
          </w:p>
        </w:tc>
      </w:tr>
      <w:tr>
        <w:tblPrEx>
          <w:shd w:val="clear" w:color="auto" w:fill="cadfff"/>
        </w:tblPrEx>
        <w:trPr>
          <w:trHeight w:val="862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4.1.1.1. Vismaz vienas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des un/vai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papildin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kop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summa nav maz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ka par 125000 EUR bez PVN</w:t>
            </w:r>
          </w:p>
        </w:tc>
        <w:tc>
          <w:tcPr>
            <w:tcW w:type="dxa" w:w="4330"/>
            <w:tcBorders>
              <w:top w:val="single" w:color="a7a7a7" w:sz="4" w:space="0" w:shadow="0" w:frame="0"/>
              <w:left w:val="single" w:color="a7a7a7" w:sz="4" w:space="0" w:shadow="0" w:frame="0"/>
              <w:bottom w:val="single" w:color="a7a7a7" w:sz="8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209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4.1.1.2.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ir pieejama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WEB risin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jums,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ir 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šķ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gs saturs sal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ar mobilo aplik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ciju;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Mobil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aplik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 ir public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ta App Store un Google Play veikalos;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kop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jais 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 skaits (WEB + mobil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aplik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cija) un/vai mobilo 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lejupiel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āž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skaits ir bijis vismaz 50 000.</w:t>
            </w:r>
          </w:p>
        </w:tc>
        <w:tc>
          <w:tcPr>
            <w:tcW w:type="dxa" w:w="4330"/>
            <w:tcBorders>
              <w:top w:val="single" w:color="a7a7a7" w:sz="8" w:space="0" w:shadow="0" w:frame="0"/>
              <w:left w:val="single" w:color="a7a7a7" w:sz="4" w:space="0" w:shadow="0" w:frame="0"/>
              <w:bottom w:val="single" w:color="a7a7a7" w:sz="8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209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4.1.1.3. 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darbojas konteineriz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vid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ar automatiz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tu izv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anu (CI/CD), 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rogojam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 un uztur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elast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bu, piem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ram, Docker vai 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ga konteineru tehnolo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ī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datu glab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anai izmanto datub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zi PostgreSQL vai 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gu, kura 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ina uzticamu un efekt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vu darbu augstas veiktsp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jas un 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rogojam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bas apst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os.</w:t>
            </w:r>
          </w:p>
        </w:tc>
        <w:tc>
          <w:tcPr>
            <w:tcW w:type="dxa" w:w="4330"/>
            <w:tcBorders>
              <w:top w:val="single" w:color="a7a7a7" w:sz="8" w:space="0" w:shadow="0" w:frame="0"/>
              <w:left w:val="single" w:color="a7a7a7" w:sz="4" w:space="0" w:shadow="0" w:frame="0"/>
              <w:bottom w:val="single" w:color="a7a7a7" w:sz="8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1366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4.1.1.4.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des ietvaros tika veikta UI, UX, Android, iOS,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ī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WEB risin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specifik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 un lietojam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bas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ana,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ī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veikta 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mek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 servisu pl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ana, piem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ram, REST API, CI/CD u.c.</w:t>
            </w:r>
          </w:p>
        </w:tc>
        <w:tc>
          <w:tcPr>
            <w:tcW w:type="dxa" w:w="4330"/>
            <w:tcBorders>
              <w:top w:val="single" w:color="a7a7a7" w:sz="8" w:space="0" w:shadow="0" w:frame="0"/>
              <w:left w:val="single" w:color="a7a7a7" w:sz="4" w:space="0" w:shadow="0" w:frame="0"/>
              <w:bottom w:val="single" w:color="a7a7a7" w:sz="4" w:space="0" w:shadow="0" w:frame="0"/>
              <w:right w:val="single" w:color="a7a7a7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1163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4.1.1.5.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des ietvaros ir 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 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integr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m, kas 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ina datu apmai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ar 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šķ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m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datub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m.</w:t>
            </w:r>
          </w:p>
        </w:tc>
        <w:tc>
          <w:tcPr>
            <w:tcW w:type="dxa" w:w="4330"/>
            <w:tcBorders>
              <w:top w:val="single" w:color="a7a7a7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1738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4.1.1.6.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gan WEB, gan mobilaj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versij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ir 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 realiz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tam maks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modulim, kas 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ina 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tie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saistes apmaksas iesp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ju, izveidojot integr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cijas vismaz ar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diem maks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veidiem: maks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kart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un popul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ro banku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rskait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jumiem.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1281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4.1.1.7.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mai (gan WEB, gan mobilaj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versij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 ir realiz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ta iesp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 iesp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 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jiem 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ties da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žā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dus maksas pakalpojumus,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ī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ina 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to pakalpojumu uzglab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anu un statusa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rvald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  <w:tr>
        <w:tblPrEx>
          <w:shd w:val="clear" w:color="auto" w:fill="cadfff"/>
        </w:tblPrEx>
        <w:trPr>
          <w:trHeight w:val="988" w:hRule="atLeast"/>
        </w:trPr>
        <w:tc>
          <w:tcPr>
            <w:tcW w:type="dxa" w:w="47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4.1.1.8.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ir realiz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ta funkcionalit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te, kas 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ina iesp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 nos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 Push pazi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ojumus 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jiem mobilaj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aplik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(iOS un Android).</w:t>
            </w:r>
          </w:p>
        </w:tc>
        <w:tc>
          <w:tcPr>
            <w:tcW w:type="dxa" w:w="4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t 4.1.1. punktu </w:t>
            </w:r>
          </w:p>
        </w:tc>
      </w:tr>
    </w:tbl>
    <w:p>
      <w:pPr>
        <w:pStyle w:val="Body"/>
        <w:widowControl w:val="0"/>
        <w:ind w:left="720" w:firstLine="0"/>
        <w:rPr>
          <w:b w:val="1"/>
          <w:bCs w:val="1"/>
        </w:rPr>
      </w:pPr>
    </w:p>
    <w:p>
      <w:pPr>
        <w:pStyle w:val="Body"/>
        <w:widowControl w:val="0"/>
        <w:ind w:left="720" w:firstLine="0"/>
        <w:rPr>
          <w:b w:val="1"/>
          <w:bCs w:val="1"/>
        </w:rPr>
      </w:pPr>
      <w:r>
        <w:rPr>
          <w:b w:val="1"/>
          <w:bCs w:val="1"/>
          <w:rtl w:val="0"/>
        </w:rPr>
        <w:t xml:space="preserve">4.2.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Komanda -speci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listu lom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izvirz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bas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806"/>
        <w:gridCol w:w="4806"/>
      </w:tblGrid>
      <w:tr>
        <w:tblPrEx>
          <w:shd w:val="clear" w:color="auto" w:fill="cadfff"/>
        </w:tblPrEx>
        <w:trPr>
          <w:trHeight w:val="460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a7a7a7" w:sz="8" w:space="0" w:shadow="0" w:frame="0"/>
            </w:tcBorders>
            <w:shd w:val="clear" w:color="auto" w:fill="dddddd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1"/>
              <w:ind w:left="107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Pras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bas SPECI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LISTIEM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a7a7a7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dddddd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1"/>
              <w:ind w:left="108" w:firstLine="0"/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Iesniedzamie dokumenti:</w:t>
            </w:r>
          </w:p>
        </w:tc>
      </w:tr>
      <w:tr>
        <w:tblPrEx>
          <w:shd w:val="clear" w:color="auto" w:fill="cadfff"/>
        </w:tblPrEx>
        <w:trPr>
          <w:trHeight w:val="3317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88" w:lineRule="auto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4.2.1. Projekta vad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js,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š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atbilst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a) augst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izgl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 (vismaz bakalaura 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ds) projektu vad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bas specialit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tehnolo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s, 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enierzin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vai datorzin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s, vai augst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izgl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 un starptautiski atz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ts sertifik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ts projektu vad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(PMI PMP, PrinceII vai 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gs).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b)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jo 3 (tr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s) gadu laik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br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dim ir bijusi pieredze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projektu vad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jam vismaz 1 (vien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ieviesta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par summu vismaz EUR 125 000.00 bez PVN.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iesniedz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to speci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listu saraksts, nor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dot katra speci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lista atbilst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 Nolikuma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m. 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pievieno speci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lista dz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vesg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apraksts. Papildus 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pievieno speci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listu izgl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 un kvalifik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ciju apliecino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 dokumentu kopijas.</w:t>
            </w:r>
          </w:p>
        </w:tc>
      </w:tr>
      <w:tr>
        <w:tblPrEx>
          <w:shd w:val="clear" w:color="auto" w:fill="cadfff"/>
        </w:tblPrEx>
        <w:trPr>
          <w:trHeight w:val="2411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4.2.2.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manal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ķ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is,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š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atbilst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a) augst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izgl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tehnolo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iju vai 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enierzin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jom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vai datorzin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b)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jo 3 (tr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s) gadu laik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br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dim ir bijusi pieredze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manal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ķ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im vismaz 1 (vien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ieviesta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par summu vismaz EUR 125 000.00 bez PVN.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Skat. 4.2.1. punktu</w:t>
            </w:r>
          </w:p>
        </w:tc>
      </w:tr>
      <w:tr>
        <w:tblPrEx>
          <w:shd w:val="clear" w:color="auto" w:fill="cadfff"/>
        </w:tblPrEx>
        <w:trPr>
          <w:trHeight w:val="2651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4.2.3. Programm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ji (vismaz divi), kuri atbilst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a) augst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izgl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tehnolo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s, 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enierzin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vai datorzin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b)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jo 3 (tr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s) gadu laik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br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dim ir bijusi pieredze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programm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jam vismaz 1 (vien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ieviesta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par summu vismaz EUR 125 000.00 bez PVN.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Skat. 4.2.1. punktu</w:t>
            </w:r>
          </w:p>
        </w:tc>
      </w:tr>
      <w:tr>
        <w:tblPrEx>
          <w:shd w:val="clear" w:color="auto" w:fill="cadfff"/>
        </w:tblPrEx>
        <w:trPr>
          <w:trHeight w:val="1933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4.2.4. 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js,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š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atbilst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a)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jo 3 (tr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s) gadu laik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br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dim ir bijusi pieredze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jam vismaz 1 (vien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ieviesta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par summu vismaz EUR 125 000.00 bez PVN.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Skat. 4.2.1. punktu</w:t>
            </w:r>
          </w:p>
        </w:tc>
      </w:tr>
      <w:tr>
        <w:tblPrEx>
          <w:shd w:val="clear" w:color="auto" w:fill="cadfff"/>
        </w:tblPrEx>
        <w:trPr>
          <w:trHeight w:val="1931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4.2.4. Dizaineris ar padzi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zin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par lietojam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 un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š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atbilst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a)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jo 3 (tr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s) gadu laik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dz pied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juma iesnieg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br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dim ir bijusi pieredze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vismaz 1 (vien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)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, kur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ieviesta inform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par summu vismaz EUR 125 000.00 bez PVN.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Skat. 4.2.1. punktu</w:t>
            </w:r>
          </w:p>
        </w:tc>
      </w:tr>
      <w:tr>
        <w:tblPrEx>
          <w:shd w:val="clear" w:color="auto" w:fill="cadfff"/>
        </w:tblPrEx>
        <w:trPr>
          <w:trHeight w:val="1451" w:hRule="atLeast"/>
        </w:trPr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4.2.5. Katrs speci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lists var piedal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ties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ne vair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 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lom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s;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Programm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 loma (4.2.3.punkts) nevar tikt apvienota ar 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 lomu (4.2.4.punkts).</w:t>
            </w:r>
          </w:p>
        </w:tc>
        <w:tc>
          <w:tcPr>
            <w:tcW w:type="dxa" w:w="4806"/>
            <w:tcBorders>
              <w:top w:val="single" w:color="dddddd" w:sz="8" w:space="0" w:shadow="0" w:frame="0"/>
              <w:left w:val="single" w:color="dddddd" w:sz="8" w:space="0" w:shadow="0" w:frame="0"/>
              <w:bottom w:val="single" w:color="dddddd" w:sz="8" w:space="0" w:shadow="0" w:frame="0"/>
              <w:right w:val="single" w:color="dddddd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Skat. 4.2.1. punktu</w:t>
            </w:r>
          </w:p>
        </w:tc>
      </w:tr>
    </w:tbl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360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4.3.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Pretendents neiesniedz Nolikum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tos dokumentus vai iesniegtie dokumenti neatbilst Nolikuma pras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 un/vai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vajadz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m, 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iesniegtais pieteikums tiek noraid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 un netiek izskat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line="288" w:lineRule="auto"/>
        <w:ind w:right="282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numPr>
          <w:ilvl w:val="0"/>
          <w:numId w:val="13"/>
        </w:numPr>
        <w:bidi w:val="0"/>
        <w:ind w:right="0"/>
        <w:jc w:val="left"/>
        <w:rPr>
          <w:b w:val="1"/>
          <w:bCs w:val="1"/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 un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guma sl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numPr>
          <w:ilvl w:val="1"/>
          <w:numId w:val="1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 izv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las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ar viszem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 cenu no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jumiem, kuri atbilst vis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iepirkuma noteikumu pras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m.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jumi, kuri neatbilst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dai no iepirkuma noteikumu pras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tiek izsl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gti no 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bas iepirkum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15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izraudz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tais pretendents atsak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 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gt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gumu ar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ju,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js var pie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emt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mumu 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gt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gumu ar pretendentu, kur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š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jis 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kamo zem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 cenu.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360" w:firstLine="0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928"/>
        </w:tabs>
        <w:spacing w:before="70" w:line="288" w:lineRule="auto"/>
        <w:ind w:left="786" w:right="277" w:firstLine="0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SIA "4 LIFE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Body"/>
        <w:ind w:left="786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Klientu attiec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bas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ar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funkcij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Body"/>
        <w:ind w:left="786" w:firstLine="0"/>
        <w:jc w:val="right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noteikumu 1.pielikums</w:t>
      </w:r>
    </w:p>
    <w:p>
      <w:pPr>
        <w:pStyle w:val="Body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  <w:rtl w:val="0"/>
          <w:lang w:val="en-US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Klientu attiec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bu vad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bas sist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ma ar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intelekta funkcij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”</w:t>
      </w:r>
    </w:p>
    <w:p>
      <w:pPr>
        <w:pStyle w:val="Body"/>
      </w:pPr>
    </w:p>
    <w:p>
      <w:pPr>
        <w:pStyle w:val="Body"/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val="none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FINAN</w:t>
      </w:r>
      <w:r>
        <w:rPr>
          <w:rFonts w:ascii="Times New Roman" w:hAnsi="Times New Roman" w:hint="default"/>
          <w:sz w:val="22"/>
          <w:szCs w:val="22"/>
          <w:u w:val="none"/>
          <w:rtl w:val="0"/>
          <w:lang w:val="en-US"/>
        </w:rPr>
        <w:t>Š</w:t>
      </w: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U PIED</w:t>
      </w:r>
      <w:r>
        <w:rPr>
          <w:rFonts w:ascii="Times New Roman" w:hAnsi="Times New Roman" w:hint="default"/>
          <w:sz w:val="22"/>
          <w:szCs w:val="22"/>
          <w:u w:val="none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V</w:t>
      </w:r>
      <w:r>
        <w:rPr>
          <w:rFonts w:ascii="Times New Roman" w:hAnsi="Times New Roman" w:hint="default"/>
          <w:sz w:val="22"/>
          <w:szCs w:val="22"/>
          <w:u w:val="none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JUMS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</w:rPr>
      </w:pPr>
      <w:bookmarkStart w:name="_headingh.v3gw1a7od4vw" w:id="0"/>
      <w:bookmarkEnd w:id="0"/>
    </w:p>
    <w:tbl>
      <w:tblPr>
        <w:tblW w:w="9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728"/>
        <w:gridCol w:w="4238"/>
        <w:gridCol w:w="3862"/>
      </w:tblGrid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7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279"/>
              </w:tabs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</w:t>
            </w:r>
          </w:p>
        </w:tc>
        <w:tc>
          <w:tcPr>
            <w:tcW w:type="dxa" w:w="423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(turpm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k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Pretendents),</w:t>
            </w:r>
          </w:p>
        </w:tc>
      </w:tr>
      <w:tr>
        <w:tblPrEx>
          <w:shd w:val="clear" w:color="auto" w:fill="cadfff"/>
        </w:tblPrEx>
        <w:trPr>
          <w:trHeight w:val="48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Pretendenta nosaukums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9828"/>
            <w:gridSpan w:val="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6" w:hRule="atLeast"/>
        </w:trPr>
        <w:tc>
          <w:tcPr>
            <w:tcW w:type="dxa" w:w="9828"/>
            <w:gridSpan w:val="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Vienotais re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ģ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istr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cijas numurs</w:t>
            </w:r>
          </w:p>
        </w:tc>
      </w:tr>
    </w:tbl>
    <w:p>
      <w:pPr>
        <w:pStyle w:val="Title"/>
        <w:keepNext w:val="0"/>
        <w:jc w:val="both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 xml:space="preserve">iesniedz 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šā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du finan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š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u pied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v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jumu iepirkum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 xml:space="preserve">ā </w:t>
      </w:r>
      <w:r>
        <w:rPr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Klientu attiec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bu vad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bas sist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ma ar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intelekta funkcij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”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, (turpm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ā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 xml:space="preserve">k 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 xml:space="preserve">– 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Iepirkums):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jc w:val="both"/>
      </w:pP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Iepirkuma noteikumos paredz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ē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to darbu l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ī</w:t>
      </w:r>
      <w:r>
        <w:rPr>
          <w:rFonts w:ascii="Times New Roman" w:hAnsi="Times New Roman"/>
          <w:b w:val="0"/>
          <w:bCs w:val="0"/>
          <w:sz w:val="22"/>
          <w:szCs w:val="22"/>
          <w:u w:val="none"/>
          <w:rtl w:val="0"/>
          <w:lang w:val="en-US"/>
        </w:rPr>
        <w:t>gumcena ir:</w:t>
      </w:r>
    </w:p>
    <w:tbl>
      <w:tblPr>
        <w:tblW w:w="9638" w:type="dxa"/>
        <w:jc w:val="left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7"/>
        <w:gridCol w:w="3416"/>
        <w:gridCol w:w="1940"/>
        <w:gridCol w:w="1397"/>
        <w:gridCol w:w="1918"/>
      </w:tblGrid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Nr.p.k.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Nodevums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Cena bez PVN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PVN</w:t>
            </w:r>
          </w:p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Summa ar PVN</w:t>
            </w:r>
          </w:p>
        </w:tc>
      </w:tr>
      <w:tr>
        <w:tblPrEx>
          <w:shd w:val="clear" w:color="auto" w:fill="cadfff"/>
        </w:tblPrEx>
        <w:trPr>
          <w:trHeight w:val="247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 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anal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ze, projekt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arhitekt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</w:t>
            </w:r>
          </w:p>
          <w:p>
            <w:pPr>
              <w:pStyle w:val="Body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Biznesa pras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bu apkopo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dokument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ana.</w:t>
            </w:r>
          </w:p>
          <w:p>
            <w:pPr>
              <w:pStyle w:val="Body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UI/UX dizains (WEB un mobilajai lietotnei).</w:t>
            </w:r>
          </w:p>
          <w:p>
            <w:pPr>
              <w:pStyle w:val="Body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tehnisk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arhitekt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ras un datu mode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de.</w:t>
            </w:r>
          </w:p>
          <w:p>
            <w:pPr>
              <w:pStyle w:val="Body"/>
              <w:numPr>
                <w:ilvl w:val="0"/>
                <w:numId w:val="16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 pieredzes scen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riju un procesu kart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43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2. 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ras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 (WEB un mobil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lietotne)</w:t>
            </w:r>
          </w:p>
          <w:p>
            <w:pPr>
              <w:pStyle w:val="Body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 re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un autentifik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modulis.</w:t>
            </w:r>
          </w:p>
          <w:p>
            <w:pPr>
              <w:pStyle w:val="Body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Pas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noform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maks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apstr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de.</w:t>
            </w:r>
          </w:p>
          <w:p>
            <w:pPr>
              <w:pStyle w:val="Body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Lojalit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tes punktu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 (LP/VR).</w:t>
            </w:r>
          </w:p>
          <w:p>
            <w:pPr>
              <w:pStyle w:val="Body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Biroju un produktu administr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funkcijas.</w:t>
            </w:r>
          </w:p>
          <w:p>
            <w:pPr>
              <w:pStyle w:val="Body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Mobil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lietotnes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 (iOS un Android).</w:t>
            </w:r>
          </w:p>
          <w:p>
            <w:pPr>
              <w:pStyle w:val="Body"/>
              <w:numPr>
                <w:ilvl w:val="0"/>
                <w:numId w:val="17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Publisk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viz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tkartes un QR koda funkcionalit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95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ksl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intelekta modu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2"/>
                <w:szCs w:val="22"/>
                <w:shd w:val="nil" w:color="auto" w:fill="auto"/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Produktu aprakstu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ener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ar MI.</w:t>
            </w:r>
          </w:p>
          <w:p>
            <w:pPr>
              <w:pStyle w:val="Body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Personaliz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ti produktu ieteikumi klientiem.</w:t>
            </w:r>
          </w:p>
          <w:p>
            <w:pPr>
              <w:pStyle w:val="Body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Noliktavas atlikumu prognoz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br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jumi.</w:t>
            </w:r>
          </w:p>
          <w:p>
            <w:pPr>
              <w:pStyle w:val="Body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Refer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āļ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u 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kla anal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ze un 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rdo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strat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iju rekomend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cijas.</w:t>
            </w:r>
          </w:p>
          <w:p>
            <w:pPr>
              <w:pStyle w:val="Body"/>
              <w:numPr>
                <w:ilvl w:val="0"/>
                <w:numId w:val="18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MI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ener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ti motiv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atg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jumi klientiem (e-pasti, push pazi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ojumi).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7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Integr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un datub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zes risin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jumi</w:t>
            </w:r>
          </w:p>
          <w:p>
            <w:pPr>
              <w:pStyle w:val="Body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Integr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 ar maks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jumu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(Visa, MasterCard, SEPA, Revolut u.c.).</w:t>
            </w:r>
          </w:p>
          <w:p>
            <w:pPr>
              <w:pStyle w:val="Body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Integr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cija ar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datub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 un ERP vajadz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m.</w:t>
            </w:r>
          </w:p>
          <w:p>
            <w:pPr>
              <w:pStyle w:val="Body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API servisu izstr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de 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ai datu apmai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ai.</w:t>
            </w:r>
          </w:p>
          <w:p>
            <w:pPr>
              <w:pStyle w:val="Body"/>
              <w:numPr>
                <w:ilvl w:val="0"/>
                <w:numId w:val="19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PostgreSQL konfigur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 un optimiz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7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Infrastrukt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ra un 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</w:t>
            </w:r>
          </w:p>
          <w:p>
            <w:pPr>
              <w:pStyle w:val="Body"/>
              <w:numPr>
                <w:ilvl w:val="0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Konteineriz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 (Docker) un m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vides sagatavo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ana.</w:t>
            </w:r>
          </w:p>
          <w:p>
            <w:pPr>
              <w:pStyle w:val="Body"/>
              <w:numPr>
                <w:ilvl w:val="0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CI/CD automatiz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s izv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procesa 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ana.</w:t>
            </w:r>
          </w:p>
          <w:p>
            <w:pPr>
              <w:pStyle w:val="Body"/>
              <w:numPr>
                <w:ilvl w:val="0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Lietot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ju datu aizsardz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 un 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bas protokoli.</w:t>
            </w:r>
          </w:p>
          <w:p>
            <w:pPr>
              <w:pStyle w:val="Body"/>
              <w:numPr>
                <w:ilvl w:val="0"/>
                <w:numId w:val="20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Rezerves kopiju un av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rijas atjauno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meh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nismi.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23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kvalit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tes nodro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</w:t>
            </w:r>
          </w:p>
          <w:p>
            <w:pPr>
              <w:pStyle w:val="Body"/>
              <w:numPr>
                <w:ilvl w:val="0"/>
                <w:numId w:val="2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Funkcion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(WEB un mobil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ā 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vide).</w:t>
            </w:r>
          </w:p>
          <w:p>
            <w:pPr>
              <w:pStyle w:val="Body"/>
              <w:numPr>
                <w:ilvl w:val="0"/>
                <w:numId w:val="2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Veiktsp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jas un slodzes 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ana.</w:t>
            </w:r>
          </w:p>
          <w:p>
            <w:pPr>
              <w:pStyle w:val="Body"/>
              <w:numPr>
                <w:ilvl w:val="0"/>
                <w:numId w:val="2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Dro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bas test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(penetr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cijas testi).</w:t>
            </w:r>
          </w:p>
          <w:p>
            <w:pPr>
              <w:pStyle w:val="Body"/>
              <w:numPr>
                <w:ilvl w:val="0"/>
                <w:numId w:val="21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K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ļū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du identific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labo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pirms palai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511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2"/>
                <w:szCs w:val="22"/>
                <w:shd w:val="nil" w:color="auto" w:fill="auto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Ievie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un palai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(Go-Live)</w:t>
            </w:r>
          </w:p>
          <w:p>
            <w:pPr>
              <w:pStyle w:val="Body"/>
              <w:numPr>
                <w:ilvl w:val="0"/>
                <w:numId w:val="2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Gala konfigur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 un datu migr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cija.</w:t>
            </w:r>
          </w:p>
          <w:p>
            <w:pPr>
              <w:pStyle w:val="Body"/>
              <w:numPr>
                <w:ilvl w:val="0"/>
                <w:numId w:val="2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Pilna sist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mas izv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 uz ra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vidi.</w:t>
            </w:r>
          </w:p>
          <w:p>
            <w:pPr>
              <w:pStyle w:val="Body"/>
              <w:numPr>
                <w:ilvl w:val="0"/>
                <w:numId w:val="22"/>
              </w:numPr>
              <w:bidi w:val="0"/>
              <w:ind w:right="0"/>
              <w:jc w:val="left"/>
              <w:rPr>
                <w:sz w:val="22"/>
                <w:szCs w:val="22"/>
                <w:rtl w:val="0"/>
                <w:lang w:val="en-US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Palai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anas procesa uzraudz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ba.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40" w:hRule="atLeast"/>
        </w:trPr>
        <w:tc>
          <w:tcPr>
            <w:tcW w:type="dxa" w:w="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right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Kop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19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itle"/>
        <w:keepNext w:val="0"/>
        <w:widowControl w:val="0"/>
        <w:ind w:left="75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  <w:bookmarkStart w:name="_headingh.smjabmftg1ry" w:id="1"/>
      <w:bookmarkEnd w:id="1"/>
    </w:p>
    <w:p>
      <w:pPr>
        <w:pStyle w:val="Title"/>
        <w:keepNext w:val="0"/>
        <w:widowControl w:val="0"/>
        <w:ind w:left="540" w:hanging="54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Title"/>
        <w:keepNext w:val="0"/>
        <w:widowControl w:val="0"/>
        <w:ind w:left="432" w:hanging="432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Title"/>
        <w:keepNext w:val="0"/>
        <w:widowControl w:val="0"/>
        <w:ind w:left="324" w:hanging="324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Title"/>
        <w:keepNext w:val="0"/>
        <w:widowControl w:val="0"/>
        <w:ind w:left="216" w:hanging="216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Title"/>
        <w:keepNext w:val="0"/>
        <w:widowControl w:val="0"/>
        <w:ind w:left="108" w:hanging="108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Apliecinu, ka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juma cena ir noteikta saska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ņā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 SIA "4 LIFE"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iepirkuma proced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Klientu attiec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bas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ar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funkcij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noteikumu 2.pielikuma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nosac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jumiem.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Apliecinu, ka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juma der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guma termi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ņš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  2029. gada 31. maijs.</w:t>
      </w:r>
    </w:p>
    <w:p>
      <w:pPr>
        <w:pStyle w:val="Body"/>
        <w:shd w:val="clear" w:color="auto" w:fill="ffffff"/>
        <w:tabs>
          <w:tab w:val="left" w:pos="1464"/>
          <w:tab w:val="left" w:pos="3533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Pretendenta kontaktinform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jc w:val="right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SIA "4 LIFE" iepirkuma proced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ras </w:t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mo" w:cs="Arimo" w:hAnsi="Arimo" w:eastAsia="Arimo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Klientu attiec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bas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ar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funkcij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</w:p>
    <w:p>
      <w:pPr>
        <w:pStyle w:val="Body"/>
        <w:jc w:val="right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Nolikuma Pielikums Nr. 2. </w:t>
      </w:r>
    </w:p>
    <w:p>
      <w:pPr>
        <w:pStyle w:val="Body"/>
        <w:ind w:left="786" w:firstLine="0"/>
        <w:jc w:val="center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shd w:val="clear" w:color="auto" w:fill="ffffff"/>
        <w:ind w:left="786" w:firstLine="0"/>
        <w:rPr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IEPIRKUMA</w:t>
      </w: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  <w:rtl w:val="0"/>
          <w:lang w:val="en-US"/>
        </w:rPr>
        <w:t>“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Klientu attiec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bu vad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bas sist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ma ar m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ksl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intelekta funkcij</w:t>
      </w:r>
      <w:r>
        <w:rPr>
          <w:rFonts w:ascii="Times New Roman" w:hAnsi="Times New Roman" w:hint="default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rFonts w:ascii="Times New Roman" w:hAnsi="Times New Roman"/>
          <w:b w:val="0"/>
          <w:bCs w:val="0"/>
          <w:outline w:val="0"/>
          <w:color w:val="000000"/>
          <w:sz w:val="22"/>
          <w:szCs w:val="22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hAnsi="Times New Roman" w:hint="default"/>
          <w:b w:val="0"/>
          <w:bCs w:val="0"/>
          <w:sz w:val="22"/>
          <w:szCs w:val="22"/>
          <w:u w:val="none"/>
          <w:rtl w:val="0"/>
          <w:lang w:val="en-US"/>
        </w:rPr>
        <w:t>”</w:t>
      </w:r>
    </w:p>
    <w:p>
      <w:pPr>
        <w:pStyle w:val="Title"/>
        <w:keepNext w:val="0"/>
        <w:ind w:left="786" w:firstLine="0"/>
        <w:rPr>
          <w:rFonts w:ascii="Times New Roman" w:cs="Times New Roman" w:hAnsi="Times New Roman" w:eastAsia="Times New Roman"/>
          <w:sz w:val="22"/>
          <w:szCs w:val="22"/>
          <w:u w:val="none"/>
        </w:rPr>
      </w:pPr>
    </w:p>
    <w:p>
      <w:pPr>
        <w:pStyle w:val="Title"/>
        <w:keepNext w:val="0"/>
        <w:ind w:left="786" w:firstLine="0"/>
        <w:jc w:val="center"/>
        <w:rPr>
          <w:rFonts w:ascii="Times New Roman" w:cs="Times New Roman" w:hAnsi="Times New Roman" w:eastAsia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Tehnisk</w:t>
      </w:r>
      <w:r>
        <w:rPr>
          <w:rFonts w:ascii="Times New Roman" w:hAnsi="Times New Roman" w:hint="default"/>
          <w:sz w:val="22"/>
          <w:szCs w:val="22"/>
          <w:u w:val="none"/>
          <w:rtl w:val="0"/>
          <w:lang w:val="en-US"/>
        </w:rPr>
        <w:t xml:space="preserve">ā </w:t>
      </w: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specifik</w:t>
      </w:r>
      <w:r>
        <w:rPr>
          <w:rFonts w:ascii="Times New Roman" w:hAnsi="Times New Roman" w:hint="default"/>
          <w:sz w:val="22"/>
          <w:szCs w:val="22"/>
          <w:u w:val="none"/>
          <w:rtl w:val="0"/>
          <w:lang w:val="en-US"/>
        </w:rPr>
        <w:t>ā</w:t>
      </w:r>
      <w:r>
        <w:rPr>
          <w:rFonts w:ascii="Times New Roman" w:hAnsi="Times New Roman"/>
          <w:sz w:val="22"/>
          <w:szCs w:val="22"/>
          <w:u w:val="none"/>
          <w:rtl w:val="0"/>
          <w:lang w:val="en-US"/>
        </w:rPr>
        <w:t>cija</w:t>
      </w:r>
    </w:p>
    <w:p>
      <w:pPr>
        <w:pStyle w:val="Body"/>
        <w:ind w:left="786" w:firstLine="0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Projekta 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4Life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is ir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vienotu, 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 un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rtu platformu klientu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cijai,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apstr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dei, lojalit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tes punktu uzskaitei un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bai,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efekt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vai biroju un produktu administr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anai starptautiskos tirgos. Platforma apvieno publisko vidi, kur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 var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ties, veikt pirkumus un izmantot personaliz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tus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kus, ar administrat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vo vidi, kur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 un administratori var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klientus,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jumus, produktus,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inus, katalogus un lojalit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tes punktus.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uzman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 tiek piev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rsta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(MI) integr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 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tas papla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ina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mas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jas,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inot automatiz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tus produktu aprakstus un ieteikumus klientiem, personaliz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tu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ata komunik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ciju,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dzot administr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cijai analiz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 refer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klu, prognoz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noliktavas atlikumus un optimiz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anas procesus.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di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ne tikai atvieglo ikdienas darb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bas un samazina manu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 darbu, bet 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inovat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vu klientu pieredzi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kur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katrs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js sa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 piel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gotus ieteikumus, un atbalstu, balstoties uz vi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vajadz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un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 anal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tiku.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notais risin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</w:t>
      </w: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Kopsavilkums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notais risin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jums ir 4Life digit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platforma, kuras centr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lais elements ir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intelekta integr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cija. Publiskaj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MI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 produktu aprakstu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anu, personaliz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tus ieteikumus un alternat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vu pre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u 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jumus, ja kr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jumi tuvojas beig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m. Tas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aus klientiem sa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emt unik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lu un piel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gotu pieredzi, kas veicina uztic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un atk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rtotus pirkumus. Turkl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t MI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motiv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atg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jumus e-pastos un mobilaj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ojumos, pal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dzot nepazaud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t potenci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los dar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jumus un abonementus. Administr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vid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MI analiz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s refer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klu, atpaz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s att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bas tendences un sniegs rekomend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anas strat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iju uzlabo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anai. Tas pal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s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bai prognoz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noliktavas atlikumus, optimiz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 pieg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des un mazin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kr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jumu zudumu riskus. Papildus MI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saturu par produktiem, automatiz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jot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rketinga un komunik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procesus. Tehniski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rogojama, darbojas web un mobilaj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ar integr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ciju CI/CD un 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datu glab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anu. Risin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juma pievienot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ba ir 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ka MI nav tikai papildfunkcija, bet gan pamata dzin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ks, kas paaugstina efektivit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ti, samazina manu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lo darbu un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auj uz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mumam 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 ar inovat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vu, datu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pieeju starptautisk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Tehnisk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specifik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PUB (publisk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puse)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1.1. Autentifik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 un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Autentific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s skats: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 ar e-pastu/paroli.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Paroles atjauno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Jauna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cija.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 ar eso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klienta ID numuru.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QR koda skan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ana ieteic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ja ID 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anai.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Jauna klienta e-pasta verific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Eso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šā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ID atjauno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 (caur e-pastu).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cijas/eso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 datu 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(v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rds, e-pasts, telefons,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ions, valoda, parole).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Neatpaz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 xml:space="preserve">ts QR kods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→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ojums ar atbalsta kontaktinform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ciju.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Paroles atjauno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(atv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rts un defin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ts jaunas paroles skats).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ID 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 vai neatpaz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ar sazi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as formu (0.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menis).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1.2.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ma un pirkumi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Viesis: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Var noform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bezsaist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  <w:lang w:val="pt-P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Ja ir drauga/pazi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as Affiliate ID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→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st par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0.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meni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pirc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js: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Var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tie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lietotn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bezsaist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pirc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js: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Var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 no 4life.com ar Affiliate URL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st par 1.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meni, ja ANB apstiprina un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zem Affiliate ID attiec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valst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st par 1.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meni, kad no 4life.com sa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 unik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lo ID un iesniedz to Administrat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vajam nacion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lajam birojam (ANB) aplik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vai vietn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Var pacelties uz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meni tikai ar papildu ANB komisijas apmaksu.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  <w:lang w:val="nl-NL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Ja viesim ir Affiliate ID, kas nepieder ANB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→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vienm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paliek 0.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bet var veikt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jumus caur ANB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jaslapu/lietotni.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pirc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maksas konts ar papildu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 (QR 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s, statistika, 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dati).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1.3. Profili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0.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profils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QR kods, draugu cena,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ties 4Life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 profilu.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profils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: pacelt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meni, labot profilu, QR kods, mans uzkr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jums,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 profilu.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 profils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 QR kods, QR statistika, publisk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tkarte, 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ar QR kodu, uzkr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jums, maksas konta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Profila redi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ana visos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 (v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rds, telefons, e-pasts,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ions, valoda, 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dati, profila bilde).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1.4. Viz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tkarte un aplik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lejupiel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Publisk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tkarte (v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rds, uzv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rds, telefons, e-pasts, QR kods).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Lejupiel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des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ojums ar App Store/Google Play sait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1.5. Biroji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Fizisku biroju saraksts (p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iona, ar karti).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rts birojs ar detaliz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inform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ciju (nosaukums, adrese, kontakti).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1.6. Katalogi, produkti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Katalogu saraksts un atv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rts katalogs.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Produktu saraksts, cenas, pievedumi.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Produktu lap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 tiek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 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MI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 apraksti un lieto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anas ieteikumi.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1.7. Statisk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sada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as un saturs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sv-S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Publiskas statisk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lapas (noteikumi, aktualit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tes, footer).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Navig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cija, aktualit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widget.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1.8.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ojumi un notikumi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Notikumu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ojumu skats.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QR koda 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s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Pieteikums maksas kontam,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ojums par 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vai noraid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1.9. Pirkumi caur lietotni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Pirkumu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ja visiem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 ar bankas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rskait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un kart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1.10.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gais intelekts (MI) publiskaj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</w:p>
    <w:p>
      <w:pPr>
        <w:pStyle w:val="Body"/>
        <w:numPr>
          <w:ilvl w:val="0"/>
          <w:numId w:val="30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Produktu lapas apraksti: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jam tiek att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loti MI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 teksti par produktu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m un lieto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anu.</w:t>
      </w:r>
    </w:p>
    <w:p>
      <w:pPr>
        <w:pStyle w:val="Body"/>
        <w:numPr>
          <w:ilvl w:val="0"/>
          <w:numId w:val="30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Personaliz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tie ieteikumi: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 redz priek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likumus,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dus produktus 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ties,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dus refer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QR kodus izmantot vai ar ko 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ties.</w:t>
      </w:r>
    </w:p>
    <w:p>
      <w:pPr>
        <w:pStyle w:val="Body"/>
        <w:numPr>
          <w:ilvl w:val="0"/>
          <w:numId w:val="30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Motiv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atg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js sa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em e-pasta un push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ojumus ar MI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tiem padomiem, lai pabeigtu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jumu, atjaunotu abonementu vai papildin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grozu.</w:t>
      </w:r>
    </w:p>
    <w:p>
      <w:pPr>
        <w:pStyle w:val="Body"/>
        <w:numPr>
          <w:ilvl w:val="0"/>
          <w:numId w:val="30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Noliktavas atlikumu br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jumi: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publiskaj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pie produktu sarakstiem un katalogiem tiek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 MI br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jumi, ja kr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jumi tuvojas beig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m,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ī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pied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 alternat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 produkti.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 ADMIN (administr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puse)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2.1.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Visi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ji,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profils, atv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rts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js.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ti klienti ar statusu (gaida 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jumu/noraid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ts).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Klienta profils ar administr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virtu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liem resursiem (VR), klienta lojalit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tes punktiem (LP), adres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m, 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jumiem.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ana, redi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Neakt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vie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 ar statusa mai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Pirmreiz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js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imports.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2.2.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 un Admin Control Panel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 piek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uves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i: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  <w:lang w:val="pt-P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 xml:space="preserve">Super Admin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pilnas ties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bas.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  <w:lang w:val="da-DK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Mened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eris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jumi,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ana, 4life 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cija.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Biroja vad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js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bezsaistes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jumi, punktu sadale,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noform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sav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fili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noform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viesiem bez Affiliate ID ar datu saglab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LP punktu sadale: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Viesiem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→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biroja/fili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les arh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28"/>
        </w:numPr>
        <w:rPr>
          <w:sz w:val="22"/>
          <w:szCs w:val="22"/>
        </w:rPr>
      </w:pPr>
    </w:p>
    <w:p>
      <w:pPr>
        <w:pStyle w:val="Body"/>
        <w:numPr>
          <w:ilvl w:val="0"/>
          <w:numId w:val="3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 pirc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jiem (ar ANB Affiliate ID)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→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i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jam.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2.3. Valodas un tulkojumi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Valodu saraksts, jaunas valodas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ana, labo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Tulkojumu saraksts ar atsl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un redi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2.4. Biroji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Biroja un subbiroja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ana, redi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Biroja darbinieku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ar lom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m un ties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Visi biroji ar kategoriju, pils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tu, statusu.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Biroja un subbiroja LP punktu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rskati, atskaites, nos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eksports Excel.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Biroju punktu atskaites (galvenais/subbirojs).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2.5. Produkti un katalogi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Produktu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kategorijas, cenas, pievedumi.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Katalogu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 un saraksts.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Produkta cena 2, cenu administr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pa birojiem.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2.6.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ini un 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inu izveide, saraksts, druk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eksporti.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Avansa 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ini.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VR skaidr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naud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VR importa rezult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tu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ba (CSV).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2.7. LP un VR punktu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LP punktu arh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vs: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  <w:lang w:val="pt-P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Manu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tikai Super Admin.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Jaunas produktu pieg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des = jauni LP punkti arh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Punktu pie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ana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jiem vai birojiem.</w:t>
      </w:r>
    </w:p>
    <w:p>
      <w:pPr>
        <w:pStyle w:val="Body"/>
        <w:numPr>
          <w:ilvl w:val="1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gta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punkti tiek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 birojam vai citiem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jiem.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LP punktu sadale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jumos (viesi, 0.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LP punktu norakst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ana, nos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birojiem.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LP punktu atskaites, Excel eksports.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LP punktu labo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anas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VR import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CSV, pie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ana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jiem.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Pirm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pirkuma papildin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punktu at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Kart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tes kop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jo punktu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ba.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2.8. Atskai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un LP punktu apstr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Filtri: datums, Affiliate ID, Office ID.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Satur: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juma datums, saite, Affiliate ID, pas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juma summa.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pt-P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Procesa so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i: izv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le ar checkbox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→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Excel atskaite.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Atskaites saglab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jas 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stur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 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anas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 nemain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2.9. Bonusu pie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es-ES_tradnl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Excel aug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upiel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ar Amerikas biroja bonusu sadal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Autom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tiska 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de, redi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nl-NL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Ierobe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ojumu kontrole (nedr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kst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rsniegt Amerikas limitu).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Bonusi pie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irami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jiem, birojiem vai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ami.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Gala apstiprin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jums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tikai Super Admin.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2.10. Statisk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sada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Visas sada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as, pievieno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ana, labo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ana, dz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2.11. Faili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Failu bibliot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 (aug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upiel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de,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2.12.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gais intelekts (MI) administr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Rakstu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ģ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ener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par produktiem.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Refer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kla anal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ze un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rdo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anas ieteikumi.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Motiv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atg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Noliktavas atlikumu anal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ze un autom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tiski br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jumi.</w:t>
      </w:r>
    </w:p>
    <w:p>
      <w:pPr>
        <w:pStyle w:val="Body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 Tehnisk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pras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bas un arhitekt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3.1. Pieejam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 un platformas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 pieejamai 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WEB risin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(piek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uve caur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kprogrammu).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mas WEB versij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m, kas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šķ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iras no mobil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 lietotnes funkcionalit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,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inot piem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rotu saturu un lieto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anas scen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rijus katram kan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lam.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Mobil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lietotne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public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App Store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Google Play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veikalos.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3.2.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skaita un veiktsp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jas pras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bas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j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t kop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jo lietot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 skaitu (WEB + mobil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lietotne)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vismaz 50 000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veiktsp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gai augstas noslodzes apst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os, ar elast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gu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rogojam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3.3. Infrastrukt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ra un izv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mai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darbojas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konteineriz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vid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(Docker vai 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ga).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automatiz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 izv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 (CI/CD)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, ar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rogojam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un uztur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anas elast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Datu glab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anai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izmanto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PostgreSQL vai l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dzv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ga datub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ze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, kas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 uzticamu un efekt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vu darbu augstas veiktsp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jas un 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rogojam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bas apst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os.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3.4. Projekt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ana un specifik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Izstr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des ietvaros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t sagatavotai: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UI un UX specifik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(WEB un mobilajai lietotnei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Android un iOS).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WEB risin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juma specifik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cijai.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mek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ļ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servisu pl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nojumam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(REST API, CI/CD u.c.).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3.5. Integr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mas izstr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des ietvaros 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 izstr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sv-SE"/>
          <w14:textFill>
            <w14:solidFill>
              <w14:srgbClr w14:val="000000"/>
            </w14:solidFill>
          </w14:textFill>
        </w:rPr>
        <w:t>m integr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 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m datub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,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inot savietojam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bu un 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 datu apmai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u.</w:t>
      </w:r>
    </w:p>
    <w:p>
      <w:pPr>
        <w:pStyle w:val="Body"/>
        <w:numPr>
          <w:ilvl w:val="0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 integr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cijas ar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maks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sist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jumu kartes (Visa, MasterCard u.c.);</w:t>
      </w:r>
    </w:p>
    <w:p>
      <w:pPr>
        <w:pStyle w:val="Body"/>
        <w:numPr>
          <w:ilvl w:val="1"/>
          <w:numId w:val="26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popul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 banku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rskait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jumi (SEPA, Open Banking, Swedbank, Revolut u.c.).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3.6. Maksas pakalpojumu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de-DE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Gan WEB, gan mobilaj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versij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ina iesp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 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ties da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žā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dus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maksas pakalpojumus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ieg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to pakalpojumu uzglab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ana un statusa p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rvald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(abonementi, akt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vs/neakt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vs, v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sture).</w:t>
      </w:r>
    </w:p>
    <w:p>
      <w:pPr>
        <w:pStyle w:val="Body"/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3.7. Pazi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ojumi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Body"/>
        <w:numPr>
          <w:ilvl w:val="0"/>
          <w:numId w:val="28"/>
        </w:numPr>
        <w:bidi w:val="0"/>
        <w:ind w:right="0"/>
        <w:jc w:val="left"/>
        <w:rPr>
          <w:sz w:val="22"/>
          <w:szCs w:val="22"/>
          <w:rtl w:val="0"/>
          <w:lang w:val="it-IT"/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Sist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 realiz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tai funkcionalit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ā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tei, kas nodro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ina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Push pazi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ņ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ojumu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nos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ū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īš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anu (iOS un Android mobilaj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ā 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lietotn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ē</w:t>
      </w:r>
      <w:r>
        <w:rPr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1145" w:hanging="7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538" w:hanging="11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1931" w:hanging="157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324" w:hanging="19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32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680" w:hanging="1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2040" w:hanging="16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400" w:hanging="2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1.0"/>
  </w:abstractNum>
  <w:abstractNum w:abstractNumId="9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756" w:hanging="33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720"/>
        </w:tabs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70"/>
        </w:tabs>
        <w:ind w:left="1020" w:hanging="4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1600"/>
        </w:tabs>
        <w:ind w:left="1350" w:hanging="7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930"/>
        </w:tabs>
        <w:ind w:left="1680" w:hanging="10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2260"/>
        </w:tabs>
        <w:ind w:left="2010" w:hanging="1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.1"/>
  </w:abstractNum>
  <w:abstractNum w:abstractNumId="11">
    <w:multiLevelType w:val="hybridMultilevel"/>
    <w:styleLink w:val="Imported Style 1.1"/>
    <w:lvl w:ilvl="0">
      <w:start w:val="1"/>
      <w:numFmt w:val="decimal"/>
      <w:suff w:val="tab"/>
      <w:lvlText w:val="%1."/>
      <w:lvlJc w:val="left"/>
      <w:pPr>
        <w:ind w:left="729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47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1066" w:hanging="7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7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396" w:hanging="10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7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726" w:hanging="1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72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2056" w:hanging="1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3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numStyleLink w:val="Imported Style 12"/>
  </w:abstractNum>
  <w:abstractNum w:abstractNumId="20">
    <w:multiLevelType w:val="hybridMultilevel"/>
    <w:styleLink w:val="Imported Style 12"/>
    <w:lvl w:ilvl="0">
      <w:start w:val="1"/>
      <w:numFmt w:val="bullet"/>
      <w:suff w:val="tab"/>
      <w:lvlText w:val="•"/>
      <w:lvlJc w:val="left"/>
      <w:pPr>
        <w:ind w:left="62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34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0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7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47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1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49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6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3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numStyleLink w:val="Imported Style 13"/>
  </w:abstractNum>
  <w:abstractNum w:abstractNumId="22">
    <w:multiLevelType w:val="hybridMultilevel"/>
    <w:styleLink w:val="Imported Style 13"/>
    <w:lvl w:ilvl="0">
      <w:start w:val="1"/>
      <w:numFmt w:val="bullet"/>
      <w:suff w:val="tab"/>
      <w:lvlText w:val="•"/>
      <w:lvlJc w:val="left"/>
      <w:pPr>
        <w:ind w:left="62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34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03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75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47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19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491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63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35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numStyleLink w:val="Imported Style 14"/>
  </w:abstractNum>
  <w:abstractNum w:abstractNumId="24">
    <w:multiLevelType w:val="hybridMultilevel"/>
    <w:styleLink w:val="Imported Style 14"/>
    <w:lvl w:ilvl="0">
      <w:start w:val="1"/>
      <w:numFmt w:val="bullet"/>
      <w:suff w:val="tab"/>
      <w:lvlText w:val="•"/>
      <w:lvlJc w:val="left"/>
      <w:pPr>
        <w:ind w:left="62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34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56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78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00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222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44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66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88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numStyleLink w:val="Imported Style 15"/>
  </w:abstractNum>
  <w:abstractNum w:abstractNumId="26">
    <w:multiLevelType w:val="hybridMultilevel"/>
    <w:styleLink w:val="Imported Style 15"/>
    <w:lvl w:ilvl="0">
      <w:start w:val="1"/>
      <w:numFmt w:val="bullet"/>
      <w:suff w:val="tab"/>
      <w:lvlText w:val="•"/>
      <w:lvlJc w:val="left"/>
      <w:pPr>
        <w:ind w:left="629" w:hanging="409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1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3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5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7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9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1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3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55" w:hanging="37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numStyleLink w:val="Imported Style 16"/>
  </w:abstractNum>
  <w:abstractNum w:abstractNumId="28">
    <w:multiLevelType w:val="hybridMultilevel"/>
    <w:styleLink w:val="Imported Style 16"/>
    <w:lvl w:ilvl="0">
      <w:start w:val="1"/>
      <w:numFmt w:val="decimal"/>
      <w:suff w:val="tab"/>
      <w:lvlText w:val="%1."/>
      <w:lvlJc w:val="left"/>
      <w:pPr>
        <w:ind w:left="629" w:hanging="40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7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69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1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3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55" w:hanging="37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  <w:lvlOverride w:ilvl="0">
      <w:startOverride w:val="3"/>
    </w:lvlOverride>
  </w:num>
  <w:num w:numId="11">
    <w:abstractNumId w:val="9"/>
  </w:num>
  <w:num w:numId="12">
    <w:abstractNumId w:val="8"/>
  </w:num>
  <w:num w:numId="13">
    <w:abstractNumId w:val="8"/>
    <w:lvlOverride w:ilvl="0">
      <w:startOverride w:val="5"/>
    </w:lvlOverride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20"/>
  </w:num>
  <w:num w:numId="24">
    <w:abstractNumId w:val="19"/>
  </w:num>
  <w:num w:numId="25">
    <w:abstractNumId w:val="22"/>
  </w:num>
  <w:num w:numId="26">
    <w:abstractNumId w:val="21"/>
  </w:num>
  <w:num w:numId="27">
    <w:abstractNumId w:val="24"/>
  </w:num>
  <w:num w:numId="28">
    <w:abstractNumId w:val="23"/>
  </w:num>
  <w:num w:numId="29">
    <w:abstractNumId w:val="26"/>
  </w:num>
  <w:num w:numId="30">
    <w:abstractNumId w:val="25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8"/>
      </w:numPr>
    </w:pPr>
  </w:style>
  <w:style w:type="numbering" w:styleId="Imported Style 1.0">
    <w:name w:val="Imported Style 1.0"/>
    <w:pPr>
      <w:numPr>
        <w:numId w:val="11"/>
      </w:numPr>
    </w:pPr>
  </w:style>
  <w:style w:type="numbering" w:styleId="Imported Style 1.1">
    <w:name w:val="Imported Style 1.1"/>
    <w:pPr>
      <w:numPr>
        <w:numId w:val="14"/>
      </w:numPr>
    </w:p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