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6F53AB7C" w:rsidR="00DC6F27" w:rsidRDefault="009E579C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9E579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Stieņi siera diegu karināšanai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06C1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9E579C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2025-10-10T14:34:00Z</dcterms:modified>
</cp:coreProperties>
</file>