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3C527" w14:textId="77777777" w:rsidR="00465083" w:rsidRDefault="00000000">
      <w:pPr>
        <w:pStyle w:val="P68B1DB1-Normal1"/>
        <w:spacing w:after="0" w:line="240" w:lineRule="auto"/>
        <w:jc w:val="right"/>
      </w:pPr>
      <w:r>
        <w:t>Approved</w:t>
      </w:r>
    </w:p>
    <w:p w14:paraId="1E9F38BF" w14:textId="77777777" w:rsidR="00465083" w:rsidRDefault="00000000">
      <w:pPr>
        <w:pStyle w:val="P68B1DB1-Normal2"/>
        <w:spacing w:after="0" w:line="240" w:lineRule="auto"/>
        <w:jc w:val="right"/>
      </w:pPr>
      <w:r>
        <w:t>04.11.2025 Procurement Commission meeting</w:t>
      </w:r>
    </w:p>
    <w:p w14:paraId="5D50A71D" w14:textId="77777777" w:rsidR="00465083" w:rsidRDefault="00000000">
      <w:pPr>
        <w:pStyle w:val="P68B1DB1-Normal2"/>
        <w:spacing w:after="0" w:line="240" w:lineRule="auto"/>
        <w:jc w:val="right"/>
      </w:pPr>
      <w:r>
        <w:t>Protocol No 1</w:t>
      </w:r>
    </w:p>
    <w:p w14:paraId="7A27F86C" w14:textId="77777777" w:rsidR="00465083" w:rsidRDefault="00465083">
      <w:pPr>
        <w:spacing w:after="0" w:line="240" w:lineRule="auto"/>
        <w:ind w:left="5760" w:right="-766" w:firstLine="720"/>
        <w:jc w:val="both"/>
        <w:rPr>
          <w:rFonts w:ascii="Times New Roman" w:eastAsia="Times New Roman" w:hAnsi="Times New Roman" w:cs="Times New Roman"/>
          <w:sz w:val="20"/>
          <w:szCs w:val="20"/>
        </w:rPr>
      </w:pPr>
    </w:p>
    <w:p w14:paraId="6A722EDC" w14:textId="77777777" w:rsidR="00465083" w:rsidRDefault="00465083">
      <w:pPr>
        <w:spacing w:after="0" w:line="240" w:lineRule="auto"/>
        <w:ind w:right="-766"/>
        <w:jc w:val="both"/>
        <w:rPr>
          <w:rFonts w:ascii="Times New Roman" w:eastAsia="Times New Roman" w:hAnsi="Times New Roman" w:cs="Times New Roman"/>
          <w:sz w:val="20"/>
          <w:szCs w:val="20"/>
        </w:rPr>
      </w:pPr>
    </w:p>
    <w:p w14:paraId="397C8FDB" w14:textId="77777777" w:rsidR="00465083" w:rsidRDefault="00465083">
      <w:pPr>
        <w:spacing w:after="0" w:line="240" w:lineRule="auto"/>
        <w:ind w:right="-766"/>
        <w:jc w:val="both"/>
        <w:rPr>
          <w:rFonts w:ascii="Times New Roman" w:eastAsia="Times New Roman" w:hAnsi="Times New Roman" w:cs="Times New Roman"/>
          <w:sz w:val="20"/>
        </w:rPr>
      </w:pPr>
    </w:p>
    <w:p w14:paraId="7AA7878B" w14:textId="77777777" w:rsidR="00465083" w:rsidRDefault="00465083">
      <w:pPr>
        <w:spacing w:after="0" w:line="240" w:lineRule="auto"/>
        <w:ind w:right="-766"/>
        <w:jc w:val="both"/>
        <w:rPr>
          <w:rFonts w:ascii="Times New Roman" w:eastAsia="Times New Roman" w:hAnsi="Times New Roman" w:cs="Times New Roman"/>
          <w:sz w:val="20"/>
        </w:rPr>
      </w:pPr>
    </w:p>
    <w:p w14:paraId="0807C82D" w14:textId="77777777" w:rsidR="00465083" w:rsidRDefault="00465083">
      <w:pPr>
        <w:spacing w:after="0" w:line="240" w:lineRule="auto"/>
        <w:ind w:right="-766"/>
        <w:jc w:val="both"/>
        <w:rPr>
          <w:rFonts w:ascii="Times New Roman" w:eastAsia="Times New Roman" w:hAnsi="Times New Roman" w:cs="Times New Roman"/>
          <w:sz w:val="20"/>
        </w:rPr>
      </w:pPr>
    </w:p>
    <w:p w14:paraId="2D971062" w14:textId="77777777" w:rsidR="00465083" w:rsidRDefault="00465083">
      <w:pPr>
        <w:spacing w:after="0" w:line="240" w:lineRule="auto"/>
        <w:ind w:right="-766"/>
        <w:jc w:val="both"/>
        <w:rPr>
          <w:rFonts w:ascii="Times New Roman" w:eastAsia="Times New Roman" w:hAnsi="Times New Roman" w:cs="Times New Roman"/>
          <w:sz w:val="20"/>
        </w:rPr>
      </w:pPr>
    </w:p>
    <w:p w14:paraId="175C559F" w14:textId="77777777" w:rsidR="00465083" w:rsidRDefault="00465083">
      <w:pPr>
        <w:spacing w:after="0" w:line="240" w:lineRule="auto"/>
        <w:ind w:right="-766"/>
        <w:jc w:val="both"/>
        <w:rPr>
          <w:rFonts w:ascii="Times New Roman" w:eastAsia="Times New Roman" w:hAnsi="Times New Roman" w:cs="Times New Roman"/>
          <w:sz w:val="20"/>
        </w:rPr>
      </w:pPr>
    </w:p>
    <w:p w14:paraId="4C4D7C51" w14:textId="77777777" w:rsidR="00465083" w:rsidRDefault="00465083">
      <w:pPr>
        <w:spacing w:after="0" w:line="240" w:lineRule="auto"/>
        <w:ind w:right="-766"/>
        <w:jc w:val="both"/>
        <w:rPr>
          <w:rFonts w:ascii="Times New Roman" w:eastAsia="Times New Roman" w:hAnsi="Times New Roman" w:cs="Times New Roman"/>
          <w:sz w:val="20"/>
        </w:rPr>
      </w:pPr>
    </w:p>
    <w:p w14:paraId="53A71B2C" w14:textId="77777777" w:rsidR="00465083" w:rsidRDefault="00465083">
      <w:pPr>
        <w:spacing w:after="0" w:line="240" w:lineRule="auto"/>
        <w:ind w:right="-766"/>
        <w:jc w:val="both"/>
        <w:rPr>
          <w:rFonts w:ascii="Times New Roman" w:eastAsia="Times New Roman" w:hAnsi="Times New Roman" w:cs="Times New Roman"/>
          <w:sz w:val="20"/>
        </w:rPr>
      </w:pPr>
    </w:p>
    <w:p w14:paraId="4CCA4877" w14:textId="77777777" w:rsidR="00465083" w:rsidRDefault="00465083">
      <w:pPr>
        <w:spacing w:after="0" w:line="240" w:lineRule="auto"/>
        <w:ind w:right="-766"/>
        <w:jc w:val="both"/>
        <w:rPr>
          <w:rFonts w:ascii="Times New Roman" w:eastAsia="Times New Roman" w:hAnsi="Times New Roman" w:cs="Times New Roman"/>
          <w:i/>
          <w:sz w:val="20"/>
        </w:rPr>
      </w:pPr>
    </w:p>
    <w:p w14:paraId="074AE323" w14:textId="77777777" w:rsidR="00465083" w:rsidRDefault="00465083">
      <w:pPr>
        <w:spacing w:after="0" w:line="240" w:lineRule="auto"/>
        <w:jc w:val="both"/>
        <w:rPr>
          <w:rFonts w:ascii="Times New Roman" w:eastAsia="Times New Roman" w:hAnsi="Times New Roman" w:cs="Times New Roman"/>
          <w:b/>
          <w:i/>
          <w:sz w:val="20"/>
          <w:szCs w:val="20"/>
        </w:rPr>
      </w:pPr>
    </w:p>
    <w:p w14:paraId="5EF86A63" w14:textId="77777777" w:rsidR="00465083" w:rsidRDefault="00465083">
      <w:pPr>
        <w:spacing w:after="0" w:line="240" w:lineRule="auto"/>
        <w:jc w:val="center"/>
        <w:rPr>
          <w:rFonts w:ascii="Times New Roman" w:eastAsia="Times New Roman" w:hAnsi="Times New Roman" w:cs="Times New Roman"/>
          <w:b/>
          <w:i/>
          <w:sz w:val="44"/>
          <w:szCs w:val="44"/>
        </w:rPr>
      </w:pPr>
    </w:p>
    <w:p w14:paraId="7B164C66" w14:textId="3A68267D" w:rsidR="00465083" w:rsidRDefault="00D90BA2">
      <w:pPr>
        <w:pStyle w:val="P68B1DB1-Normal3"/>
        <w:spacing w:after="0" w:line="240" w:lineRule="auto"/>
        <w:jc w:val="center"/>
        <w:rPr>
          <w:b/>
        </w:rPr>
      </w:pPr>
      <w:r>
        <w:t>JSC “LabMedTech”</w:t>
      </w:r>
    </w:p>
    <w:p w14:paraId="1BB6E62E" w14:textId="4435D445" w:rsidR="008979C6" w:rsidRPr="008979C6" w:rsidRDefault="0065350D">
      <w:pPr>
        <w:pStyle w:val="P68B1DB1-Normal5"/>
        <w:tabs>
          <w:tab w:val="left" w:pos="1134"/>
          <w:tab w:val="left" w:pos="1163"/>
        </w:tabs>
        <w:spacing w:after="0" w:line="240" w:lineRule="auto"/>
        <w:ind w:left="1163" w:hanging="737"/>
        <w:jc w:val="center"/>
        <w:rPr>
          <w:b w:val="0"/>
          <w:bCs/>
        </w:rPr>
      </w:pPr>
      <w:r w:rsidRPr="008979C6">
        <w:rPr>
          <w:b w:val="0"/>
          <w:bCs/>
        </w:rPr>
        <w:t>Procurement</w:t>
      </w:r>
      <w:r w:rsidR="00522A37">
        <w:rPr>
          <w:b w:val="0"/>
          <w:bCs/>
        </w:rPr>
        <w:t xml:space="preserve"> </w:t>
      </w:r>
    </w:p>
    <w:p w14:paraId="775D94E0" w14:textId="5E29A638" w:rsidR="00465083" w:rsidRDefault="008979C6">
      <w:pPr>
        <w:pStyle w:val="P68B1DB1-Normal5"/>
        <w:tabs>
          <w:tab w:val="left" w:pos="1134"/>
          <w:tab w:val="left" w:pos="1163"/>
        </w:tabs>
        <w:spacing w:after="0" w:line="240" w:lineRule="auto"/>
        <w:ind w:left="1163" w:hanging="737"/>
        <w:jc w:val="center"/>
      </w:pPr>
      <w:r>
        <w:rPr>
          <w:color w:val="000000"/>
        </w:rPr>
        <w:t>“</w:t>
      </w:r>
      <w:r w:rsidR="00000000">
        <w:t>Manufacture and supply of breath analy</w:t>
      </w:r>
      <w:r w:rsidR="0065350D">
        <w:t>z</w:t>
      </w:r>
      <w:r w:rsidR="00000000">
        <w:t>ers. Manufacture, supply and assembly of calibration platforms (</w:t>
      </w:r>
      <w:r w:rsidR="0065350D">
        <w:t>equipment</w:t>
      </w:r>
      <w:r w:rsidR="00000000">
        <w:t xml:space="preserve">) for breath </w:t>
      </w:r>
      <w:r w:rsidR="007C29F9">
        <w:t>analy</w:t>
      </w:r>
      <w:r w:rsidR="007C29F9">
        <w:t>z</w:t>
      </w:r>
      <w:r w:rsidR="007C29F9">
        <w:t xml:space="preserve">ers </w:t>
      </w:r>
      <w:r w:rsidR="00000000">
        <w:t>(supply of hardware with appropriate software for a calibration system with technical support)</w:t>
      </w:r>
      <w:r>
        <w:rPr>
          <w:color w:val="000000"/>
        </w:rPr>
        <w:t>”</w:t>
      </w:r>
    </w:p>
    <w:p w14:paraId="48F30C4A" w14:textId="77777777" w:rsidR="00C82EBC" w:rsidRPr="008979C6" w:rsidRDefault="00C82EBC" w:rsidP="00C82EBC">
      <w:pPr>
        <w:pStyle w:val="P68B1DB1-BodyText6"/>
        <w:jc w:val="center"/>
      </w:pPr>
      <w:r w:rsidRPr="008979C6">
        <w:t>For the purposes of the EU Recovery Fund project</w:t>
      </w:r>
    </w:p>
    <w:p w14:paraId="2E9A70B5" w14:textId="25EDF9C2" w:rsidR="00465083" w:rsidRPr="008979C6" w:rsidRDefault="00C82EBC">
      <w:pPr>
        <w:pStyle w:val="BodyText"/>
        <w:jc w:val="center"/>
        <w:rPr>
          <w:rFonts w:ascii="Times New Roman" w:hAnsi="Times New Roman" w:cs="Times New Roman"/>
          <w:b/>
          <w:sz w:val="16"/>
          <w:szCs w:val="16"/>
        </w:rPr>
      </w:pPr>
      <w:r w:rsidRPr="008979C6">
        <w:rPr>
          <w:rFonts w:ascii="Times New Roman" w:hAnsi="Times New Roman" w:cs="Times New Roman"/>
        </w:rPr>
        <w:t>“Development of a diagnostic concept of breath volatile markers for early and personalized cancer diagnosis and provision of infrastructure for research at European and global level (BRAVO)” No. 5.1.1.2.i.0/4/24/A/CFLA/006</w:t>
      </w:r>
    </w:p>
    <w:p w14:paraId="75E29390" w14:textId="77777777" w:rsidR="00465083" w:rsidRPr="008979C6" w:rsidRDefault="00465083">
      <w:pPr>
        <w:pStyle w:val="Heading4"/>
        <w:jc w:val="center"/>
        <w:rPr>
          <w:rFonts w:ascii="Times New Roman" w:hAnsi="Times New Roman"/>
          <w:b/>
          <w:i w:val="0"/>
          <w:iCs w:val="0"/>
          <w:color w:val="000000"/>
          <w:sz w:val="16"/>
          <w:szCs w:val="16"/>
        </w:rPr>
      </w:pPr>
    </w:p>
    <w:p w14:paraId="59385A41" w14:textId="77777777" w:rsidR="00B23224" w:rsidRDefault="00B23224" w:rsidP="009B30A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OPEN </w:t>
      </w:r>
      <w:r w:rsidR="00AF480E" w:rsidRPr="009E49E8">
        <w:rPr>
          <w:rFonts w:ascii="Times New Roman" w:hAnsi="Times New Roman" w:cs="Times New Roman"/>
          <w:sz w:val="28"/>
          <w:szCs w:val="28"/>
        </w:rPr>
        <w:t>TENDER</w:t>
      </w:r>
      <w:r w:rsidR="00AF480E" w:rsidRPr="00AF480E">
        <w:rPr>
          <w:rFonts w:ascii="Times New Roman" w:hAnsi="Times New Roman" w:cs="Times New Roman"/>
          <w:sz w:val="28"/>
          <w:szCs w:val="28"/>
        </w:rPr>
        <w:t xml:space="preserve"> </w:t>
      </w:r>
    </w:p>
    <w:p w14:paraId="178B515E" w14:textId="7861C10F" w:rsidR="00465083" w:rsidRPr="009E49E8" w:rsidRDefault="0065350D" w:rsidP="009B30AE">
      <w:pPr>
        <w:spacing w:after="0" w:line="240" w:lineRule="auto"/>
        <w:jc w:val="center"/>
        <w:rPr>
          <w:rFonts w:ascii="Times New Roman" w:hAnsi="Times New Roman" w:cs="Times New Roman"/>
          <w:i/>
          <w:color w:val="000000"/>
          <w:sz w:val="28"/>
          <w:szCs w:val="28"/>
        </w:rPr>
      </w:pPr>
      <w:r w:rsidRPr="00AF480E">
        <w:rPr>
          <w:rFonts w:ascii="Times New Roman" w:hAnsi="Times New Roman" w:cs="Times New Roman"/>
          <w:sz w:val="28"/>
          <w:szCs w:val="28"/>
        </w:rPr>
        <w:t>REGULATION</w:t>
      </w:r>
      <w:r w:rsidR="008979C6" w:rsidRPr="00AF480E">
        <w:rPr>
          <w:rFonts w:ascii="Times New Roman" w:hAnsi="Times New Roman" w:cs="Times New Roman"/>
          <w:sz w:val="28"/>
          <w:szCs w:val="28"/>
        </w:rPr>
        <w:t>S</w:t>
      </w:r>
    </w:p>
    <w:p w14:paraId="56BD2FF4" w14:textId="77777777" w:rsidR="00465083" w:rsidRPr="008979C6" w:rsidRDefault="00465083">
      <w:pPr>
        <w:spacing w:after="0" w:line="240" w:lineRule="auto"/>
        <w:jc w:val="both"/>
        <w:rPr>
          <w:rFonts w:ascii="Times New Roman" w:eastAsia="Times New Roman" w:hAnsi="Times New Roman" w:cs="Times New Roman"/>
          <w:b/>
          <w:i/>
          <w:szCs w:val="20"/>
        </w:rPr>
      </w:pPr>
    </w:p>
    <w:p w14:paraId="32E5954F" w14:textId="77777777" w:rsidR="00465083" w:rsidRPr="008979C6" w:rsidRDefault="00465083">
      <w:pPr>
        <w:spacing w:after="0"/>
        <w:jc w:val="both"/>
        <w:rPr>
          <w:rFonts w:ascii="Times New Roman" w:eastAsia="Times New Roman" w:hAnsi="Times New Roman" w:cs="Times New Roman"/>
          <w:b/>
          <w:szCs w:val="20"/>
        </w:rPr>
      </w:pPr>
    </w:p>
    <w:p w14:paraId="2C9DC03B" w14:textId="77777777" w:rsidR="00465083" w:rsidRPr="008979C6" w:rsidRDefault="00465083">
      <w:pPr>
        <w:spacing w:after="0" w:line="240" w:lineRule="auto"/>
        <w:jc w:val="both"/>
        <w:rPr>
          <w:rFonts w:ascii="Times New Roman" w:eastAsia="Times New Roman" w:hAnsi="Times New Roman" w:cs="Times New Roman"/>
          <w:b/>
          <w:bCs/>
          <w:caps/>
          <w:sz w:val="20"/>
          <w:szCs w:val="24"/>
        </w:rPr>
      </w:pPr>
    </w:p>
    <w:p w14:paraId="3AE46AAE" w14:textId="77777777" w:rsidR="00465083" w:rsidRPr="008979C6" w:rsidRDefault="00465083">
      <w:pPr>
        <w:spacing w:after="0" w:line="240" w:lineRule="auto"/>
        <w:jc w:val="both"/>
        <w:rPr>
          <w:rFonts w:ascii="Times New Roman" w:eastAsia="Times New Roman" w:hAnsi="Times New Roman" w:cs="Times New Roman"/>
          <w:b/>
          <w:bCs/>
          <w:caps/>
          <w:sz w:val="20"/>
          <w:szCs w:val="20"/>
        </w:rPr>
      </w:pPr>
    </w:p>
    <w:p w14:paraId="67DD677B" w14:textId="77777777" w:rsidR="00465083" w:rsidRPr="008979C6" w:rsidRDefault="00465083">
      <w:pPr>
        <w:spacing w:after="0" w:line="240" w:lineRule="auto"/>
        <w:jc w:val="both"/>
        <w:rPr>
          <w:rFonts w:ascii="Times New Roman" w:eastAsia="Times New Roman" w:hAnsi="Times New Roman" w:cs="Times New Roman"/>
          <w:b/>
          <w:caps/>
          <w:sz w:val="20"/>
          <w:szCs w:val="24"/>
        </w:rPr>
      </w:pPr>
    </w:p>
    <w:p w14:paraId="33D7C475" w14:textId="77777777" w:rsidR="00465083" w:rsidRPr="008979C6" w:rsidRDefault="00465083">
      <w:pPr>
        <w:spacing w:after="0" w:line="240" w:lineRule="auto"/>
        <w:jc w:val="both"/>
        <w:rPr>
          <w:rFonts w:ascii="Times New Roman" w:eastAsia="Times New Roman" w:hAnsi="Times New Roman" w:cs="Times New Roman"/>
          <w:b/>
          <w:sz w:val="20"/>
          <w:szCs w:val="24"/>
        </w:rPr>
      </w:pPr>
    </w:p>
    <w:p w14:paraId="7798901F" w14:textId="77777777" w:rsidR="00465083" w:rsidRPr="008979C6" w:rsidRDefault="00465083">
      <w:pPr>
        <w:spacing w:after="0" w:line="240" w:lineRule="auto"/>
        <w:jc w:val="both"/>
        <w:rPr>
          <w:rFonts w:ascii="Times New Roman" w:eastAsia="Times New Roman" w:hAnsi="Times New Roman" w:cs="Times New Roman"/>
          <w:b/>
          <w:caps/>
          <w:sz w:val="20"/>
          <w:szCs w:val="20"/>
        </w:rPr>
      </w:pPr>
    </w:p>
    <w:p w14:paraId="32DDEA60" w14:textId="77777777" w:rsidR="00465083" w:rsidRPr="008979C6" w:rsidRDefault="00465083">
      <w:pPr>
        <w:spacing w:after="0" w:line="240" w:lineRule="auto"/>
        <w:jc w:val="both"/>
        <w:rPr>
          <w:rFonts w:ascii="Times New Roman" w:eastAsia="Times New Roman" w:hAnsi="Times New Roman" w:cs="Times New Roman"/>
          <w:b/>
          <w:caps/>
          <w:sz w:val="20"/>
          <w:szCs w:val="20"/>
        </w:rPr>
      </w:pPr>
    </w:p>
    <w:p w14:paraId="06753B1F" w14:textId="77777777" w:rsidR="00465083" w:rsidRPr="008979C6" w:rsidRDefault="00465083">
      <w:pPr>
        <w:spacing w:after="0" w:line="240" w:lineRule="auto"/>
        <w:jc w:val="both"/>
        <w:rPr>
          <w:rFonts w:ascii="Times New Roman" w:eastAsia="Times New Roman" w:hAnsi="Times New Roman" w:cs="Times New Roman"/>
          <w:caps/>
          <w:sz w:val="20"/>
        </w:rPr>
      </w:pPr>
    </w:p>
    <w:p w14:paraId="5A69CA5C" w14:textId="77777777" w:rsidR="00465083" w:rsidRPr="008979C6" w:rsidRDefault="00465083">
      <w:pPr>
        <w:spacing w:after="0" w:line="240" w:lineRule="auto"/>
        <w:jc w:val="both"/>
        <w:rPr>
          <w:rFonts w:ascii="Times New Roman" w:eastAsia="Times New Roman" w:hAnsi="Times New Roman" w:cs="Times New Roman"/>
          <w:caps/>
          <w:sz w:val="20"/>
        </w:rPr>
      </w:pPr>
    </w:p>
    <w:p w14:paraId="27850ACF" w14:textId="77777777" w:rsidR="00465083" w:rsidRPr="008979C6" w:rsidRDefault="00465083">
      <w:pPr>
        <w:spacing w:after="0" w:line="240" w:lineRule="auto"/>
        <w:jc w:val="both"/>
        <w:rPr>
          <w:rFonts w:ascii="Times New Roman" w:eastAsia="Times New Roman" w:hAnsi="Times New Roman" w:cs="Times New Roman"/>
          <w:caps/>
          <w:sz w:val="20"/>
        </w:rPr>
      </w:pPr>
    </w:p>
    <w:p w14:paraId="35FC6371" w14:textId="77777777" w:rsidR="00465083" w:rsidRPr="008979C6" w:rsidRDefault="00465083">
      <w:pPr>
        <w:spacing w:after="0" w:line="240" w:lineRule="auto"/>
        <w:jc w:val="both"/>
        <w:rPr>
          <w:rFonts w:ascii="Times New Roman" w:eastAsia="Times New Roman" w:hAnsi="Times New Roman" w:cs="Times New Roman"/>
          <w:caps/>
          <w:sz w:val="20"/>
        </w:rPr>
      </w:pPr>
    </w:p>
    <w:p w14:paraId="2E7FC164" w14:textId="77777777" w:rsidR="00465083" w:rsidRPr="008979C6" w:rsidRDefault="00465083">
      <w:pPr>
        <w:spacing w:after="0" w:line="240" w:lineRule="auto"/>
        <w:jc w:val="both"/>
        <w:rPr>
          <w:rFonts w:ascii="Times New Roman" w:eastAsia="Times New Roman" w:hAnsi="Times New Roman" w:cs="Times New Roman"/>
          <w:caps/>
          <w:sz w:val="20"/>
        </w:rPr>
      </w:pPr>
    </w:p>
    <w:p w14:paraId="762ADCE9" w14:textId="77777777" w:rsidR="00465083" w:rsidRPr="008979C6" w:rsidRDefault="00465083">
      <w:pPr>
        <w:spacing w:after="0" w:line="240" w:lineRule="auto"/>
        <w:jc w:val="both"/>
        <w:rPr>
          <w:rFonts w:ascii="Times New Roman" w:eastAsia="Times New Roman" w:hAnsi="Times New Roman" w:cs="Times New Roman"/>
          <w:caps/>
          <w:sz w:val="20"/>
        </w:rPr>
      </w:pPr>
    </w:p>
    <w:p w14:paraId="6569D0B3" w14:textId="77777777" w:rsidR="00465083" w:rsidRPr="008979C6" w:rsidRDefault="00465083">
      <w:pPr>
        <w:spacing w:after="0" w:line="240" w:lineRule="auto"/>
        <w:jc w:val="both"/>
        <w:rPr>
          <w:rFonts w:ascii="Times New Roman" w:eastAsia="Times New Roman" w:hAnsi="Times New Roman" w:cs="Times New Roman"/>
          <w:caps/>
          <w:sz w:val="20"/>
        </w:rPr>
      </w:pPr>
    </w:p>
    <w:p w14:paraId="27785F2F" w14:textId="77777777" w:rsidR="00465083" w:rsidRPr="008979C6" w:rsidRDefault="00465083">
      <w:pPr>
        <w:spacing w:after="0" w:line="240" w:lineRule="auto"/>
        <w:jc w:val="both"/>
        <w:rPr>
          <w:rFonts w:ascii="Times New Roman" w:eastAsia="Times New Roman" w:hAnsi="Times New Roman" w:cs="Times New Roman"/>
          <w:caps/>
          <w:sz w:val="20"/>
        </w:rPr>
      </w:pPr>
    </w:p>
    <w:p w14:paraId="4FE86717" w14:textId="77777777" w:rsidR="00465083" w:rsidRPr="008979C6" w:rsidRDefault="00465083">
      <w:pPr>
        <w:spacing w:after="0" w:line="240" w:lineRule="auto"/>
        <w:ind w:right="-766"/>
        <w:jc w:val="both"/>
        <w:rPr>
          <w:rFonts w:ascii="Times New Roman" w:eastAsia="Times New Roman" w:hAnsi="Times New Roman" w:cs="Times New Roman"/>
          <w:caps/>
          <w:sz w:val="20"/>
          <w:szCs w:val="20"/>
        </w:rPr>
      </w:pPr>
    </w:p>
    <w:p w14:paraId="21C7AF1B" w14:textId="77777777" w:rsidR="00465083" w:rsidRPr="008979C6" w:rsidRDefault="00000000">
      <w:pPr>
        <w:pStyle w:val="P68B1DB1-Normal8"/>
        <w:spacing w:after="0" w:line="240" w:lineRule="auto"/>
        <w:ind w:right="-2"/>
        <w:jc w:val="center"/>
      </w:pPr>
      <w:r w:rsidRPr="008979C6">
        <w:t>Riga, 2025</w:t>
      </w:r>
    </w:p>
    <w:p w14:paraId="049558CF" w14:textId="77777777" w:rsidR="00465083" w:rsidRDefault="00465083">
      <w:pPr>
        <w:spacing w:after="0" w:line="240" w:lineRule="auto"/>
        <w:ind w:right="-2"/>
        <w:jc w:val="both"/>
        <w:rPr>
          <w:rFonts w:ascii="Times New Roman" w:eastAsia="Times New Roman" w:hAnsi="Times New Roman" w:cs="Times New Roman"/>
          <w:sz w:val="20"/>
          <w:szCs w:val="20"/>
        </w:rPr>
      </w:pPr>
    </w:p>
    <w:p w14:paraId="707CA0F0" w14:textId="77777777" w:rsidR="00465083" w:rsidRDefault="00465083">
      <w:pPr>
        <w:spacing w:after="0" w:line="240" w:lineRule="auto"/>
        <w:ind w:right="-2"/>
        <w:jc w:val="both"/>
        <w:rPr>
          <w:rFonts w:ascii="Times New Roman" w:eastAsia="Times New Roman" w:hAnsi="Times New Roman" w:cs="Times New Roman"/>
          <w:sz w:val="20"/>
          <w:szCs w:val="20"/>
        </w:rPr>
      </w:pPr>
    </w:p>
    <w:p w14:paraId="783709AD" w14:textId="77777777" w:rsidR="00465083" w:rsidRDefault="00465083">
      <w:pPr>
        <w:spacing w:after="0" w:line="240" w:lineRule="auto"/>
        <w:ind w:right="-2"/>
        <w:jc w:val="both"/>
        <w:rPr>
          <w:rFonts w:ascii="Times New Roman" w:eastAsia="Times New Roman" w:hAnsi="Times New Roman" w:cs="Times New Roman"/>
          <w:sz w:val="20"/>
          <w:szCs w:val="20"/>
        </w:rPr>
      </w:pPr>
    </w:p>
    <w:p w14:paraId="727B20AA" w14:textId="77777777" w:rsidR="00465083" w:rsidRDefault="00465083">
      <w:pPr>
        <w:spacing w:after="0" w:line="240" w:lineRule="auto"/>
        <w:ind w:right="-2"/>
        <w:jc w:val="both"/>
        <w:rPr>
          <w:rFonts w:ascii="Times New Roman" w:eastAsia="Times New Roman" w:hAnsi="Times New Roman" w:cs="Times New Roman"/>
          <w:sz w:val="20"/>
          <w:szCs w:val="20"/>
        </w:rPr>
      </w:pPr>
    </w:p>
    <w:p w14:paraId="78A10C78" w14:textId="77777777" w:rsidR="00465083" w:rsidRDefault="00465083">
      <w:pPr>
        <w:spacing w:after="0" w:line="240" w:lineRule="auto"/>
        <w:ind w:right="-2"/>
        <w:jc w:val="both"/>
        <w:rPr>
          <w:rFonts w:ascii="Times New Roman" w:eastAsia="Times New Roman" w:hAnsi="Times New Roman" w:cs="Times New Roman"/>
          <w:sz w:val="20"/>
          <w:szCs w:val="20"/>
        </w:rPr>
      </w:pPr>
    </w:p>
    <w:p w14:paraId="55685B64" w14:textId="77777777" w:rsidR="00465083" w:rsidRDefault="00465083">
      <w:pPr>
        <w:spacing w:after="0" w:line="240" w:lineRule="auto"/>
        <w:ind w:right="-2"/>
        <w:jc w:val="both"/>
        <w:rPr>
          <w:rFonts w:ascii="Times New Roman" w:eastAsia="Times New Roman" w:hAnsi="Times New Roman" w:cs="Times New Roman"/>
          <w:sz w:val="20"/>
          <w:szCs w:val="20"/>
        </w:rPr>
      </w:pPr>
    </w:p>
    <w:p w14:paraId="1F86F8A7" w14:textId="77777777" w:rsidR="00465083" w:rsidRDefault="00465083">
      <w:pPr>
        <w:spacing w:after="0" w:line="240" w:lineRule="auto"/>
        <w:ind w:right="-2"/>
        <w:jc w:val="both"/>
        <w:rPr>
          <w:rFonts w:ascii="Times New Roman" w:eastAsia="Times New Roman" w:hAnsi="Times New Roman" w:cs="Times New Roman"/>
          <w:sz w:val="20"/>
          <w:szCs w:val="20"/>
        </w:rPr>
      </w:pPr>
    </w:p>
    <w:p w14:paraId="17FDD2AC" w14:textId="77777777" w:rsidR="00465083" w:rsidRDefault="00465083">
      <w:pPr>
        <w:spacing w:after="0" w:line="240" w:lineRule="auto"/>
        <w:ind w:right="-2"/>
        <w:jc w:val="both"/>
        <w:rPr>
          <w:rFonts w:ascii="Times New Roman" w:eastAsia="Times New Roman" w:hAnsi="Times New Roman" w:cs="Times New Roman"/>
          <w:sz w:val="20"/>
          <w:szCs w:val="20"/>
        </w:rPr>
      </w:pPr>
    </w:p>
    <w:p w14:paraId="7FB8BB86" w14:textId="77777777" w:rsidR="00C82EBC" w:rsidRDefault="00C82EBC">
      <w:pPr>
        <w:spacing w:after="0" w:line="240" w:lineRule="auto"/>
        <w:ind w:right="-2"/>
        <w:jc w:val="both"/>
        <w:rPr>
          <w:rFonts w:ascii="Times New Roman" w:eastAsia="Times New Roman" w:hAnsi="Times New Roman" w:cs="Times New Roman"/>
          <w:sz w:val="20"/>
          <w:szCs w:val="20"/>
        </w:rPr>
      </w:pPr>
    </w:p>
    <w:p w14:paraId="7F87C634" w14:textId="77777777" w:rsidR="00465083" w:rsidRDefault="00000000">
      <w:pPr>
        <w:pStyle w:val="P68B1DB1-Heading39"/>
      </w:pPr>
      <w:r>
        <w:t>1. GENERAL PROVISIONS</w:t>
      </w:r>
    </w:p>
    <w:p w14:paraId="16CBC229" w14:textId="77777777" w:rsidR="00465083" w:rsidRDefault="00000000">
      <w:pPr>
        <w:pStyle w:val="P68B1DB1-Stils210"/>
        <w:numPr>
          <w:ilvl w:val="1"/>
          <w:numId w:val="7"/>
        </w:numPr>
      </w:pPr>
      <w:r>
        <w:t>Terms used in the by-law</w:t>
      </w:r>
    </w:p>
    <w:p w14:paraId="21E46FBF" w14:textId="77777777" w:rsidR="00465083" w:rsidRDefault="00000000">
      <w:pPr>
        <w:pStyle w:val="P68B1DB1-BodyText11"/>
        <w:ind w:left="426"/>
        <w:jc w:val="both"/>
      </w:pPr>
      <w:r>
        <w:rPr>
          <w:b/>
        </w:rPr>
        <w:t>Procurement</w:t>
      </w:r>
      <w:r>
        <w:t xml:space="preserve"> — production and supply of breath analysers. Manufacture, supply and assembly of calibration platform (equipment) for breath analysers (supply of hardware with appropriate software for calibration system with technical support) ', identification number LMT/BRAVO/2025-3.</w:t>
      </w:r>
    </w:p>
    <w:p w14:paraId="539FA57D" w14:textId="77777777" w:rsidR="00465083" w:rsidRDefault="00000000">
      <w:pPr>
        <w:spacing w:after="0" w:line="240" w:lineRule="auto"/>
        <w:ind w:firstLine="426"/>
        <w:jc w:val="both"/>
      </w:pPr>
      <w:r>
        <w:t>The commissioning party shall:</w:t>
      </w:r>
    </w:p>
    <w:tbl>
      <w:tblPr>
        <w:tblW w:w="8656" w:type="dxa"/>
        <w:tblInd w:w="529" w:type="dxa"/>
        <w:tblLayout w:type="fixed"/>
        <w:tblLook w:val="04A0" w:firstRow="1" w:lastRow="0" w:firstColumn="1" w:lastColumn="0" w:noHBand="0" w:noVBand="1"/>
      </w:tblPr>
      <w:tblGrid>
        <w:gridCol w:w="3262"/>
        <w:gridCol w:w="5394"/>
      </w:tblGrid>
      <w:tr w:rsidR="00465083" w14:paraId="32898FE7" w14:textId="77777777">
        <w:tc>
          <w:tcPr>
            <w:tcW w:w="3262" w:type="dxa"/>
            <w:tcBorders>
              <w:top w:val="single" w:sz="4" w:space="0" w:color="000000"/>
              <w:left w:val="single" w:sz="4" w:space="0" w:color="000000"/>
              <w:bottom w:val="single" w:sz="4" w:space="0" w:color="000000"/>
              <w:right w:val="single" w:sz="4" w:space="0" w:color="000000"/>
            </w:tcBorders>
          </w:tcPr>
          <w:p w14:paraId="2E9C819B" w14:textId="77777777" w:rsidR="00465083" w:rsidRDefault="00000000">
            <w:pPr>
              <w:pStyle w:val="P68B1DB1-Normal12"/>
              <w:spacing w:after="0" w:line="240" w:lineRule="auto"/>
              <w:jc w:val="both"/>
            </w:pPr>
            <w:r>
              <w:t>Name of the commissioning party:</w:t>
            </w:r>
          </w:p>
        </w:tc>
        <w:tc>
          <w:tcPr>
            <w:tcW w:w="5394" w:type="dxa"/>
            <w:tcBorders>
              <w:top w:val="single" w:sz="4" w:space="0" w:color="000000"/>
              <w:left w:val="single" w:sz="4" w:space="0" w:color="000000"/>
              <w:bottom w:val="single" w:sz="4" w:space="0" w:color="000000"/>
              <w:right w:val="single" w:sz="4" w:space="0" w:color="000000"/>
            </w:tcBorders>
          </w:tcPr>
          <w:p w14:paraId="4524DEF1" w14:textId="0DEE8292" w:rsidR="00465083" w:rsidRDefault="00D90BA2">
            <w:pPr>
              <w:pStyle w:val="P68B1DB1-Normal12"/>
              <w:spacing w:after="0" w:line="240" w:lineRule="auto"/>
              <w:jc w:val="both"/>
            </w:pPr>
            <w:r>
              <w:t xml:space="preserve">JSC </w:t>
            </w:r>
            <w:r w:rsidR="00000000">
              <w:t>“LabMedTech”</w:t>
            </w:r>
          </w:p>
        </w:tc>
      </w:tr>
      <w:tr w:rsidR="00465083" w14:paraId="6D970A0E" w14:textId="77777777">
        <w:tc>
          <w:tcPr>
            <w:tcW w:w="3262" w:type="dxa"/>
            <w:tcBorders>
              <w:top w:val="single" w:sz="4" w:space="0" w:color="000000"/>
              <w:left w:val="single" w:sz="4" w:space="0" w:color="000000"/>
              <w:bottom w:val="single" w:sz="4" w:space="0" w:color="000000"/>
              <w:right w:val="single" w:sz="4" w:space="0" w:color="000000"/>
            </w:tcBorders>
          </w:tcPr>
          <w:p w14:paraId="62626E47" w14:textId="77777777" w:rsidR="00465083" w:rsidRDefault="00000000">
            <w:pPr>
              <w:pStyle w:val="P68B1DB1-Normal12"/>
              <w:spacing w:after="0" w:line="240" w:lineRule="auto"/>
              <w:jc w:val="both"/>
            </w:pPr>
            <w:r>
              <w:t>Registration number:</w:t>
            </w:r>
          </w:p>
        </w:tc>
        <w:tc>
          <w:tcPr>
            <w:tcW w:w="5394" w:type="dxa"/>
            <w:tcBorders>
              <w:top w:val="single" w:sz="4" w:space="0" w:color="000000"/>
              <w:left w:val="single" w:sz="4" w:space="0" w:color="000000"/>
              <w:bottom w:val="single" w:sz="4" w:space="0" w:color="000000"/>
              <w:right w:val="single" w:sz="4" w:space="0" w:color="000000"/>
            </w:tcBorders>
          </w:tcPr>
          <w:p w14:paraId="752D8011" w14:textId="77777777" w:rsidR="00465083" w:rsidRDefault="00000000">
            <w:pPr>
              <w:spacing w:after="0" w:line="240" w:lineRule="auto"/>
              <w:jc w:val="both"/>
              <w:rPr>
                <w:rFonts w:ascii="Times New Roman" w:hAnsi="Times New Roman" w:cs="Times New Roman"/>
                <w:sz w:val="20"/>
                <w:szCs w:val="20"/>
              </w:rPr>
            </w:pPr>
            <w:r>
              <w:rPr>
                <w:rStyle w:val="Emphasis"/>
                <w:rFonts w:ascii="Times New Roman" w:hAnsi="Times New Roman" w:cs="Times New Roman"/>
                <w:i w:val="0"/>
                <w:iCs w:val="0"/>
                <w:color w:val="000000"/>
                <w:sz w:val="20"/>
                <w:szCs w:val="20"/>
              </w:rPr>
              <w:t>40103165010</w:t>
            </w:r>
          </w:p>
        </w:tc>
      </w:tr>
      <w:tr w:rsidR="00465083" w14:paraId="55846B14" w14:textId="77777777">
        <w:tc>
          <w:tcPr>
            <w:tcW w:w="3262" w:type="dxa"/>
            <w:tcBorders>
              <w:top w:val="single" w:sz="4" w:space="0" w:color="000000"/>
              <w:left w:val="single" w:sz="4" w:space="0" w:color="000000"/>
              <w:bottom w:val="single" w:sz="4" w:space="0" w:color="000000"/>
              <w:right w:val="single" w:sz="4" w:space="0" w:color="000000"/>
            </w:tcBorders>
          </w:tcPr>
          <w:p w14:paraId="56699AEB" w14:textId="77777777" w:rsidR="00465083" w:rsidRDefault="00000000">
            <w:pPr>
              <w:pStyle w:val="P68B1DB1-Normal12"/>
              <w:spacing w:after="0" w:line="240" w:lineRule="auto"/>
              <w:jc w:val="both"/>
            </w:pPr>
            <w:r>
              <w:t>Registered office:</w:t>
            </w:r>
          </w:p>
        </w:tc>
        <w:tc>
          <w:tcPr>
            <w:tcW w:w="5394" w:type="dxa"/>
            <w:tcBorders>
              <w:top w:val="single" w:sz="4" w:space="0" w:color="000000"/>
              <w:left w:val="single" w:sz="4" w:space="0" w:color="000000"/>
              <w:bottom w:val="single" w:sz="4" w:space="0" w:color="000000"/>
              <w:right w:val="single" w:sz="4" w:space="0" w:color="000000"/>
            </w:tcBorders>
          </w:tcPr>
          <w:p w14:paraId="2C690F80" w14:textId="77777777" w:rsidR="00465083" w:rsidRDefault="00000000">
            <w:pPr>
              <w:pStyle w:val="P68B1DB1-Normal12"/>
              <w:spacing w:after="0" w:line="240" w:lineRule="auto"/>
              <w:jc w:val="both"/>
            </w:pPr>
            <w:r>
              <w:rPr>
                <w:color w:val="000000"/>
              </w:rPr>
              <w:t>Ilukste Street 45, Riga, LV-1073</w:t>
            </w:r>
            <w:r>
              <w:t>, Latvia</w:t>
            </w:r>
          </w:p>
        </w:tc>
      </w:tr>
      <w:tr w:rsidR="00465083" w14:paraId="7324A04C" w14:textId="77777777">
        <w:tc>
          <w:tcPr>
            <w:tcW w:w="3262" w:type="dxa"/>
            <w:tcBorders>
              <w:top w:val="single" w:sz="4" w:space="0" w:color="000000"/>
              <w:left w:val="single" w:sz="4" w:space="0" w:color="000000"/>
              <w:bottom w:val="single" w:sz="4" w:space="0" w:color="000000"/>
              <w:right w:val="single" w:sz="4" w:space="0" w:color="000000"/>
            </w:tcBorders>
          </w:tcPr>
          <w:p w14:paraId="540CC657" w14:textId="77777777" w:rsidR="00465083" w:rsidRDefault="00000000">
            <w:pPr>
              <w:pStyle w:val="P68B1DB1-Normal12"/>
              <w:spacing w:after="0" w:line="240" w:lineRule="auto"/>
              <w:jc w:val="both"/>
            </w:pPr>
            <w:r>
              <w:t>Phone:</w:t>
            </w:r>
          </w:p>
        </w:tc>
        <w:tc>
          <w:tcPr>
            <w:tcW w:w="5394" w:type="dxa"/>
            <w:tcBorders>
              <w:top w:val="single" w:sz="4" w:space="0" w:color="000000"/>
              <w:left w:val="single" w:sz="4" w:space="0" w:color="000000"/>
              <w:bottom w:val="single" w:sz="4" w:space="0" w:color="000000"/>
              <w:right w:val="single" w:sz="4" w:space="0" w:color="000000"/>
            </w:tcBorders>
          </w:tcPr>
          <w:p w14:paraId="0921DCEA" w14:textId="77777777" w:rsidR="00465083" w:rsidRDefault="00000000">
            <w:pPr>
              <w:pStyle w:val="P68B1DB1-Normal12"/>
              <w:spacing w:after="0" w:line="240" w:lineRule="auto"/>
              <w:jc w:val="both"/>
            </w:pPr>
            <w:r>
              <w:t>+371 29214868</w:t>
            </w:r>
          </w:p>
        </w:tc>
      </w:tr>
      <w:tr w:rsidR="00465083" w14:paraId="3D9BA1F7" w14:textId="77777777">
        <w:tc>
          <w:tcPr>
            <w:tcW w:w="3262" w:type="dxa"/>
            <w:tcBorders>
              <w:top w:val="single" w:sz="4" w:space="0" w:color="000000"/>
              <w:left w:val="single" w:sz="4" w:space="0" w:color="000000"/>
              <w:bottom w:val="single" w:sz="4" w:space="0" w:color="000000"/>
              <w:right w:val="single" w:sz="4" w:space="0" w:color="000000"/>
            </w:tcBorders>
          </w:tcPr>
          <w:p w14:paraId="5F2672A7" w14:textId="77777777" w:rsidR="00465083" w:rsidRDefault="00000000">
            <w:pPr>
              <w:pStyle w:val="P68B1DB1-Normal12"/>
              <w:spacing w:after="0" w:line="240" w:lineRule="auto"/>
              <w:jc w:val="both"/>
              <w:rPr>
                <w:highlight w:val="yellow"/>
              </w:rPr>
            </w:pPr>
            <w:r>
              <w:t>Website address:</w:t>
            </w:r>
          </w:p>
        </w:tc>
        <w:tc>
          <w:tcPr>
            <w:tcW w:w="5394" w:type="dxa"/>
            <w:tcBorders>
              <w:top w:val="single" w:sz="4" w:space="0" w:color="000000"/>
              <w:left w:val="single" w:sz="4" w:space="0" w:color="000000"/>
              <w:bottom w:val="single" w:sz="4" w:space="0" w:color="000000"/>
              <w:right w:val="single" w:sz="4" w:space="0" w:color="000000"/>
            </w:tcBorders>
          </w:tcPr>
          <w:p w14:paraId="61095200" w14:textId="77777777" w:rsidR="00465083" w:rsidRDefault="00000000">
            <w:pPr>
              <w:pStyle w:val="P68B1DB1-Normal12"/>
              <w:spacing w:after="0" w:line="240" w:lineRule="auto"/>
              <w:jc w:val="both"/>
            </w:pPr>
            <w:r>
              <w:t>www.labmedtech.org</w:t>
            </w:r>
          </w:p>
        </w:tc>
      </w:tr>
      <w:tr w:rsidR="00465083" w14:paraId="6DF891BA" w14:textId="77777777">
        <w:tc>
          <w:tcPr>
            <w:tcW w:w="3262" w:type="dxa"/>
            <w:tcBorders>
              <w:top w:val="single" w:sz="4" w:space="0" w:color="000000"/>
              <w:left w:val="single" w:sz="4" w:space="0" w:color="000000"/>
              <w:bottom w:val="single" w:sz="4" w:space="0" w:color="000000"/>
              <w:right w:val="single" w:sz="4" w:space="0" w:color="000000"/>
            </w:tcBorders>
          </w:tcPr>
          <w:p w14:paraId="16A16403" w14:textId="77777777" w:rsidR="00465083" w:rsidRDefault="00000000">
            <w:pPr>
              <w:pStyle w:val="P68B1DB1-Normal12"/>
              <w:spacing w:after="0" w:line="240" w:lineRule="auto"/>
              <w:jc w:val="both"/>
            </w:pPr>
            <w:r>
              <w:t>E-mail address:</w:t>
            </w:r>
          </w:p>
        </w:tc>
        <w:tc>
          <w:tcPr>
            <w:tcW w:w="5394" w:type="dxa"/>
            <w:tcBorders>
              <w:top w:val="single" w:sz="4" w:space="0" w:color="000000"/>
              <w:left w:val="single" w:sz="4" w:space="0" w:color="000000"/>
              <w:bottom w:val="single" w:sz="4" w:space="0" w:color="000000"/>
              <w:right w:val="single" w:sz="4" w:space="0" w:color="000000"/>
            </w:tcBorders>
          </w:tcPr>
          <w:p w14:paraId="4886946A" w14:textId="77777777" w:rsidR="00465083" w:rsidRDefault="00000000">
            <w:pPr>
              <w:pStyle w:val="P68B1DB1-Normal12"/>
              <w:spacing w:after="0" w:line="240" w:lineRule="auto"/>
              <w:jc w:val="both"/>
            </w:pPr>
            <w:r>
              <w:t>labmedtech@labmedtech.lv</w:t>
            </w:r>
          </w:p>
        </w:tc>
      </w:tr>
    </w:tbl>
    <w:p w14:paraId="73FB89FF" w14:textId="77777777" w:rsidR="00465083" w:rsidRDefault="00465083">
      <w:pPr>
        <w:pStyle w:val="Stils2"/>
        <w:tabs>
          <w:tab w:val="clear" w:pos="454"/>
          <w:tab w:val="left" w:pos="1134"/>
        </w:tabs>
        <w:ind w:left="1134" w:hanging="708"/>
        <w:rPr>
          <w:b/>
          <w:bCs/>
        </w:rPr>
      </w:pPr>
    </w:p>
    <w:p w14:paraId="13E9FE8A" w14:textId="1213CC1F" w:rsidR="00465083" w:rsidRDefault="00000000">
      <w:pPr>
        <w:pStyle w:val="Stils2"/>
        <w:tabs>
          <w:tab w:val="clear" w:pos="454"/>
          <w:tab w:val="left" w:pos="1134"/>
        </w:tabs>
        <w:ind w:left="1134" w:hanging="708"/>
      </w:pPr>
      <w:r>
        <w:rPr>
          <w:b/>
        </w:rPr>
        <w:t>Commission</w:t>
      </w:r>
      <w:r>
        <w:t xml:space="preserve"> – Procurement Commission established by order No</w:t>
      </w:r>
      <w:r>
        <w:rPr>
          <w:shd w:val="clear" w:color="auto" w:fill="FFFFFF"/>
        </w:rPr>
        <w:t xml:space="preserve">. </w:t>
      </w:r>
      <w:r w:rsidR="00C82EBC">
        <w:rPr>
          <w:color w:val="auto"/>
          <w:shd w:val="clear" w:color="auto" w:fill="FFFFFF"/>
        </w:rPr>
        <w:t>BRAVO-Z-1</w:t>
      </w:r>
      <w:r>
        <w:rPr>
          <w:shd w:val="clear" w:color="auto" w:fill="FFFFFF"/>
        </w:rPr>
        <w:t xml:space="preserve"> of</w:t>
      </w:r>
      <w:r>
        <w:t xml:space="preserve"> JSC LabMedTech Board Member Guna Goldman</w:t>
      </w:r>
      <w:r w:rsidR="00D90BA2">
        <w:t>e</w:t>
      </w:r>
      <w:r>
        <w:t xml:space="preserve"> 04.11.2025.</w:t>
      </w:r>
    </w:p>
    <w:p w14:paraId="12D6B433" w14:textId="77777777" w:rsidR="00465083" w:rsidRDefault="00000000">
      <w:pPr>
        <w:pStyle w:val="Stils1"/>
        <w:numPr>
          <w:ilvl w:val="0"/>
          <w:numId w:val="0"/>
        </w:numPr>
        <w:ind w:left="1134" w:hanging="680"/>
      </w:pPr>
      <w:r>
        <w:rPr>
          <w:i w:val="0"/>
        </w:rPr>
        <w:t xml:space="preserve">Contact </w:t>
      </w:r>
      <w:r>
        <w:rPr>
          <w:b w:val="0"/>
          <w:i w:val="0"/>
        </w:rPr>
        <w:t xml:space="preserve">person of the Commission — Head of the Commission Gunta Ushpele, email address: </w:t>
      </w:r>
      <w:hyperlink r:id="rId7">
        <w:r w:rsidR="00465083" w:rsidRPr="00C82EBC">
          <w:rPr>
            <w:rStyle w:val="Hyperlink"/>
            <w:b w:val="0"/>
            <w:bCs/>
            <w:i w:val="0"/>
            <w:iCs/>
          </w:rPr>
          <w:t>gunta.uspele@labmedtech.lv</w:t>
        </w:r>
      </w:hyperlink>
    </w:p>
    <w:p w14:paraId="51CBC79E" w14:textId="0043A457" w:rsidR="00465083" w:rsidRDefault="00000000">
      <w:pPr>
        <w:pStyle w:val="Stils2"/>
        <w:tabs>
          <w:tab w:val="clear" w:pos="454"/>
          <w:tab w:val="left" w:pos="1134"/>
          <w:tab w:val="left" w:pos="1163"/>
        </w:tabs>
        <w:ind w:left="1134" w:hanging="708"/>
      </w:pPr>
      <w:r>
        <w:rPr>
          <w:b/>
        </w:rPr>
        <w:t>Contract</w:t>
      </w:r>
      <w:r>
        <w:t xml:space="preserve"> – a procurement contract entered into by a commissioning party with a tenderer to whom the procurement contract has been awarded as a result of a procurement </w:t>
      </w:r>
      <w:r w:rsidR="005761D7">
        <w:t>tender</w:t>
      </w:r>
    </w:p>
    <w:p w14:paraId="1E6AC53F" w14:textId="3E044EE9" w:rsidR="005E5764" w:rsidRDefault="00C82EBC">
      <w:pPr>
        <w:pStyle w:val="Stils2"/>
        <w:tabs>
          <w:tab w:val="clear" w:pos="454"/>
          <w:tab w:val="left" w:pos="1134"/>
          <w:tab w:val="left" w:pos="1163"/>
        </w:tabs>
        <w:ind w:left="1134" w:hanging="708"/>
        <w:rPr>
          <w:bCs/>
        </w:rPr>
      </w:pPr>
      <w:r w:rsidRPr="00C82EBC">
        <w:rPr>
          <w:b/>
        </w:rPr>
        <w:t xml:space="preserve">Regulations - </w:t>
      </w:r>
      <w:r w:rsidRPr="009B30AE">
        <w:rPr>
          <w:bCs/>
        </w:rPr>
        <w:t xml:space="preserve">Open </w:t>
      </w:r>
      <w:r w:rsidR="001509D3">
        <w:rPr>
          <w:bCs/>
        </w:rPr>
        <w:t>tender</w:t>
      </w:r>
    </w:p>
    <w:p w14:paraId="06F903B7" w14:textId="287AA6A4" w:rsidR="00465083" w:rsidRDefault="00C82EBC">
      <w:pPr>
        <w:pStyle w:val="Stils2"/>
        <w:tabs>
          <w:tab w:val="clear" w:pos="454"/>
          <w:tab w:val="left" w:pos="1134"/>
          <w:tab w:val="left" w:pos="1163"/>
        </w:tabs>
        <w:ind w:left="1134" w:hanging="708"/>
      </w:pPr>
      <w:r w:rsidRPr="009E49E8">
        <w:rPr>
          <w:b/>
        </w:rPr>
        <w:t>R</w:t>
      </w:r>
      <w:r w:rsidRPr="009E49E8">
        <w:rPr>
          <w:b/>
        </w:rPr>
        <w:t>egulations</w:t>
      </w:r>
      <w:r w:rsidRPr="005E5764">
        <w:rPr>
          <w:b/>
        </w:rPr>
        <w:t xml:space="preserve"> </w:t>
      </w:r>
      <w:r w:rsidR="00000000" w:rsidRPr="009E49E8">
        <w:rPr>
          <w:b/>
        </w:rPr>
        <w:t xml:space="preserve">Cabinet Regulation No. 104 </w:t>
      </w:r>
      <w:r w:rsidR="00000000">
        <w:t>- Cabinet Regulation No. 104 of 28 February 2017, Regulations regarding the Procurement Procedure and procedures for the application thereof for projects financed by the commissioning Party</w:t>
      </w:r>
    </w:p>
    <w:p w14:paraId="1A103F0D" w14:textId="77777777" w:rsidR="00465083" w:rsidRDefault="00000000">
      <w:pPr>
        <w:pStyle w:val="P68B1DB1-Normal12"/>
        <w:tabs>
          <w:tab w:val="left" w:pos="1134"/>
          <w:tab w:val="left" w:pos="1163"/>
        </w:tabs>
        <w:spacing w:after="0" w:line="240" w:lineRule="auto"/>
        <w:ind w:left="1163" w:hanging="737"/>
        <w:jc w:val="both"/>
      </w:pPr>
      <w:r>
        <w:rPr>
          <w:b/>
        </w:rPr>
        <w:t>EU -</w:t>
      </w:r>
      <w:r>
        <w:t xml:space="preserve"> European Union</w:t>
      </w:r>
    </w:p>
    <w:p w14:paraId="7C4F98B5" w14:textId="77777777" w:rsidR="00465083" w:rsidRDefault="00000000">
      <w:pPr>
        <w:pStyle w:val="P68B1DB1-Normal12"/>
        <w:tabs>
          <w:tab w:val="left" w:pos="1134"/>
          <w:tab w:val="left" w:pos="1163"/>
        </w:tabs>
        <w:spacing w:after="0" w:line="240" w:lineRule="auto"/>
        <w:ind w:left="1163" w:hanging="737"/>
        <w:jc w:val="both"/>
      </w:pPr>
      <w:r>
        <w:rPr>
          <w:b/>
        </w:rPr>
        <w:t>ANM -</w:t>
      </w:r>
      <w:r>
        <w:t xml:space="preserve"> Recovery and resilience Facility</w:t>
      </w:r>
    </w:p>
    <w:p w14:paraId="14A2406F" w14:textId="77777777" w:rsidR="00465083" w:rsidRDefault="00000000">
      <w:pPr>
        <w:pStyle w:val="CommentText"/>
        <w:tabs>
          <w:tab w:val="left" w:pos="1134"/>
          <w:tab w:val="left" w:pos="1163"/>
        </w:tabs>
        <w:spacing w:after="0" w:line="240" w:lineRule="auto"/>
        <w:ind w:left="1163" w:hanging="737"/>
        <w:jc w:val="both"/>
      </w:pPr>
      <w:r>
        <w:rPr>
          <w:rFonts w:ascii="Times New Roman" w:hAnsi="Times New Roman" w:cs="Times New Roman"/>
          <w:b/>
        </w:rPr>
        <w:t>CFLA —</w:t>
      </w:r>
      <w:r>
        <w:rPr>
          <w:rFonts w:ascii="Times New Roman" w:eastAsia="Times New Roman" w:hAnsi="Times New Roman" w:cs="Times New Roman"/>
        </w:rPr>
        <w:t xml:space="preserve"> Central Finance and Contracting Agency</w:t>
      </w:r>
    </w:p>
    <w:p w14:paraId="2F8E8C5C" w14:textId="653D1AA6" w:rsidR="00465083" w:rsidRDefault="00000000">
      <w:pPr>
        <w:pStyle w:val="P68B1DB1-Normal12"/>
        <w:tabs>
          <w:tab w:val="left" w:pos="1134"/>
          <w:tab w:val="left" w:pos="1163"/>
        </w:tabs>
        <w:spacing w:after="0" w:line="240" w:lineRule="auto"/>
        <w:ind w:left="1163" w:hanging="737"/>
        <w:jc w:val="both"/>
        <w:rPr>
          <w:rFonts w:eastAsia="Times New Roman"/>
        </w:rPr>
      </w:pPr>
      <w:r>
        <w:rPr>
          <w:b/>
        </w:rPr>
        <w:t>Project -</w:t>
      </w:r>
      <w:r>
        <w:t xml:space="preserve"> EU Recovery Fund project </w:t>
      </w:r>
      <w:r>
        <w:rPr>
          <w:i/>
        </w:rPr>
        <w:t>“</w:t>
      </w:r>
      <w:r w:rsidR="00C82EBC">
        <w:t xml:space="preserve">Development of a diagnostic concept of breath volatile markers for early and personalized cancer diagnosis and provision of infrastructure for research at European and global level </w:t>
      </w:r>
      <w:r>
        <w:rPr>
          <w:i/>
        </w:rPr>
        <w:t>(BRAVO)”</w:t>
      </w:r>
    </w:p>
    <w:p w14:paraId="0AAB7B71" w14:textId="77777777" w:rsidR="00465083" w:rsidRDefault="00000000">
      <w:pPr>
        <w:pStyle w:val="CommentText"/>
        <w:tabs>
          <w:tab w:val="left" w:pos="1134"/>
          <w:tab w:val="left" w:pos="1163"/>
        </w:tabs>
        <w:spacing w:after="0" w:line="240" w:lineRule="auto"/>
        <w:ind w:left="1163" w:hanging="737"/>
        <w:jc w:val="both"/>
      </w:pPr>
      <w:r>
        <w:rPr>
          <w:rFonts w:ascii="Times New Roman" w:hAnsi="Times New Roman" w:cs="Times New Roman"/>
          <w:b/>
        </w:rPr>
        <w:t>CFLA Agreement —</w:t>
      </w:r>
      <w:r>
        <w:rPr>
          <w:rFonts w:ascii="Times New Roman" w:eastAsia="Times New Roman" w:hAnsi="Times New Roman" w:cs="Times New Roman"/>
        </w:rPr>
        <w:t xml:space="preserve"> </w:t>
      </w:r>
      <w:r>
        <w:rPr>
          <w:rFonts w:ascii="Times New Roman" w:hAnsi="Times New Roman" w:cs="Times New Roman"/>
          <w:color w:val="000000"/>
        </w:rPr>
        <w:t>25.07.2025</w:t>
      </w:r>
      <w:r>
        <w:rPr>
          <w:rFonts w:ascii="Times New Roman" w:eastAsia="Times New Roman" w:hAnsi="Times New Roman" w:cs="Times New Roman"/>
        </w:rPr>
        <w:t xml:space="preserve"> </w:t>
      </w:r>
      <w:r>
        <w:rPr>
          <w:rFonts w:ascii="Times New Roman" w:hAnsi="Times New Roman" w:cs="Times New Roman"/>
        </w:rPr>
        <w:t>Agreement between the CFLA and LabMedTech on the implementation of the EU Recovery Fund Project No 5.1.1.2.i.0/4/25/A/CFLA/006)</w:t>
      </w:r>
    </w:p>
    <w:p w14:paraId="6FAB659B" w14:textId="77777777" w:rsidR="00465083" w:rsidRDefault="00000000">
      <w:pPr>
        <w:pStyle w:val="P68B1DB1-Normal12"/>
        <w:tabs>
          <w:tab w:val="left" w:pos="1134"/>
          <w:tab w:val="left" w:pos="1163"/>
        </w:tabs>
        <w:spacing w:after="0" w:line="240" w:lineRule="auto"/>
        <w:ind w:left="1163" w:hanging="737"/>
        <w:jc w:val="both"/>
      </w:pPr>
      <w:r>
        <w:rPr>
          <w:b/>
        </w:rPr>
        <w:t>Tenderer</w:t>
      </w:r>
      <w:r>
        <w:t xml:space="preserve"> — supplier who submitted the tender</w:t>
      </w:r>
    </w:p>
    <w:p w14:paraId="1D65D70F" w14:textId="77777777" w:rsidR="00465083" w:rsidRDefault="00000000">
      <w:pPr>
        <w:pStyle w:val="P68B1DB1-Stils113"/>
        <w:numPr>
          <w:ilvl w:val="0"/>
          <w:numId w:val="0"/>
        </w:numPr>
        <w:ind w:left="1134" w:hanging="680"/>
      </w:pPr>
      <w:r>
        <w:t xml:space="preserve">Subcontractor </w:t>
      </w:r>
      <w:r>
        <w:rPr>
          <w:b w:val="0"/>
        </w:rPr>
        <w:t>– a person contracted by the tenderer or, in turn, a person contracted by the tenderer who provides services for the performance of the procurement contract</w:t>
      </w:r>
    </w:p>
    <w:p w14:paraId="66F815B7" w14:textId="77777777" w:rsidR="00465083" w:rsidRDefault="00000000">
      <w:pPr>
        <w:pStyle w:val="Stils2"/>
        <w:tabs>
          <w:tab w:val="clear" w:pos="454"/>
          <w:tab w:val="left" w:pos="1134"/>
          <w:tab w:val="left" w:pos="1163"/>
        </w:tabs>
        <w:ind w:left="1134" w:hanging="708"/>
      </w:pPr>
      <w:r>
        <w:rPr>
          <w:b/>
        </w:rPr>
        <w:t>VAT</w:t>
      </w:r>
      <w:r>
        <w:t xml:space="preserve"> – value added tax</w:t>
      </w:r>
    </w:p>
    <w:p w14:paraId="56660152" w14:textId="026BA395" w:rsidR="00465083" w:rsidRDefault="00B379CF">
      <w:pPr>
        <w:pStyle w:val="Stils2"/>
        <w:tabs>
          <w:tab w:val="clear" w:pos="454"/>
          <w:tab w:val="left" w:pos="1134"/>
          <w:tab w:val="left" w:pos="1163"/>
        </w:tabs>
        <w:ind w:left="0" w:firstLine="426"/>
      </w:pPr>
      <w:r w:rsidRPr="00B379CF">
        <w:rPr>
          <w:b/>
          <w:bCs/>
        </w:rPr>
        <w:t>E</w:t>
      </w:r>
      <w:r w:rsidRPr="00B379CF">
        <w:rPr>
          <w:b/>
          <w:bCs/>
        </w:rPr>
        <w:t>ntrepreneur</w:t>
      </w:r>
      <w:r w:rsidR="00000000">
        <w:rPr>
          <w:b/>
        </w:rPr>
        <w:t>–</w:t>
      </w:r>
      <w:r w:rsidR="00000000">
        <w:t xml:space="preserve"> tenderer with whom the contract has been entered into</w:t>
      </w:r>
    </w:p>
    <w:p w14:paraId="224D7996" w14:textId="77777777" w:rsidR="00465083" w:rsidRDefault="00000000">
      <w:pPr>
        <w:pStyle w:val="Stils2"/>
        <w:tabs>
          <w:tab w:val="clear" w:pos="454"/>
          <w:tab w:val="left" w:pos="1134"/>
          <w:tab w:val="left" w:pos="1163"/>
        </w:tabs>
        <w:ind w:left="1163" w:hanging="737"/>
      </w:pPr>
      <w:r>
        <w:rPr>
          <w:b/>
        </w:rPr>
        <w:t>IUB</w:t>
      </w:r>
      <w:r>
        <w:t xml:space="preserve"> — Procurement Monitoring Bureau</w:t>
      </w:r>
    </w:p>
    <w:p w14:paraId="113E3E52" w14:textId="77777777" w:rsidR="00465083" w:rsidRDefault="00000000">
      <w:pPr>
        <w:pStyle w:val="P68B1DB1-Normal14"/>
        <w:tabs>
          <w:tab w:val="left" w:pos="567"/>
          <w:tab w:val="left" w:pos="1080"/>
        </w:tabs>
        <w:spacing w:before="120" w:after="0" w:line="240" w:lineRule="auto"/>
        <w:jc w:val="both"/>
      </w:pPr>
      <w:r>
        <w:t>1.2. Procurement type and tender evaluation criterion</w:t>
      </w:r>
    </w:p>
    <w:p w14:paraId="1BE98690" w14:textId="77777777" w:rsidR="00465083" w:rsidRDefault="00000000">
      <w:pPr>
        <w:pStyle w:val="CommentText"/>
        <w:tabs>
          <w:tab w:val="left" w:pos="567"/>
          <w:tab w:val="left" w:pos="1080"/>
        </w:tabs>
        <w:spacing w:after="0" w:line="240" w:lineRule="auto"/>
        <w:ind w:left="993" w:hanging="567"/>
        <w:jc w:val="both"/>
        <w:rPr>
          <w:rFonts w:ascii="Times New Roman" w:eastAsia="Verdana" w:hAnsi="Times New Roman" w:cs="Times New Roman"/>
        </w:rPr>
      </w:pPr>
      <w:r>
        <w:rPr>
          <w:rFonts w:ascii="Times New Roman" w:hAnsi="Times New Roman" w:cs="Times New Roman"/>
        </w:rPr>
        <w:t>1.2.1.</w:t>
      </w:r>
      <w:r>
        <w:rPr>
          <w:rFonts w:ascii="Times New Roman" w:hAnsi="Times New Roman" w:cs="Times New Roman"/>
        </w:rPr>
        <w:tab/>
        <w:t xml:space="preserve"> Procurement type - an open tender in accordance with the procedures laid down in Cabinet Regulation No. 104, in the interpretation of the regulation of which the </w:t>
      </w:r>
      <w:r>
        <w:rPr>
          <w:rFonts w:ascii="Times New Roman" w:eastAsia="Verdana" w:hAnsi="Times New Roman" w:cs="Times New Roman"/>
        </w:rPr>
        <w:t>detailed regulation of procurement procedures laid down in</w:t>
      </w:r>
      <w:r>
        <w:rPr>
          <w:rFonts w:ascii="Times New Roman" w:hAnsi="Times New Roman" w:cs="Times New Roman"/>
        </w:rPr>
        <w:t xml:space="preserve"> </w:t>
      </w:r>
      <w:r>
        <w:rPr>
          <w:rFonts w:ascii="Times New Roman" w:eastAsia="Verdana" w:hAnsi="Times New Roman" w:cs="Times New Roman"/>
          <w:i/>
        </w:rPr>
        <w:t>the public Procurement Law</w:t>
      </w:r>
      <w:r>
        <w:rPr>
          <w:rFonts w:ascii="Times New Roman" w:hAnsi="Times New Roman" w:cs="Times New Roman"/>
        </w:rPr>
        <w:t xml:space="preserve"> is not to be used, including in relation to exceptions, requirements for suppliers and the object of procurement, disputing procurement procedures and amendments to contracts, giving priority to the obligation of the recipient of financing to ensure efficient utilisation of the granted financing.</w:t>
      </w:r>
    </w:p>
    <w:p w14:paraId="68DC13AF" w14:textId="77777777" w:rsidR="00465083" w:rsidRDefault="00000000">
      <w:pPr>
        <w:pStyle w:val="P68B1DB1-Normal12"/>
        <w:tabs>
          <w:tab w:val="left" w:pos="567"/>
          <w:tab w:val="left" w:pos="1080"/>
        </w:tabs>
        <w:spacing w:after="0" w:line="240" w:lineRule="auto"/>
        <w:ind w:left="993" w:hanging="567"/>
        <w:jc w:val="both"/>
        <w:rPr>
          <w:rFonts w:eastAsia="Times New Roman"/>
          <w:b/>
          <w:bCs/>
        </w:rPr>
      </w:pPr>
      <w:r>
        <w:t>1.2.2.</w:t>
      </w:r>
      <w:r>
        <w:tab/>
        <w:t xml:space="preserve"> The tender evaluation criterion – the most economically advantageous tender, which best meets the needs of the Customer, as well as ensures efficient utilisation of the financing granted to the Customer – the price of the procurement object and the time of delivery.</w:t>
      </w:r>
    </w:p>
    <w:p w14:paraId="5DEC0474" w14:textId="77777777" w:rsidR="00465083" w:rsidRDefault="00000000">
      <w:pPr>
        <w:pStyle w:val="P68B1DB1-Heading39"/>
        <w:spacing w:after="0" w:line="240" w:lineRule="auto"/>
      </w:pPr>
      <w:r>
        <w:t>2. PURPOSE AND SUBJECT MATTER OF THE PROCUREMENT</w:t>
      </w:r>
    </w:p>
    <w:p w14:paraId="4273B4DA" w14:textId="77777777" w:rsidR="00465083" w:rsidRDefault="00000000">
      <w:pPr>
        <w:pStyle w:val="Stils2"/>
        <w:tabs>
          <w:tab w:val="clear" w:pos="454"/>
          <w:tab w:val="left" w:pos="1176"/>
        </w:tabs>
      </w:pPr>
      <w:r>
        <w:t xml:space="preserve">2.1. The purpose of the procurement is to purchase goods through the implementation of the CFLA Project </w:t>
      </w:r>
      <w:r>
        <w:rPr>
          <w:rFonts w:eastAsia="Arial"/>
        </w:rPr>
        <w:t>implementation Agreement.</w:t>
      </w:r>
    </w:p>
    <w:p w14:paraId="6BEDD972" w14:textId="77777777" w:rsidR="00465083" w:rsidRDefault="00000000">
      <w:pPr>
        <w:pStyle w:val="Stils2"/>
        <w:tabs>
          <w:tab w:val="clear" w:pos="454"/>
          <w:tab w:val="left" w:pos="1176"/>
        </w:tabs>
        <w:rPr>
          <w:bCs/>
        </w:rPr>
      </w:pPr>
      <w:r>
        <w:t>2.2. The object of the procurement is the manufacture and supply of breathalyzers. Manufacture, supply and assembly of a calibration platform (machine) for breath analysers (supply of hardware with appropriate software for a calibration system with technical support) ”. Main CPV classifier: 38432100 — gas analysers, additional CPV classifier:, 80510000 — specialist training.</w:t>
      </w:r>
    </w:p>
    <w:p w14:paraId="1EBBEAD8" w14:textId="77777777" w:rsidR="00465083" w:rsidRDefault="00000000">
      <w:pPr>
        <w:pStyle w:val="Stils2"/>
        <w:tabs>
          <w:tab w:val="clear" w:pos="454"/>
          <w:tab w:val="left" w:pos="1176"/>
        </w:tabs>
        <w:rPr>
          <w:bCs/>
        </w:rPr>
      </w:pPr>
      <w:r>
        <w:t>2.3. The procurement object is not divided into procurement lots.</w:t>
      </w:r>
    </w:p>
    <w:p w14:paraId="2A2D20D5" w14:textId="77777777" w:rsidR="00465083" w:rsidRDefault="00000000">
      <w:pPr>
        <w:pStyle w:val="Stils2"/>
        <w:tabs>
          <w:tab w:val="clear" w:pos="454"/>
          <w:tab w:val="left" w:pos="1176"/>
        </w:tabs>
        <w:rPr>
          <w:bCs/>
        </w:rPr>
      </w:pPr>
      <w:r>
        <w:t>2.4. The tenderer cannot submit variants of the tender.</w:t>
      </w:r>
    </w:p>
    <w:p w14:paraId="20516658" w14:textId="5957AEE5" w:rsidR="00465083" w:rsidRDefault="00000000">
      <w:pPr>
        <w:pStyle w:val="Stils2"/>
        <w:tabs>
          <w:tab w:val="clear" w:pos="454"/>
          <w:tab w:val="left" w:pos="1176"/>
        </w:tabs>
        <w:rPr>
          <w:bCs/>
        </w:rPr>
      </w:pPr>
      <w:r>
        <w:t xml:space="preserve">2.5. As a result of the procurement </w:t>
      </w:r>
      <w:r w:rsidR="005E5764">
        <w:t>tender</w:t>
      </w:r>
      <w:r>
        <w:t>, the Customer shall enter into a contract regarding the total amount of the procurement object with a time period for execution until 30 June 2026.</w:t>
      </w:r>
    </w:p>
    <w:p w14:paraId="6DD00513" w14:textId="77777777" w:rsidR="00465083" w:rsidRDefault="00000000">
      <w:pPr>
        <w:pStyle w:val="Stils2"/>
        <w:tabs>
          <w:tab w:val="clear" w:pos="454"/>
          <w:tab w:val="left" w:pos="1176"/>
        </w:tabs>
      </w:pPr>
      <w:r>
        <w:lastRenderedPageBreak/>
        <w:t xml:space="preserve">2.6. The total estimated contract price for the procurement contract entered into by the contracting entity shall be EUR 733 600 (seven hundred and thirty-three thousand </w:t>
      </w:r>
      <w:r>
        <w:rPr>
          <w:i/>
        </w:rPr>
        <w:t>six</w:t>
      </w:r>
      <w:r>
        <w:t xml:space="preserve"> hundred euro, 00 cents), excluding VAT, with the following settlement procedures:</w:t>
      </w:r>
    </w:p>
    <w:p w14:paraId="605F9233" w14:textId="5DFDAF04" w:rsidR="00465083" w:rsidRDefault="00000000">
      <w:pPr>
        <w:pStyle w:val="Stils2"/>
        <w:tabs>
          <w:tab w:val="clear" w:pos="454"/>
          <w:tab w:val="left" w:pos="1176"/>
        </w:tabs>
      </w:pPr>
      <w:r>
        <w:tab/>
        <w:t xml:space="preserve">2.6.1. 40% advance - within 30 working days after entering into the </w:t>
      </w:r>
      <w:r w:rsidR="004F164D">
        <w:t>C</w:t>
      </w:r>
      <w:r w:rsidR="004F164D">
        <w:t>ontract</w:t>
      </w:r>
      <w:r>
        <w:t>;</w:t>
      </w:r>
    </w:p>
    <w:p w14:paraId="4D78A8BC" w14:textId="19BE0B42" w:rsidR="00465083" w:rsidRDefault="00000000">
      <w:pPr>
        <w:pStyle w:val="Stils2"/>
        <w:tabs>
          <w:tab w:val="clear" w:pos="454"/>
          <w:tab w:val="left" w:pos="1176"/>
        </w:tabs>
      </w:pPr>
      <w:r>
        <w:tab/>
        <w:t xml:space="preserve">2.6.2. 20% </w:t>
      </w:r>
      <w:r w:rsidR="004F164D">
        <w:t xml:space="preserve">- </w:t>
      </w:r>
      <w:r w:rsidR="004F164D" w:rsidRPr="004F164D">
        <w:t>after the delivery of type 1 breath analyzers;</w:t>
      </w:r>
      <w:r w:rsidR="004F164D">
        <w:t xml:space="preserve"> </w:t>
      </w:r>
    </w:p>
    <w:p w14:paraId="28EE17F4" w14:textId="0A5140EE" w:rsidR="00465083" w:rsidRDefault="00000000">
      <w:pPr>
        <w:pStyle w:val="Stils2"/>
        <w:tabs>
          <w:tab w:val="clear" w:pos="454"/>
          <w:tab w:val="left" w:pos="1176"/>
        </w:tabs>
      </w:pPr>
      <w:r>
        <w:tab/>
        <w:t xml:space="preserve">2.6.3. 20% - </w:t>
      </w:r>
      <w:r w:rsidR="00BF7AF5" w:rsidRPr="00BF7AF5">
        <w:t>after delivery of the calibration system</w:t>
      </w:r>
      <w:r w:rsidR="00BF7AF5">
        <w:t xml:space="preserve">; </w:t>
      </w:r>
    </w:p>
    <w:p w14:paraId="5119B572" w14:textId="01CF3884" w:rsidR="00465083" w:rsidRDefault="00000000">
      <w:pPr>
        <w:pStyle w:val="Stils2"/>
        <w:tabs>
          <w:tab w:val="clear" w:pos="454"/>
          <w:tab w:val="left" w:pos="1176"/>
        </w:tabs>
      </w:pPr>
      <w:r>
        <w:tab/>
        <w:t xml:space="preserve">2.6.3. 20% </w:t>
      </w:r>
      <w:r w:rsidR="00BF7AF5">
        <w:t xml:space="preserve"> - </w:t>
      </w:r>
      <w:r w:rsidR="00BF7AF5" w:rsidRPr="00BF7AF5">
        <w:t>after the delivery of type 2 breath analyzers</w:t>
      </w:r>
      <w:r w:rsidR="00BF7AF5">
        <w:t xml:space="preserve">. </w:t>
      </w:r>
    </w:p>
    <w:p w14:paraId="6252AD08" w14:textId="77777777" w:rsidR="00465083" w:rsidRDefault="00000000">
      <w:pPr>
        <w:pStyle w:val="P68B1DB1-Heading39"/>
      </w:pPr>
      <w:r>
        <w:t xml:space="preserve">3. </w:t>
      </w:r>
      <w:r>
        <w:rPr>
          <w:caps/>
        </w:rPr>
        <w:t>Procurement documentation and AMENDMENT</w:t>
      </w:r>
    </w:p>
    <w:p w14:paraId="18C4E4D9" w14:textId="77777777" w:rsidR="00465083" w:rsidRDefault="00000000">
      <w:pPr>
        <w:tabs>
          <w:tab w:val="left" w:pos="426"/>
        </w:tabs>
        <w:spacing w:after="0" w:line="240" w:lineRule="auto"/>
        <w:ind w:left="426" w:hanging="426"/>
        <w:jc w:val="both"/>
      </w:pPr>
      <w:r>
        <w:rPr>
          <w:rFonts w:ascii="Times New Roman" w:hAnsi="Times New Roman" w:cs="Times New Roman"/>
          <w:sz w:val="20"/>
          <w:szCs w:val="20"/>
        </w:rPr>
        <w:t>3.1. The commissioning party shall include</w:t>
      </w:r>
      <w:r>
        <w:t xml:space="preserve"> </w:t>
      </w:r>
      <w:r>
        <w:rPr>
          <w:rFonts w:ascii="Times New Roman" w:hAnsi="Times New Roman" w:cs="Times New Roman"/>
          <w:sz w:val="20"/>
          <w:szCs w:val="20"/>
        </w:rPr>
        <w:t>in the notice published on the website of the IUB regarding the procurement procedure specified in the Regulation the information referred to</w:t>
      </w:r>
      <w:r>
        <w:t xml:space="preserve"> in Annex 2 to</w:t>
      </w:r>
      <w:r>
        <w:rPr>
          <w:rStyle w:val="Hyperlink"/>
          <w:rFonts w:ascii="Times New Roman" w:hAnsi="Times New Roman" w:cs="Times New Roman"/>
          <w:sz w:val="20"/>
          <w:szCs w:val="20"/>
        </w:rPr>
        <w:t xml:space="preserve"> Cabinet Regulation No. 104</w:t>
      </w:r>
      <w:r>
        <w:rPr>
          <w:rStyle w:val="Hyperlink"/>
          <w:rFonts w:ascii="Times New Roman" w:hAnsi="Times New Roman" w:cs="Times New Roman"/>
          <w:sz w:val="20"/>
          <w:szCs w:val="20"/>
        </w:rPr>
        <w:fldChar w:fldCharType="begin"/>
      </w:r>
      <w:r>
        <w:rPr>
          <w:rStyle w:val="Hyperlink"/>
          <w:rFonts w:ascii="Times New Roman" w:hAnsi="Times New Roman" w:cs="Times New Roman"/>
          <w:sz w:val="20"/>
          <w:szCs w:val="20"/>
        </w:rPr>
        <w:instrText xml:space="preserve"> HYPERLINK "https://likumi.lv/ta/id/289082" \l "piel2"</w:instrText>
      </w:r>
      <w:r>
        <w:rPr>
          <w:rStyle w:val="Hyperlink"/>
          <w:rFonts w:ascii="Times New Roman" w:hAnsi="Times New Roman" w:cs="Times New Roman"/>
          <w:sz w:val="20"/>
          <w:szCs w:val="20"/>
        </w:rPr>
      </w:r>
      <w:r>
        <w:rPr>
          <w:rStyle w:val="Hyperlink"/>
          <w:rFonts w:ascii="Times New Roman" w:hAnsi="Times New Roman" w:cs="Times New Roman"/>
          <w:sz w:val="20"/>
          <w:szCs w:val="20"/>
        </w:rPr>
        <w:fldChar w:fldCharType="separate"/>
      </w:r>
      <w:r>
        <w:rPr>
          <w:rStyle w:val="Hyperlink"/>
          <w:rFonts w:ascii="Times New Roman" w:hAnsi="Times New Roman" w:cs="Times New Roman"/>
          <w:sz w:val="20"/>
          <w:szCs w:val="20"/>
        </w:rPr>
        <w:t>, appending a description of the procurement object and procurement documentation, determining the time period for submission of tenders not less than 10 working days, counting from the next working day after publication of this notice on the website of the IUB.</w:t>
      </w:r>
    </w:p>
    <w:p w14:paraId="548C239C" w14:textId="77777777" w:rsidR="00465083" w:rsidRDefault="00000000">
      <w:pPr>
        <w:pStyle w:val="P68B1DB1-Normal12"/>
        <w:tabs>
          <w:tab w:val="left" w:pos="426"/>
        </w:tabs>
        <w:spacing w:after="0" w:line="240" w:lineRule="auto"/>
        <w:ind w:left="426" w:hanging="426"/>
        <w:jc w:val="both"/>
      </w:pPr>
      <w:r>
        <w:t>3.2. The commissioning party is entitled not later than one day before the end of the specified time period for submission of tenders to make amendments to the procurement documentation, including adding additional documents or updating the attached documents, as well as to extend the time period for submission of tenders, ensuring that the time period for submission of tenders after the relevant notice has been published on the website of the IUB is not shorter than 5 (five) working days.</w:t>
      </w:r>
    </w:p>
    <w:p w14:paraId="1F3EFC27" w14:textId="49DFBFE8" w:rsidR="00465083" w:rsidRDefault="00000000">
      <w:pPr>
        <w:tabs>
          <w:tab w:val="left" w:pos="426"/>
        </w:tabs>
        <w:spacing w:after="0" w:line="240" w:lineRule="auto"/>
        <w:ind w:left="426" w:hanging="426"/>
        <w:jc w:val="both"/>
      </w:pPr>
      <w:r>
        <w:rPr>
          <w:rFonts w:ascii="Times New Roman" w:hAnsi="Times New Roman" w:cs="Times New Roman"/>
          <w:sz w:val="20"/>
          <w:szCs w:val="20"/>
        </w:rPr>
        <w:t>3.3. In the case specified in Section 3.2 of the by-law, the commissioning party shall publish a notice on the website of the IUB regarding amendments to the procurement procedure of the final beneficiary, which shall include</w:t>
      </w:r>
      <w:r>
        <w:t xml:space="preserve"> </w:t>
      </w:r>
      <w:r>
        <w:rPr>
          <w:rFonts w:ascii="Times New Roman" w:hAnsi="Times New Roman" w:cs="Times New Roman"/>
          <w:sz w:val="20"/>
          <w:szCs w:val="20"/>
        </w:rPr>
        <w:t>the information referred to</w:t>
      </w:r>
      <w:r>
        <w:t xml:space="preserve"> in Annex 3 to</w:t>
      </w:r>
      <w:r>
        <w:rPr>
          <w:rStyle w:val="Hyperlink"/>
          <w:rFonts w:ascii="Times New Roman" w:hAnsi="Times New Roman" w:cs="Times New Roman"/>
          <w:sz w:val="20"/>
          <w:szCs w:val="20"/>
        </w:rPr>
        <w:fldChar w:fldCharType="end"/>
      </w:r>
      <w:r>
        <w:rPr>
          <w:rStyle w:val="Hyperlink"/>
          <w:rFonts w:ascii="Times New Roman" w:hAnsi="Times New Roman" w:cs="Times New Roman"/>
          <w:sz w:val="20"/>
          <w:szCs w:val="20"/>
        </w:rPr>
        <w:t xml:space="preserve"> Cabinet Regulation No. 104</w:t>
      </w:r>
      <w:r w:rsidRPr="00B379CF">
        <w:rPr>
          <w:rStyle w:val="Hyperlink"/>
          <w:rFonts w:ascii="Times New Roman" w:hAnsi="Times New Roman" w:cs="Times New Roman"/>
          <w:sz w:val="20"/>
          <w:szCs w:val="20"/>
        </w:rPr>
        <w:t>.</w:t>
      </w:r>
    </w:p>
    <w:p w14:paraId="4E5C2DE6" w14:textId="77777777" w:rsidR="00465083" w:rsidRDefault="00000000">
      <w:pPr>
        <w:pStyle w:val="P68B1DB1-Heading315"/>
        <w:spacing w:after="0" w:line="240" w:lineRule="auto"/>
      </w:pPr>
      <w:r>
        <w:t>4. TIME PERIOD FOR submission of tenders, PROCEDURES for OPENING</w:t>
      </w:r>
    </w:p>
    <w:p w14:paraId="4159A034" w14:textId="32014658" w:rsidR="00465083" w:rsidRDefault="00000000">
      <w:pPr>
        <w:tabs>
          <w:tab w:val="left" w:pos="426"/>
        </w:tabs>
        <w:spacing w:after="0" w:line="240" w:lineRule="auto"/>
        <w:ind w:left="426" w:hanging="426"/>
        <w:jc w:val="both"/>
      </w:pPr>
      <w:r>
        <w:rPr>
          <w:rFonts w:ascii="Times New Roman" w:hAnsi="Times New Roman" w:cs="Times New Roman"/>
          <w:sz w:val="20"/>
          <w:szCs w:val="20"/>
        </w:rPr>
        <w:t xml:space="preserve">4.1. The tenderer shall submit the tender by sending it to the electronic mail address of the order: </w:t>
      </w:r>
      <w:hyperlink r:id="rId8" w:history="1">
        <w:r w:rsidR="00B379CF" w:rsidRPr="00B379CF">
          <w:rPr>
            <w:rStyle w:val="Hyperlink"/>
            <w:rFonts w:ascii="Times New Roman" w:hAnsi="Times New Roman" w:cs="Times New Roman"/>
            <w:sz w:val="20"/>
            <w:szCs w:val="20"/>
          </w:rPr>
          <w:t>labmedtech@labmedtech.lv</w:t>
        </w:r>
      </w:hyperlink>
      <w:r>
        <w:rPr>
          <w:rFonts w:ascii="Times New Roman" w:hAnsi="Times New Roman" w:cs="Times New Roman"/>
          <w:sz w:val="20"/>
          <w:szCs w:val="20"/>
        </w:rPr>
        <w:t xml:space="preserve"> until November 20, 2025 at 12.00.</w:t>
      </w:r>
    </w:p>
    <w:p w14:paraId="2663C7F4" w14:textId="77777777" w:rsidR="00465083" w:rsidRDefault="00000000">
      <w:pPr>
        <w:pStyle w:val="P68B1DB1-Normal12"/>
        <w:tabs>
          <w:tab w:val="left" w:pos="426"/>
        </w:tabs>
        <w:spacing w:after="0" w:line="240" w:lineRule="auto"/>
        <w:ind w:left="426" w:hanging="426"/>
        <w:jc w:val="both"/>
      </w:pPr>
      <w:r>
        <w:t>4.2. Received offers will be registered according to the time they are received. Quotes received after the deadline set forth in the terms of Reference, as well as quotes that cannot be opened, will not be evaluated.</w:t>
      </w:r>
    </w:p>
    <w:p w14:paraId="5CFAA60B" w14:textId="77777777" w:rsidR="00465083" w:rsidRDefault="00000000">
      <w:pPr>
        <w:pStyle w:val="P68B1DB1-Normal12"/>
        <w:autoSpaceDE w:val="0"/>
        <w:spacing w:after="0" w:line="240" w:lineRule="auto"/>
        <w:jc w:val="both"/>
      </w:pPr>
      <w:r>
        <w:t>4.3. After the deadline laid down in the Regulation for the submission of tenders, the Commission shall open the tenders received and evaluate them in accordance with the procedure laid down in Section 7 of the Regulation.</w:t>
      </w:r>
    </w:p>
    <w:p w14:paraId="16C0DC00" w14:textId="77777777" w:rsidR="00465083" w:rsidRDefault="00000000">
      <w:pPr>
        <w:pStyle w:val="P68B1DB1-Heading315"/>
      </w:pPr>
      <w:r>
        <w:t>5. REQUIREMENTS FOR THE PREPARATION AND PRESENTATION OF TENDERS</w:t>
      </w:r>
    </w:p>
    <w:p w14:paraId="7FC4A3F8" w14:textId="77777777" w:rsidR="00465083" w:rsidRDefault="00000000">
      <w:pPr>
        <w:pStyle w:val="P68B1DB1-Stils116"/>
        <w:numPr>
          <w:ilvl w:val="0"/>
          <w:numId w:val="0"/>
        </w:numPr>
        <w:tabs>
          <w:tab w:val="left" w:pos="720"/>
        </w:tabs>
      </w:pPr>
      <w:r>
        <w:t>5.1. The applicant shall develop the tender and submit it in the form of an electronic document, signed with a secure electronic signature, observing the following provisions:</w:t>
      </w:r>
    </w:p>
    <w:p w14:paraId="35D3553C" w14:textId="77777777" w:rsidR="00465083" w:rsidRDefault="00000000">
      <w:pPr>
        <w:pStyle w:val="P68B1DB1-Normal12"/>
        <w:autoSpaceDE w:val="0"/>
        <w:spacing w:after="0" w:line="240" w:lineRule="auto"/>
        <w:ind w:left="426" w:hanging="426"/>
        <w:jc w:val="both"/>
      </w:pPr>
      <w:r>
        <w:t>5.1.1. the tender shall be submitted for the whole amount of the procurement object;</w:t>
      </w:r>
    </w:p>
    <w:p w14:paraId="0779A742" w14:textId="77777777" w:rsidR="00465083" w:rsidRDefault="00000000">
      <w:pPr>
        <w:pStyle w:val="P68B1DB1-Normal12"/>
        <w:autoSpaceDE w:val="0"/>
        <w:spacing w:after="0" w:line="240" w:lineRule="auto"/>
        <w:ind w:left="426" w:hanging="426"/>
        <w:jc w:val="both"/>
      </w:pPr>
      <w:r>
        <w:t>5.1.2. the tender shall be prepared in Latvian or English, using the forms appended to the Annexes to the Regulation, as well as attaching a detailed technical tender prepared on the basis of the requirements of the Technical Specification (Annex No. 2), indicating the delivery time periods for type 1 and type 2 breathing analysers;</w:t>
      </w:r>
    </w:p>
    <w:p w14:paraId="611234E3" w14:textId="77777777" w:rsidR="00465083" w:rsidRDefault="00000000">
      <w:pPr>
        <w:pStyle w:val="P68B1DB1-Normal12"/>
        <w:autoSpaceDE w:val="0"/>
        <w:spacing w:after="0" w:line="240" w:lineRule="auto"/>
        <w:ind w:left="426" w:hanging="426"/>
        <w:jc w:val="both"/>
      </w:pPr>
      <w:r>
        <w:t>5.1.3. the tender shall also be accompanied by all documents certifying fulfilment of the qualification requirements in accordance with the requirements of Section 6 of the Regulation.</w:t>
      </w:r>
    </w:p>
    <w:p w14:paraId="1283E539" w14:textId="77777777" w:rsidR="00465083" w:rsidRDefault="00000000">
      <w:pPr>
        <w:pStyle w:val="P68B1DB1-Normal12"/>
        <w:autoSpaceDE w:val="0"/>
        <w:spacing w:after="0" w:line="240" w:lineRule="auto"/>
        <w:ind w:left="426" w:hanging="426"/>
        <w:jc w:val="both"/>
      </w:pPr>
      <w:r>
        <w:t>5.1.4. the contract price shall be indicated in the tender, including all costs related to the manufacture, supply, installation and maintenance of the guarantee, excluding VAT;</w:t>
      </w:r>
    </w:p>
    <w:p w14:paraId="68FD7FBD" w14:textId="77777777" w:rsidR="00465083" w:rsidRDefault="00000000">
      <w:pPr>
        <w:pStyle w:val="P68B1DB1-Normal12"/>
        <w:autoSpaceDE w:val="0"/>
        <w:spacing w:after="0" w:line="240" w:lineRule="auto"/>
        <w:ind w:left="426" w:hanging="426"/>
        <w:jc w:val="both"/>
      </w:pPr>
      <w:r>
        <w:t>5.1.5. the tender shall be signed by a person who has a publicly registered right of representation, attaching a document certifying the right of representation. If the tender is signed by the authorised person of the applicant, the tender shall include a document certifying the right of representation (signature) of the relevant person;</w:t>
      </w:r>
    </w:p>
    <w:p w14:paraId="601A732A" w14:textId="77777777" w:rsidR="00465083" w:rsidRDefault="00000000">
      <w:pPr>
        <w:pStyle w:val="P68B1DB1-Normal12"/>
        <w:autoSpaceDE w:val="0"/>
        <w:spacing w:after="0" w:line="240" w:lineRule="auto"/>
        <w:ind w:left="426" w:hanging="426"/>
        <w:jc w:val="both"/>
      </w:pPr>
      <w:r>
        <w:t>5.1.6. The period of validity of the tender shall be not less than 90 days from the time of submission thereof.</w:t>
      </w:r>
    </w:p>
    <w:p w14:paraId="71C0F59C" w14:textId="77777777" w:rsidR="00465083" w:rsidRDefault="00000000">
      <w:pPr>
        <w:pStyle w:val="P68B1DB1-Normal12"/>
        <w:autoSpaceDE w:val="0"/>
        <w:spacing w:after="0" w:line="240" w:lineRule="auto"/>
        <w:ind w:left="426" w:hanging="426"/>
        <w:jc w:val="both"/>
      </w:pPr>
      <w:r>
        <w:t>5.1.7. An applicant with one secure electronic signature may sign all tender documents as one set.</w:t>
      </w:r>
    </w:p>
    <w:p w14:paraId="129B5C55" w14:textId="77777777" w:rsidR="00465083" w:rsidRDefault="00000000">
      <w:pPr>
        <w:pStyle w:val="P68B1DB1-Heading39"/>
      </w:pPr>
      <w:r>
        <w:t xml:space="preserve">6. </w:t>
      </w:r>
      <w:r>
        <w:rPr>
          <w:caps/>
        </w:rPr>
        <w:t>Requirements for selection of tenderers, REQUIREMENTS for technical and financial tender, documents to be submitted</w:t>
      </w:r>
    </w:p>
    <w:tbl>
      <w:tblPr>
        <w:tblW w:w="9195" w:type="dxa"/>
        <w:tblInd w:w="-10" w:type="dxa"/>
        <w:tblLayout w:type="fixed"/>
        <w:tblLook w:val="04A0" w:firstRow="1" w:lastRow="0" w:firstColumn="1" w:lastColumn="0" w:noHBand="0" w:noVBand="1"/>
      </w:tblPr>
      <w:tblGrid>
        <w:gridCol w:w="4933"/>
        <w:gridCol w:w="4262"/>
      </w:tblGrid>
      <w:tr w:rsidR="00465083" w14:paraId="3D845FDD" w14:textId="77777777">
        <w:tc>
          <w:tcPr>
            <w:tcW w:w="4933" w:type="dxa"/>
            <w:tcBorders>
              <w:top w:val="single" w:sz="4" w:space="0" w:color="000000"/>
              <w:left w:val="single" w:sz="4" w:space="0" w:color="000000"/>
              <w:bottom w:val="single" w:sz="4" w:space="0" w:color="000000"/>
              <w:right w:val="single" w:sz="4" w:space="0" w:color="000000"/>
            </w:tcBorders>
            <w:shd w:val="clear" w:color="auto" w:fill="F2F2F2"/>
          </w:tcPr>
          <w:p w14:paraId="6D31E9B0" w14:textId="77777777" w:rsidR="00465083" w:rsidRDefault="00000000">
            <w:pPr>
              <w:pStyle w:val="P68B1DB1-ListParagraph17"/>
              <w:numPr>
                <w:ilvl w:val="1"/>
                <w:numId w:val="8"/>
              </w:numPr>
              <w:spacing w:after="0" w:line="240" w:lineRule="auto"/>
              <w:jc w:val="both"/>
            </w:pPr>
            <w:r>
              <w:t>Requirements for the selection of tenderers</w:t>
            </w:r>
          </w:p>
        </w:tc>
        <w:tc>
          <w:tcPr>
            <w:tcW w:w="4262" w:type="dxa"/>
            <w:tcBorders>
              <w:top w:val="single" w:sz="4" w:space="0" w:color="000000"/>
              <w:left w:val="single" w:sz="4" w:space="0" w:color="000000"/>
              <w:bottom w:val="single" w:sz="4" w:space="0" w:color="000000"/>
              <w:right w:val="single" w:sz="4" w:space="0" w:color="000000"/>
            </w:tcBorders>
            <w:shd w:val="clear" w:color="auto" w:fill="F2F2F2"/>
          </w:tcPr>
          <w:p w14:paraId="2EDF09B6" w14:textId="77777777" w:rsidR="00465083" w:rsidRDefault="00000000">
            <w:pPr>
              <w:pStyle w:val="P68B1DB1-Normal14"/>
              <w:spacing w:after="0" w:line="240" w:lineRule="auto"/>
              <w:ind w:left="5"/>
              <w:jc w:val="center"/>
            </w:pPr>
            <w:r>
              <w:t>Documents to be submitted</w:t>
            </w:r>
          </w:p>
        </w:tc>
      </w:tr>
      <w:tr w:rsidR="00465083" w14:paraId="326791AC" w14:textId="77777777">
        <w:tc>
          <w:tcPr>
            <w:tcW w:w="9195" w:type="dxa"/>
            <w:gridSpan w:val="2"/>
            <w:tcBorders>
              <w:top w:val="single" w:sz="4" w:space="0" w:color="000000"/>
              <w:left w:val="single" w:sz="4" w:space="0" w:color="000000"/>
              <w:bottom w:val="single" w:sz="4" w:space="0" w:color="000000"/>
              <w:right w:val="single" w:sz="4" w:space="0" w:color="000000"/>
            </w:tcBorders>
            <w:shd w:val="clear" w:color="auto" w:fill="F2F2F2"/>
          </w:tcPr>
          <w:p w14:paraId="1A5E6579" w14:textId="77777777" w:rsidR="00465083" w:rsidRDefault="00000000">
            <w:pPr>
              <w:pStyle w:val="P68B1DB1-Normal14"/>
              <w:spacing w:after="0" w:line="240" w:lineRule="auto"/>
              <w:ind w:left="5"/>
              <w:jc w:val="both"/>
            </w:pPr>
            <w:r>
              <w:t>Registration requirements</w:t>
            </w:r>
          </w:p>
        </w:tc>
      </w:tr>
      <w:tr w:rsidR="00465083" w14:paraId="3D8DE9D2" w14:textId="77777777">
        <w:tc>
          <w:tcPr>
            <w:tcW w:w="4933" w:type="dxa"/>
            <w:tcBorders>
              <w:top w:val="single" w:sz="4" w:space="0" w:color="000000"/>
              <w:left w:val="single" w:sz="4" w:space="0" w:color="000000"/>
              <w:bottom w:val="single" w:sz="4" w:space="0" w:color="000000"/>
              <w:right w:val="single" w:sz="4" w:space="0" w:color="000000"/>
            </w:tcBorders>
          </w:tcPr>
          <w:p w14:paraId="4A4C4E99" w14:textId="5E6D0A4C" w:rsidR="00465083" w:rsidRDefault="00000000">
            <w:pPr>
              <w:pStyle w:val="P68B1DB1-ListParagraph18"/>
              <w:numPr>
                <w:ilvl w:val="2"/>
                <w:numId w:val="8"/>
              </w:numPr>
              <w:spacing w:after="0" w:line="240" w:lineRule="auto"/>
              <w:jc w:val="both"/>
            </w:pPr>
            <w:r>
              <w:t xml:space="preserve">An applicant shall submit an application for participation in a procurement </w:t>
            </w:r>
            <w:r w:rsidR="00112C24">
              <w:t>tender</w:t>
            </w:r>
            <w:r w:rsidR="00112C24">
              <w:t xml:space="preserve"> </w:t>
            </w:r>
            <w:r>
              <w:t>certifying that he or she agrees to participate in it in accordance with the requirements of the Regulation.</w:t>
            </w:r>
            <w:r>
              <w:tab/>
            </w:r>
          </w:p>
        </w:tc>
        <w:tc>
          <w:tcPr>
            <w:tcW w:w="4262" w:type="dxa"/>
            <w:tcBorders>
              <w:top w:val="single" w:sz="4" w:space="0" w:color="000000"/>
              <w:left w:val="single" w:sz="4" w:space="0" w:color="000000"/>
              <w:bottom w:val="single" w:sz="4" w:space="0" w:color="000000"/>
              <w:right w:val="single" w:sz="4" w:space="0" w:color="000000"/>
            </w:tcBorders>
          </w:tcPr>
          <w:p w14:paraId="6C7018A0" w14:textId="77777777" w:rsidR="00465083" w:rsidRDefault="00000000">
            <w:pPr>
              <w:pStyle w:val="P68B1DB1-Normal12"/>
              <w:spacing w:after="0" w:line="240" w:lineRule="auto"/>
              <w:ind w:left="2"/>
              <w:jc w:val="both"/>
            </w:pPr>
            <w:r>
              <w:rPr>
                <w:b/>
              </w:rPr>
              <w:t>An application</w:t>
            </w:r>
            <w:r>
              <w:t xml:space="preserve"> drawn up in accordance with the form set out in Annex 1 to the Regulation.</w:t>
            </w:r>
          </w:p>
          <w:p w14:paraId="236D922F" w14:textId="77777777" w:rsidR="00465083" w:rsidRDefault="00465083">
            <w:pPr>
              <w:spacing w:after="0" w:line="240" w:lineRule="auto"/>
              <w:ind w:left="292"/>
              <w:jc w:val="both"/>
              <w:rPr>
                <w:rFonts w:ascii="Times New Roman" w:hAnsi="Times New Roman" w:cs="Times New Roman"/>
                <w:sz w:val="20"/>
                <w:szCs w:val="20"/>
              </w:rPr>
            </w:pPr>
          </w:p>
        </w:tc>
      </w:tr>
      <w:tr w:rsidR="00465083" w14:paraId="206E5798" w14:textId="77777777">
        <w:tc>
          <w:tcPr>
            <w:tcW w:w="4933" w:type="dxa"/>
            <w:tcBorders>
              <w:top w:val="single" w:sz="4" w:space="0" w:color="000000"/>
              <w:left w:val="single" w:sz="4" w:space="0" w:color="000000"/>
              <w:bottom w:val="single" w:sz="4" w:space="0" w:color="000000"/>
              <w:right w:val="single" w:sz="4" w:space="0" w:color="000000"/>
            </w:tcBorders>
          </w:tcPr>
          <w:p w14:paraId="084FE17A" w14:textId="77777777" w:rsidR="00465083" w:rsidRDefault="00000000">
            <w:pPr>
              <w:pStyle w:val="P68B1DB1-ListParagraph18"/>
              <w:numPr>
                <w:ilvl w:val="2"/>
                <w:numId w:val="8"/>
              </w:numPr>
              <w:spacing w:after="0" w:line="240" w:lineRule="auto"/>
              <w:jc w:val="both"/>
            </w:pPr>
            <w:r>
              <w:t xml:space="preserve">The applicant is registered in the commercial Register of the Enterprise Register of the </w:t>
            </w:r>
            <w:r>
              <w:lastRenderedPageBreak/>
              <w:t>Republic of Latvia or in another register corresponding to the economic activity of the applicant, or in an equivalent register abroad in accordance with the requirements of the laws and regulations of the State of registration of the applicant (does not apply to natural persons).</w:t>
            </w:r>
          </w:p>
          <w:p w14:paraId="7B89C408" w14:textId="77777777" w:rsidR="00465083" w:rsidRDefault="00465083">
            <w:pPr>
              <w:spacing w:after="0" w:line="240" w:lineRule="auto"/>
              <w:jc w:val="both"/>
              <w:rPr>
                <w:rFonts w:ascii="Times New Roman" w:hAnsi="Times New Roman" w:cs="Times New Roman"/>
                <w:sz w:val="20"/>
                <w:szCs w:val="20"/>
              </w:rPr>
            </w:pPr>
          </w:p>
          <w:p w14:paraId="6F326861" w14:textId="77777777" w:rsidR="00465083" w:rsidRDefault="00000000">
            <w:pPr>
              <w:pStyle w:val="P68B1DB1-Normal12"/>
              <w:spacing w:after="0" w:line="240" w:lineRule="auto"/>
              <w:jc w:val="both"/>
            </w:pPr>
            <w:r>
              <w:t>The requirement also applies to all members of a partnership (if the tender is submitted by a partnership) or all members of a supplier association (if the tender is submitted by a supplier association), as well as subcontractors (if the tenderer intends to attract subcontractors).</w:t>
            </w:r>
          </w:p>
        </w:tc>
        <w:tc>
          <w:tcPr>
            <w:tcW w:w="4262" w:type="dxa"/>
            <w:tcBorders>
              <w:top w:val="single" w:sz="4" w:space="0" w:color="000000"/>
              <w:left w:val="single" w:sz="4" w:space="0" w:color="000000"/>
              <w:bottom w:val="single" w:sz="4" w:space="0" w:color="000000"/>
              <w:right w:val="single" w:sz="4" w:space="0" w:color="000000"/>
            </w:tcBorders>
          </w:tcPr>
          <w:p w14:paraId="7BDB4CA4" w14:textId="77777777" w:rsidR="00465083" w:rsidRDefault="00000000">
            <w:pPr>
              <w:numPr>
                <w:ilvl w:val="0"/>
                <w:numId w:val="5"/>
              </w:numPr>
              <w:spacing w:after="0" w:line="240" w:lineRule="auto"/>
              <w:ind w:left="292" w:hanging="284"/>
              <w:jc w:val="both"/>
              <w:rPr>
                <w:rFonts w:ascii="Times New Roman" w:hAnsi="Times New Roman" w:cs="Times New Roman"/>
                <w:sz w:val="20"/>
                <w:szCs w:val="20"/>
              </w:rPr>
            </w:pPr>
            <w:r>
              <w:rPr>
                <w:rFonts w:ascii="Times New Roman" w:hAnsi="Times New Roman" w:cs="Times New Roman"/>
                <w:sz w:val="20"/>
                <w:szCs w:val="20"/>
              </w:rPr>
              <w:lastRenderedPageBreak/>
              <w:t xml:space="preserve">The commissioning party shall verify the fact of registration in the Enterprise Register of the </w:t>
            </w:r>
            <w:r>
              <w:rPr>
                <w:rFonts w:ascii="Times New Roman" w:hAnsi="Times New Roman" w:cs="Times New Roman"/>
                <w:sz w:val="20"/>
                <w:szCs w:val="20"/>
              </w:rPr>
              <w:lastRenderedPageBreak/>
              <w:t xml:space="preserve">Republic of Latvia in the database to be published on the website of “Lursoft”: </w:t>
            </w:r>
            <w:hyperlink r:id="rId9">
              <w:r w:rsidR="00465083" w:rsidRPr="00B379CF">
                <w:rPr>
                  <w:rStyle w:val="Hyperlink"/>
                  <w:rFonts w:ascii="Times New Roman" w:hAnsi="Times New Roman" w:cs="Times New Roman"/>
                  <w:sz w:val="20"/>
                  <w:szCs w:val="20"/>
                </w:rPr>
                <w:t>https://www.lursoft.lv/</w:t>
              </w:r>
            </w:hyperlink>
            <w:r>
              <w:rPr>
                <w:rFonts w:ascii="Times New Roman" w:hAnsi="Times New Roman" w:cs="Times New Roman"/>
                <w:sz w:val="20"/>
                <w:szCs w:val="20"/>
              </w:rPr>
              <w:t>.</w:t>
            </w:r>
          </w:p>
          <w:p w14:paraId="27183614" w14:textId="77777777" w:rsidR="00465083" w:rsidRDefault="00000000">
            <w:pPr>
              <w:pStyle w:val="P68B1DB1-Normal12"/>
              <w:numPr>
                <w:ilvl w:val="0"/>
                <w:numId w:val="5"/>
              </w:numPr>
              <w:spacing w:after="0" w:line="240" w:lineRule="auto"/>
              <w:ind w:left="292" w:hanging="292"/>
              <w:jc w:val="both"/>
            </w:pPr>
            <w:r>
              <w:t>An applicant registered in a foreign state shall submit a document issued by the competent authority of the relevant state certifying that the applicant has been registered in accordance with the requirements of the laws and regulations of such state. If such document is not issued in the relevant State, the applicant shall indicate the address of the website of the competent authority of the foreign state at which the inviter may ascertain whether the applicant complies with the abovementioned requirement.</w:t>
            </w:r>
          </w:p>
          <w:p w14:paraId="66DF528A" w14:textId="77777777" w:rsidR="00465083" w:rsidRDefault="00000000">
            <w:pPr>
              <w:pStyle w:val="P68B1DB1-Normal12"/>
              <w:numPr>
                <w:ilvl w:val="0"/>
                <w:numId w:val="5"/>
              </w:numPr>
              <w:spacing w:after="0" w:line="240" w:lineRule="auto"/>
              <w:ind w:left="292" w:hanging="292"/>
              <w:jc w:val="both"/>
            </w:pPr>
            <w:r>
              <w:t>Document certifying the right of representation of the applicant (for example, statement, decision of the board of directors, authorisation).</w:t>
            </w:r>
          </w:p>
        </w:tc>
      </w:tr>
      <w:tr w:rsidR="00465083" w14:paraId="135FC42E" w14:textId="77777777">
        <w:tc>
          <w:tcPr>
            <w:tcW w:w="9195" w:type="dxa"/>
            <w:gridSpan w:val="2"/>
            <w:tcBorders>
              <w:top w:val="single" w:sz="4" w:space="0" w:color="000000"/>
              <w:left w:val="single" w:sz="4" w:space="0" w:color="000000"/>
              <w:bottom w:val="single" w:sz="4" w:space="0" w:color="000000"/>
              <w:right w:val="single" w:sz="4" w:space="0" w:color="000000"/>
            </w:tcBorders>
            <w:shd w:val="clear" w:color="auto" w:fill="F2F2F2"/>
          </w:tcPr>
          <w:p w14:paraId="4423256E" w14:textId="77777777" w:rsidR="00465083" w:rsidRDefault="00000000">
            <w:pPr>
              <w:pStyle w:val="P68B1DB1-Normal14"/>
              <w:spacing w:after="0" w:line="240" w:lineRule="auto"/>
              <w:jc w:val="both"/>
            </w:pPr>
            <w:bookmarkStart w:id="0" w:name="_Hlk126662155"/>
            <w:bookmarkEnd w:id="0"/>
            <w:r>
              <w:lastRenderedPageBreak/>
              <w:t>Requirements for the applicant's professional abilities (experience)</w:t>
            </w:r>
          </w:p>
        </w:tc>
      </w:tr>
      <w:tr w:rsidR="00465083" w14:paraId="69607E11" w14:textId="77777777">
        <w:tc>
          <w:tcPr>
            <w:tcW w:w="4933" w:type="dxa"/>
            <w:tcBorders>
              <w:top w:val="single" w:sz="4" w:space="0" w:color="000000"/>
              <w:left w:val="single" w:sz="4" w:space="0" w:color="000000"/>
              <w:bottom w:val="single" w:sz="4" w:space="0" w:color="000000"/>
              <w:right w:val="single" w:sz="4" w:space="0" w:color="000000"/>
            </w:tcBorders>
          </w:tcPr>
          <w:p w14:paraId="5BF5DCAB" w14:textId="77777777" w:rsidR="00465083" w:rsidRDefault="00000000">
            <w:pPr>
              <w:pStyle w:val="P68B1DB1-ListParagraph18"/>
              <w:spacing w:after="0" w:line="240" w:lineRule="auto"/>
              <w:ind w:left="0"/>
              <w:jc w:val="both"/>
            </w:pPr>
            <w:bookmarkStart w:id="1" w:name="m_769501652060048579__Hlk130553170"/>
            <w:r>
              <w:t>6.1.3. During the previous five years</w:t>
            </w:r>
            <w:bookmarkStart w:id="2" w:name="m_769501652060048579__Hlk128469261"/>
            <w:bookmarkEnd w:id="1"/>
            <w:r>
              <w:t xml:space="preserve"> (1 January 2020 to the last day of the submission deadline)</w:t>
            </w:r>
            <w:bookmarkEnd w:id="2"/>
            <w:r>
              <w:t>, the applicant has developed/participated in at least one development of sensor-based equipment for human breath analysis for diagnostic purposes and calibration of such instruments with gas mixtures in accordance with standard metrology and validation parameters.</w:t>
            </w:r>
          </w:p>
          <w:p w14:paraId="021F82A9" w14:textId="77777777" w:rsidR="00465083" w:rsidRDefault="00000000">
            <w:pPr>
              <w:pStyle w:val="P68B1DB1-ListParagraph18"/>
              <w:ind w:left="0"/>
              <w:jc w:val="both"/>
            </w:pPr>
            <w:bookmarkStart w:id="3" w:name="_Hlk130553170"/>
            <w:r>
              <w:t>An applicant established subsequently shall demonstrate compliance during the period of service (since its establishment).</w:t>
            </w:r>
            <w:bookmarkEnd w:id="3"/>
          </w:p>
        </w:tc>
        <w:tc>
          <w:tcPr>
            <w:tcW w:w="4262" w:type="dxa"/>
            <w:tcBorders>
              <w:top w:val="single" w:sz="4" w:space="0" w:color="000000"/>
              <w:left w:val="single" w:sz="4" w:space="0" w:color="000000"/>
              <w:bottom w:val="single" w:sz="4" w:space="0" w:color="000000"/>
              <w:right w:val="single" w:sz="4" w:space="0" w:color="000000"/>
            </w:tcBorders>
          </w:tcPr>
          <w:p w14:paraId="0DE44E83" w14:textId="77777777" w:rsidR="00465083" w:rsidRDefault="00000000">
            <w:pPr>
              <w:pStyle w:val="P68B1DB1-Normal12"/>
              <w:numPr>
                <w:ilvl w:val="0"/>
                <w:numId w:val="5"/>
              </w:numPr>
              <w:spacing w:after="0" w:line="240" w:lineRule="auto"/>
              <w:ind w:left="292" w:hanging="292"/>
              <w:jc w:val="both"/>
              <w:rPr>
                <w:iCs/>
              </w:rPr>
            </w:pPr>
            <w:r>
              <w:rPr>
                <w:b/>
              </w:rPr>
              <w:t>A description of the applicant's experience</w:t>
            </w:r>
            <w:r>
              <w:t xml:space="preserve"> contained in the form set out in Annex 1 to the Regulation;</w:t>
            </w:r>
          </w:p>
          <w:p w14:paraId="0AA4A527" w14:textId="77777777" w:rsidR="00465083" w:rsidRDefault="00000000">
            <w:pPr>
              <w:pStyle w:val="P68B1DB1-Normal12"/>
              <w:numPr>
                <w:ilvl w:val="0"/>
                <w:numId w:val="5"/>
              </w:numPr>
              <w:spacing w:after="0" w:line="240" w:lineRule="auto"/>
              <w:ind w:left="292" w:hanging="292"/>
              <w:jc w:val="both"/>
              <w:rPr>
                <w:iCs/>
              </w:rPr>
            </w:pPr>
            <w:r>
              <w:rPr>
                <w:b/>
              </w:rPr>
              <w:t>Reference</w:t>
            </w:r>
            <w:r>
              <w:t xml:space="preserve"> or other evidence of compliance with the requirement set out in paragraph 6.1.3 of the Regulation (e.g. publications, certificate, etc.).</w:t>
            </w:r>
          </w:p>
        </w:tc>
      </w:tr>
      <w:tr w:rsidR="00465083" w14:paraId="35F11759" w14:textId="77777777">
        <w:tc>
          <w:tcPr>
            <w:tcW w:w="9195" w:type="dxa"/>
            <w:gridSpan w:val="2"/>
            <w:tcBorders>
              <w:top w:val="single" w:sz="4" w:space="0" w:color="000000"/>
              <w:left w:val="single" w:sz="4" w:space="0" w:color="000000"/>
              <w:bottom w:val="single" w:sz="4" w:space="0" w:color="000000"/>
              <w:right w:val="single" w:sz="4" w:space="0" w:color="000000"/>
            </w:tcBorders>
            <w:shd w:val="clear" w:color="auto" w:fill="EDEDED"/>
          </w:tcPr>
          <w:p w14:paraId="35D13528" w14:textId="77777777" w:rsidR="00465083" w:rsidRDefault="00000000">
            <w:pPr>
              <w:pStyle w:val="P68B1DB1-ListParagraph17"/>
              <w:autoSpaceDE w:val="0"/>
              <w:ind w:left="341"/>
              <w:jc w:val="both"/>
            </w:pPr>
            <w:r>
              <w:t>Requirements for the applicant's professional abilities (specialists)</w:t>
            </w:r>
          </w:p>
        </w:tc>
      </w:tr>
      <w:tr w:rsidR="00465083" w14:paraId="36A60504" w14:textId="77777777">
        <w:tc>
          <w:tcPr>
            <w:tcW w:w="4933" w:type="dxa"/>
            <w:tcBorders>
              <w:top w:val="single" w:sz="4" w:space="0" w:color="000000"/>
              <w:left w:val="single" w:sz="4" w:space="0" w:color="000000"/>
              <w:bottom w:val="single" w:sz="4" w:space="0" w:color="000000"/>
              <w:right w:val="single" w:sz="4" w:space="0" w:color="000000"/>
            </w:tcBorders>
          </w:tcPr>
          <w:p w14:paraId="7D1986AC" w14:textId="77777777" w:rsidR="00465083" w:rsidRDefault="00000000">
            <w:pPr>
              <w:pStyle w:val="P68B1DB1-ListParagraph19"/>
              <w:numPr>
                <w:ilvl w:val="2"/>
                <w:numId w:val="11"/>
              </w:numPr>
              <w:spacing w:after="0" w:line="240" w:lineRule="auto"/>
              <w:jc w:val="both"/>
            </w:pPr>
            <w:r>
              <w:t>The applicant shall ensure the participation of specialists conforming to the qualification requirements specified in Annex 2 to the Regulation in the implementation of the Agreement with the following qualification:</w:t>
            </w:r>
          </w:p>
          <w:p w14:paraId="5750706A" w14:textId="77777777" w:rsidR="00465083" w:rsidRDefault="00000000">
            <w:pPr>
              <w:pStyle w:val="P68B1DB1-ListParagraph18"/>
              <w:numPr>
                <w:ilvl w:val="3"/>
                <w:numId w:val="11"/>
              </w:numPr>
              <w:spacing w:after="0" w:line="240" w:lineRule="auto"/>
              <w:jc w:val="both"/>
            </w:pPr>
            <w:r>
              <w:t>at least one specialist with a PhD (or equivalent) in physical chemistry;</w:t>
            </w:r>
          </w:p>
          <w:p w14:paraId="43F57D21" w14:textId="77777777" w:rsidR="00465083" w:rsidRDefault="00000000">
            <w:pPr>
              <w:pStyle w:val="P68B1DB1-ListParagraph18"/>
              <w:numPr>
                <w:ilvl w:val="3"/>
                <w:numId w:val="11"/>
              </w:numPr>
              <w:spacing w:after="0" w:line="240" w:lineRule="auto"/>
              <w:jc w:val="both"/>
            </w:pPr>
            <w:r>
              <w:t>at least one specialist with a PhD in analytical chemistry;</w:t>
            </w:r>
          </w:p>
          <w:p w14:paraId="3BCE4709" w14:textId="77777777" w:rsidR="00465083" w:rsidRDefault="00000000">
            <w:pPr>
              <w:pStyle w:val="P68B1DB1-ListParagraph18"/>
              <w:numPr>
                <w:ilvl w:val="3"/>
                <w:numId w:val="11"/>
              </w:numPr>
              <w:spacing w:after="0" w:line="240" w:lineRule="auto"/>
              <w:jc w:val="both"/>
            </w:pPr>
            <w:r>
              <w:t>at least one specialist with a master's degree in biomedical engineering.</w:t>
            </w:r>
          </w:p>
        </w:tc>
        <w:tc>
          <w:tcPr>
            <w:tcW w:w="4262" w:type="dxa"/>
            <w:tcBorders>
              <w:top w:val="single" w:sz="4" w:space="0" w:color="000000"/>
              <w:left w:val="single" w:sz="4" w:space="0" w:color="000000"/>
              <w:bottom w:val="single" w:sz="4" w:space="0" w:color="000000"/>
              <w:right w:val="single" w:sz="4" w:space="0" w:color="000000"/>
            </w:tcBorders>
          </w:tcPr>
          <w:p w14:paraId="7387FB42" w14:textId="77777777" w:rsidR="00465083" w:rsidRDefault="00000000">
            <w:pPr>
              <w:pStyle w:val="P68B1DB1-Normal12"/>
              <w:numPr>
                <w:ilvl w:val="0"/>
                <w:numId w:val="5"/>
              </w:numPr>
              <w:spacing w:after="0" w:line="240" w:lineRule="auto"/>
              <w:ind w:left="292" w:hanging="292"/>
              <w:jc w:val="both"/>
              <w:rPr>
                <w:iCs/>
              </w:rPr>
            </w:pPr>
            <w:r>
              <w:rPr>
                <w:b/>
              </w:rPr>
              <w:t>A description of the experience and qualification of specialists</w:t>
            </w:r>
            <w:r>
              <w:t xml:space="preserve"> developed in accordance with the form of Annex 1 to the Regulation, attaching a copy of the diploma certifying the scientific qualification of specialists specified in Sub-paragraph 6.1.4 of the Regulation.</w:t>
            </w:r>
          </w:p>
          <w:p w14:paraId="42BF0EC2" w14:textId="77777777" w:rsidR="00465083" w:rsidRDefault="00465083">
            <w:pPr>
              <w:spacing w:after="0" w:line="240" w:lineRule="auto"/>
              <w:jc w:val="both"/>
              <w:rPr>
                <w:rFonts w:ascii="Times New Roman" w:hAnsi="Times New Roman" w:cs="Times New Roman"/>
                <w:iCs/>
                <w:sz w:val="20"/>
                <w:szCs w:val="20"/>
              </w:rPr>
            </w:pPr>
          </w:p>
        </w:tc>
      </w:tr>
      <w:tr w:rsidR="00465083" w14:paraId="44B8D67B" w14:textId="77777777">
        <w:tc>
          <w:tcPr>
            <w:tcW w:w="4933" w:type="dxa"/>
            <w:tcBorders>
              <w:top w:val="single" w:sz="4" w:space="0" w:color="000000"/>
              <w:left w:val="single" w:sz="4" w:space="0" w:color="000000"/>
              <w:bottom w:val="single" w:sz="4" w:space="0" w:color="000000"/>
              <w:right w:val="single" w:sz="4" w:space="0" w:color="000000"/>
            </w:tcBorders>
            <w:shd w:val="clear" w:color="auto" w:fill="F2F2F2"/>
          </w:tcPr>
          <w:p w14:paraId="1A1B2A72" w14:textId="77777777" w:rsidR="00465083" w:rsidRDefault="00000000">
            <w:pPr>
              <w:pStyle w:val="P68B1DB1-Normal14"/>
              <w:numPr>
                <w:ilvl w:val="1"/>
                <w:numId w:val="11"/>
              </w:numPr>
              <w:spacing w:after="0" w:line="240" w:lineRule="auto"/>
              <w:ind w:right="-533"/>
              <w:jc w:val="both"/>
            </w:pPr>
            <w:r>
              <w:t>Requirements for Technical tender</w:t>
            </w:r>
          </w:p>
        </w:tc>
        <w:tc>
          <w:tcPr>
            <w:tcW w:w="4262" w:type="dxa"/>
            <w:tcBorders>
              <w:top w:val="single" w:sz="4" w:space="0" w:color="000000"/>
              <w:left w:val="single" w:sz="4" w:space="0" w:color="000000"/>
              <w:bottom w:val="single" w:sz="4" w:space="0" w:color="000000"/>
              <w:right w:val="single" w:sz="4" w:space="0" w:color="000000"/>
            </w:tcBorders>
            <w:shd w:val="clear" w:color="auto" w:fill="F2F2F2"/>
          </w:tcPr>
          <w:p w14:paraId="1F380F8A" w14:textId="77777777" w:rsidR="00465083" w:rsidRDefault="00000000">
            <w:pPr>
              <w:pStyle w:val="P68B1DB1-Normal14"/>
              <w:spacing w:after="0" w:line="240" w:lineRule="auto"/>
              <w:ind w:left="454" w:right="-533" w:hanging="454"/>
              <w:jc w:val="center"/>
            </w:pPr>
            <w:r>
              <w:t>Documents to be submitted</w:t>
            </w:r>
          </w:p>
        </w:tc>
      </w:tr>
      <w:tr w:rsidR="00465083" w14:paraId="72EB17B7" w14:textId="77777777">
        <w:tc>
          <w:tcPr>
            <w:tcW w:w="4933" w:type="dxa"/>
            <w:tcBorders>
              <w:top w:val="single" w:sz="4" w:space="0" w:color="000000"/>
              <w:left w:val="single" w:sz="4" w:space="0" w:color="000000"/>
              <w:bottom w:val="single" w:sz="4" w:space="0" w:color="000000"/>
              <w:right w:val="single" w:sz="4" w:space="0" w:color="000000"/>
            </w:tcBorders>
          </w:tcPr>
          <w:p w14:paraId="0209131D" w14:textId="77777777" w:rsidR="00465083" w:rsidRDefault="00000000">
            <w:pPr>
              <w:pStyle w:val="P68B1DB1-Normal12"/>
              <w:spacing w:after="0" w:line="240" w:lineRule="auto"/>
              <w:jc w:val="both"/>
            </w:pPr>
            <w:r>
              <w:t>The technical tender shall conform to the technical specification of the procurement tender (Annex 2).</w:t>
            </w:r>
          </w:p>
        </w:tc>
        <w:tc>
          <w:tcPr>
            <w:tcW w:w="4262" w:type="dxa"/>
            <w:tcBorders>
              <w:top w:val="single" w:sz="4" w:space="0" w:color="000000"/>
              <w:left w:val="single" w:sz="4" w:space="0" w:color="000000"/>
              <w:bottom w:val="single" w:sz="4" w:space="0" w:color="000000"/>
              <w:right w:val="single" w:sz="4" w:space="0" w:color="000000"/>
            </w:tcBorders>
          </w:tcPr>
          <w:p w14:paraId="312EFEA0" w14:textId="77777777" w:rsidR="00465083" w:rsidRDefault="00000000">
            <w:pPr>
              <w:pStyle w:val="P68B1DB1-Normal12"/>
              <w:spacing w:after="0" w:line="240" w:lineRule="auto"/>
              <w:jc w:val="both"/>
            </w:pPr>
            <w:r>
              <w:rPr>
                <w:b/>
              </w:rPr>
              <w:t>Technical offer</w:t>
            </w:r>
            <w:r>
              <w:t xml:space="preserve"> developed in accordance with the Technical Specification requirements of Annex 2 to the Regulation for type 1 and type 2 breathalyzer apparatus and calibration system.</w:t>
            </w:r>
          </w:p>
        </w:tc>
      </w:tr>
      <w:tr w:rsidR="00465083" w14:paraId="17252BA6" w14:textId="77777777">
        <w:tc>
          <w:tcPr>
            <w:tcW w:w="4933" w:type="dxa"/>
            <w:tcBorders>
              <w:top w:val="single" w:sz="4" w:space="0" w:color="000000"/>
              <w:left w:val="single" w:sz="4" w:space="0" w:color="000000"/>
              <w:bottom w:val="single" w:sz="4" w:space="0" w:color="000000"/>
              <w:right w:val="single" w:sz="4" w:space="0" w:color="000000"/>
            </w:tcBorders>
            <w:shd w:val="clear" w:color="auto" w:fill="F2F2F2"/>
          </w:tcPr>
          <w:p w14:paraId="3FF9C549" w14:textId="77777777" w:rsidR="00465083" w:rsidRDefault="00000000">
            <w:pPr>
              <w:pStyle w:val="P68B1DB1-Normal14"/>
              <w:numPr>
                <w:ilvl w:val="1"/>
                <w:numId w:val="11"/>
              </w:numPr>
              <w:spacing w:after="0" w:line="240" w:lineRule="auto"/>
              <w:ind w:left="426" w:hanging="426"/>
              <w:jc w:val="both"/>
            </w:pPr>
            <w:r>
              <w:t>Requirements for a Financial offer</w:t>
            </w:r>
          </w:p>
        </w:tc>
        <w:tc>
          <w:tcPr>
            <w:tcW w:w="4262" w:type="dxa"/>
            <w:tcBorders>
              <w:top w:val="single" w:sz="4" w:space="0" w:color="000000"/>
              <w:left w:val="single" w:sz="4" w:space="0" w:color="000000"/>
              <w:bottom w:val="single" w:sz="4" w:space="0" w:color="000000"/>
              <w:right w:val="single" w:sz="4" w:space="0" w:color="000000"/>
            </w:tcBorders>
            <w:shd w:val="clear" w:color="auto" w:fill="F2F2F2"/>
          </w:tcPr>
          <w:p w14:paraId="6C125A75" w14:textId="77777777" w:rsidR="00465083" w:rsidRDefault="00000000">
            <w:pPr>
              <w:pStyle w:val="P68B1DB1-Normal14"/>
              <w:spacing w:after="0" w:line="240" w:lineRule="auto"/>
              <w:ind w:firstLine="8"/>
              <w:jc w:val="center"/>
            </w:pPr>
            <w:r>
              <w:t>Document to be submitted</w:t>
            </w:r>
          </w:p>
        </w:tc>
      </w:tr>
      <w:tr w:rsidR="00465083" w14:paraId="57B37AC3" w14:textId="77777777">
        <w:tc>
          <w:tcPr>
            <w:tcW w:w="4933" w:type="dxa"/>
            <w:tcBorders>
              <w:top w:val="single" w:sz="4" w:space="0" w:color="000000"/>
              <w:left w:val="single" w:sz="4" w:space="0" w:color="000000"/>
              <w:bottom w:val="single" w:sz="4" w:space="0" w:color="000000"/>
              <w:right w:val="single" w:sz="4" w:space="0" w:color="000000"/>
            </w:tcBorders>
          </w:tcPr>
          <w:p w14:paraId="08083D93" w14:textId="77777777" w:rsidR="00465083" w:rsidRDefault="00000000">
            <w:pPr>
              <w:pStyle w:val="P68B1DB1-ListParagraph18"/>
              <w:numPr>
                <w:ilvl w:val="2"/>
                <w:numId w:val="11"/>
              </w:numPr>
              <w:spacing w:after="0" w:line="240" w:lineRule="auto"/>
              <w:jc w:val="both"/>
              <w:rPr>
                <w:spacing w:val="-1"/>
              </w:rPr>
            </w:pPr>
            <w:r>
              <w:rPr>
                <w:spacing w:val="-1"/>
              </w:rPr>
              <w:t>All costs directly and indirectly related to the manufacture, supply, installation and maintenance of the apparatus, as well as</w:t>
            </w:r>
            <w:r>
              <w:t xml:space="preserve"> </w:t>
            </w:r>
            <w:r>
              <w:rPr>
                <w:spacing w:val="-1"/>
              </w:rPr>
              <w:t>taxes (excluding VAT), shall be included in the price of the type 1 and type 2 breathing analysers indicated in the financial tender,</w:t>
            </w:r>
          </w:p>
          <w:p w14:paraId="3F2EE1B5" w14:textId="77777777" w:rsidR="00465083" w:rsidRDefault="00000000">
            <w:pPr>
              <w:pStyle w:val="P68B1DB1-ListParagraph19"/>
              <w:numPr>
                <w:ilvl w:val="2"/>
                <w:numId w:val="11"/>
              </w:numPr>
              <w:spacing w:after="0" w:line="240" w:lineRule="auto"/>
              <w:jc w:val="both"/>
            </w:pPr>
            <w:r>
              <w:t>An applicant may submit only one financial tender for the full amount of the procurement object.</w:t>
            </w:r>
          </w:p>
          <w:p w14:paraId="0495A42A" w14:textId="77777777" w:rsidR="00465083" w:rsidRDefault="00000000">
            <w:pPr>
              <w:pStyle w:val="P68B1DB1-ListParagraph19"/>
              <w:numPr>
                <w:ilvl w:val="2"/>
                <w:numId w:val="11"/>
              </w:numPr>
              <w:spacing w:after="0" w:line="240" w:lineRule="auto"/>
              <w:jc w:val="both"/>
            </w:pPr>
            <w:r>
              <w:t>The price shall be indicated to the nearest two decimal places.</w:t>
            </w:r>
          </w:p>
        </w:tc>
        <w:tc>
          <w:tcPr>
            <w:tcW w:w="4262" w:type="dxa"/>
            <w:tcBorders>
              <w:top w:val="single" w:sz="4" w:space="0" w:color="000000"/>
              <w:left w:val="single" w:sz="4" w:space="0" w:color="000000"/>
              <w:bottom w:val="single" w:sz="4" w:space="0" w:color="000000"/>
              <w:right w:val="single" w:sz="4" w:space="0" w:color="000000"/>
            </w:tcBorders>
          </w:tcPr>
          <w:p w14:paraId="32ED611E" w14:textId="65DBC79A" w:rsidR="00465083" w:rsidRDefault="00000000" w:rsidP="009B30AE">
            <w:pPr>
              <w:pStyle w:val="P68B1DB1-Normal12"/>
              <w:spacing w:after="0" w:line="240" w:lineRule="auto"/>
              <w:ind w:left="2"/>
              <w:jc w:val="both"/>
              <w:rPr>
                <w:b/>
                <w:bCs/>
              </w:rPr>
            </w:pPr>
            <w:r>
              <w:t>The financial tender of the tenderer, drawn up in accordance with the form set out in Annex 1 to the Regulation, indicating the contract price of the procurement object and</w:t>
            </w:r>
            <w:r w:rsidR="009B30AE">
              <w:t xml:space="preserve"> </w:t>
            </w:r>
            <w:r>
              <w:t>d</w:t>
            </w:r>
            <w:r>
              <w:t>elivery time (from the time of conclusion of the c</w:t>
            </w:r>
            <w:r>
              <w:t>o</w:t>
            </w:r>
            <w:r>
              <w:t>ntra</w:t>
            </w:r>
            <w:r>
              <w:t>c</w:t>
            </w:r>
            <w:r>
              <w:t>t).</w:t>
            </w:r>
          </w:p>
        </w:tc>
      </w:tr>
      <w:tr w:rsidR="00465083" w14:paraId="7D21074B" w14:textId="77777777">
        <w:tc>
          <w:tcPr>
            <w:tcW w:w="4933" w:type="dxa"/>
            <w:tcBorders>
              <w:top w:val="single" w:sz="4" w:space="0" w:color="000000"/>
              <w:left w:val="single" w:sz="4" w:space="0" w:color="000000"/>
              <w:bottom w:val="single" w:sz="4" w:space="0" w:color="000000"/>
              <w:right w:val="single" w:sz="4" w:space="0" w:color="000000"/>
            </w:tcBorders>
            <w:shd w:val="clear" w:color="auto" w:fill="F2F2F2"/>
          </w:tcPr>
          <w:p w14:paraId="1B7973E4" w14:textId="77777777" w:rsidR="00465083" w:rsidRDefault="00000000">
            <w:pPr>
              <w:pStyle w:val="P68B1DB1-Normal14"/>
              <w:numPr>
                <w:ilvl w:val="1"/>
                <w:numId w:val="3"/>
              </w:numPr>
              <w:spacing w:after="0" w:line="240" w:lineRule="auto"/>
              <w:jc w:val="both"/>
            </w:pPr>
            <w:r>
              <w:t>Other requirements</w:t>
            </w:r>
          </w:p>
        </w:tc>
        <w:tc>
          <w:tcPr>
            <w:tcW w:w="4262" w:type="dxa"/>
            <w:tcBorders>
              <w:top w:val="single" w:sz="4" w:space="0" w:color="000000"/>
              <w:left w:val="single" w:sz="4" w:space="0" w:color="000000"/>
              <w:bottom w:val="single" w:sz="4" w:space="0" w:color="000000"/>
              <w:right w:val="single" w:sz="4" w:space="0" w:color="000000"/>
            </w:tcBorders>
            <w:shd w:val="clear" w:color="auto" w:fill="F2F2F2"/>
          </w:tcPr>
          <w:p w14:paraId="1D5FBEA2" w14:textId="77777777" w:rsidR="00465083" w:rsidRDefault="00000000">
            <w:pPr>
              <w:pStyle w:val="P68B1DB1-Normal14"/>
              <w:spacing w:after="0" w:line="240" w:lineRule="auto"/>
              <w:ind w:right="176"/>
              <w:jc w:val="center"/>
            </w:pPr>
            <w:r>
              <w:t>Documents to be submitted</w:t>
            </w:r>
          </w:p>
        </w:tc>
      </w:tr>
      <w:tr w:rsidR="00465083" w14:paraId="3CF7FB50" w14:textId="77777777">
        <w:tc>
          <w:tcPr>
            <w:tcW w:w="4933" w:type="dxa"/>
            <w:tcBorders>
              <w:top w:val="single" w:sz="4" w:space="0" w:color="000000"/>
              <w:left w:val="single" w:sz="4" w:space="0" w:color="000000"/>
              <w:bottom w:val="single" w:sz="4" w:space="0" w:color="000000"/>
              <w:right w:val="single" w:sz="4" w:space="0" w:color="000000"/>
            </w:tcBorders>
          </w:tcPr>
          <w:p w14:paraId="7721BC28" w14:textId="77777777" w:rsidR="00465083" w:rsidRDefault="00000000">
            <w:pPr>
              <w:pStyle w:val="P68B1DB1-ListParagraph18"/>
              <w:numPr>
                <w:ilvl w:val="2"/>
                <w:numId w:val="3"/>
              </w:numPr>
              <w:tabs>
                <w:tab w:val="left" w:pos="567"/>
              </w:tabs>
              <w:spacing w:after="0" w:line="240" w:lineRule="auto"/>
              <w:jc w:val="both"/>
            </w:pPr>
            <w:r>
              <w:t xml:space="preserve">If the tenderer intends to involve a subcontractor </w:t>
            </w:r>
            <w:r>
              <w:lastRenderedPageBreak/>
              <w:t>in the performance of the procurement contract, the subcontractor has confirmed its willingness to engage in the implementation of the planned procurement contract.</w:t>
            </w:r>
          </w:p>
          <w:p w14:paraId="643C4ABB" w14:textId="77777777" w:rsidR="00465083" w:rsidRDefault="00465083">
            <w:pPr>
              <w:pStyle w:val="ListParagraph"/>
              <w:tabs>
                <w:tab w:val="left" w:pos="567"/>
              </w:tabs>
              <w:spacing w:after="0" w:line="240" w:lineRule="auto"/>
              <w:ind w:left="0"/>
              <w:jc w:val="both"/>
              <w:rPr>
                <w:rFonts w:ascii="Times New Roman" w:hAnsi="Times New Roman" w:cs="Times New Roman"/>
                <w:sz w:val="20"/>
                <w:szCs w:val="20"/>
              </w:rPr>
            </w:pPr>
          </w:p>
        </w:tc>
        <w:tc>
          <w:tcPr>
            <w:tcW w:w="4262" w:type="dxa"/>
            <w:tcBorders>
              <w:top w:val="single" w:sz="4" w:space="0" w:color="000000"/>
              <w:left w:val="single" w:sz="4" w:space="0" w:color="000000"/>
              <w:bottom w:val="single" w:sz="4" w:space="0" w:color="000000"/>
              <w:right w:val="single" w:sz="4" w:space="0" w:color="000000"/>
            </w:tcBorders>
          </w:tcPr>
          <w:p w14:paraId="780BE00A" w14:textId="77777777" w:rsidR="00465083" w:rsidRDefault="00000000">
            <w:pPr>
              <w:pStyle w:val="P68B1DB1-Normal12"/>
              <w:numPr>
                <w:ilvl w:val="0"/>
                <w:numId w:val="4"/>
              </w:numPr>
              <w:spacing w:after="0" w:line="240" w:lineRule="auto"/>
              <w:ind w:left="321" w:hanging="284"/>
              <w:jc w:val="both"/>
            </w:pPr>
            <w:r>
              <w:lastRenderedPageBreak/>
              <w:t xml:space="preserve">The tenderer shall indicate in the application, </w:t>
            </w:r>
            <w:r>
              <w:lastRenderedPageBreak/>
              <w:t>drawn up in accordance with the form set out in Annex 1 to the Regulation, all subcontractors and the value of the services to be provided by each subcontractor in EUR excluding VAT.</w:t>
            </w:r>
          </w:p>
          <w:p w14:paraId="7A9EE65A" w14:textId="77777777" w:rsidR="00465083" w:rsidRDefault="00000000">
            <w:pPr>
              <w:pStyle w:val="P68B1DB1-Normal12"/>
              <w:numPr>
                <w:ilvl w:val="0"/>
                <w:numId w:val="4"/>
              </w:numPr>
              <w:spacing w:after="0" w:line="240" w:lineRule="auto"/>
              <w:ind w:left="321" w:hanging="284"/>
              <w:jc w:val="both"/>
            </w:pPr>
            <w:r>
              <w:rPr>
                <w:b/>
              </w:rPr>
              <w:t>A declaration of a subcontractor,</w:t>
            </w:r>
            <w:r>
              <w:t xml:space="preserve"> drawn up in accordance with the form of Annex 3 to the Regulation, certifying that the subcontractor resources necessary for the performance of the procurement contract will be at the disposal of the tenderer throughout the performance of the procurement contract.</w:t>
            </w:r>
          </w:p>
        </w:tc>
      </w:tr>
      <w:tr w:rsidR="00465083" w14:paraId="339511ED" w14:textId="77777777">
        <w:tc>
          <w:tcPr>
            <w:tcW w:w="4933" w:type="dxa"/>
            <w:tcBorders>
              <w:top w:val="single" w:sz="4" w:space="0" w:color="000000"/>
              <w:left w:val="single" w:sz="4" w:space="0" w:color="000000"/>
              <w:bottom w:val="single" w:sz="4" w:space="0" w:color="000000"/>
              <w:right w:val="single" w:sz="4" w:space="0" w:color="000000"/>
            </w:tcBorders>
          </w:tcPr>
          <w:p w14:paraId="10710634" w14:textId="77777777" w:rsidR="00465083" w:rsidRDefault="00000000">
            <w:pPr>
              <w:pStyle w:val="P68B1DB1-ListParagraph18"/>
              <w:numPr>
                <w:ilvl w:val="2"/>
                <w:numId w:val="3"/>
              </w:numPr>
              <w:tabs>
                <w:tab w:val="left" w:pos="0"/>
              </w:tabs>
              <w:spacing w:after="0" w:line="240" w:lineRule="auto"/>
              <w:jc w:val="both"/>
            </w:pPr>
            <w:r>
              <w:lastRenderedPageBreak/>
              <w:t>If the tender is submitted by a supplier association or partnership, a written agreement has been entered into between the members of the supplier association or partnership.</w:t>
            </w:r>
          </w:p>
          <w:p w14:paraId="5B07C012" w14:textId="77777777" w:rsidR="00465083" w:rsidRDefault="00000000">
            <w:pPr>
              <w:pStyle w:val="P68B1DB1-ListParagraph18"/>
              <w:numPr>
                <w:ilvl w:val="2"/>
                <w:numId w:val="3"/>
              </w:numPr>
              <w:tabs>
                <w:tab w:val="left" w:pos="0"/>
              </w:tabs>
              <w:spacing w:before="120" w:after="0" w:line="240" w:lineRule="auto"/>
              <w:ind w:left="0" w:firstLine="0"/>
              <w:jc w:val="both"/>
            </w:pPr>
            <w:r>
              <w:t>The supplier association may fulfil the requirement set out in paragraph 6.1.3 of the Regulation by summing up the experience set out in paragraph 6.1.3 of the Regulation.</w:t>
            </w:r>
          </w:p>
        </w:tc>
        <w:tc>
          <w:tcPr>
            <w:tcW w:w="4262" w:type="dxa"/>
            <w:tcBorders>
              <w:top w:val="single" w:sz="4" w:space="0" w:color="000000"/>
              <w:left w:val="single" w:sz="4" w:space="0" w:color="000000"/>
              <w:bottom w:val="single" w:sz="4" w:space="0" w:color="000000"/>
              <w:right w:val="single" w:sz="4" w:space="0" w:color="000000"/>
            </w:tcBorders>
          </w:tcPr>
          <w:p w14:paraId="536061CF" w14:textId="77777777" w:rsidR="00465083" w:rsidRDefault="00000000">
            <w:pPr>
              <w:pStyle w:val="P68B1DB1-Normal12"/>
              <w:numPr>
                <w:ilvl w:val="0"/>
                <w:numId w:val="4"/>
              </w:numPr>
              <w:spacing w:after="0" w:line="240" w:lineRule="auto"/>
              <w:ind w:left="321" w:hanging="284"/>
              <w:jc w:val="both"/>
            </w:pPr>
            <w:r>
              <w:rPr>
                <w:b/>
              </w:rPr>
              <w:t>Document</w:t>
            </w:r>
            <w:r>
              <w:t xml:space="preserve"> certifying that throughout the performance of the procurement contract the supplier association or partnership will have at its disposal the resources necessary for the performance of the procurement contract (a copy of the cooperation agreement, agreement or equivalent document).</w:t>
            </w:r>
          </w:p>
        </w:tc>
      </w:tr>
    </w:tbl>
    <w:p w14:paraId="78DD6EC3" w14:textId="77777777" w:rsidR="00465083" w:rsidRDefault="00465083">
      <w:pPr>
        <w:pStyle w:val="Stils1"/>
        <w:numPr>
          <w:ilvl w:val="0"/>
          <w:numId w:val="0"/>
        </w:numPr>
        <w:ind w:left="539"/>
        <w:rPr>
          <w:i w:val="0"/>
          <w:iCs/>
          <w:caps/>
        </w:rPr>
      </w:pPr>
    </w:p>
    <w:p w14:paraId="61EF1B7C" w14:textId="77777777" w:rsidR="00465083" w:rsidRDefault="00000000">
      <w:pPr>
        <w:pStyle w:val="P68B1DB1-Heading315"/>
      </w:pPr>
      <w:r>
        <w:t>7. PROCEDURES for EVALUATING tenderers and tenders</w:t>
      </w:r>
    </w:p>
    <w:p w14:paraId="2CFE4C93" w14:textId="77777777" w:rsidR="00465083" w:rsidRDefault="00000000">
      <w:pPr>
        <w:pStyle w:val="P68B1DB1-Normal12"/>
        <w:tabs>
          <w:tab w:val="left" w:pos="567"/>
          <w:tab w:val="left" w:pos="1080"/>
        </w:tabs>
        <w:spacing w:before="120" w:after="0" w:line="240" w:lineRule="auto"/>
        <w:jc w:val="both"/>
      </w:pPr>
      <w:r>
        <w:t>7.1. The Commission shall carry out the evaluation of the tenders submitted in three successive stages. If a tenderer's tender does not qualify at any of the following stages, it shall be excluded from further participation in the procurement (i.e. it is not evaluated at the next stage of the evaluation of tenders). Stages of evaluation of tenders:</w:t>
      </w:r>
    </w:p>
    <w:p w14:paraId="32CC65CA" w14:textId="77777777" w:rsidR="00465083" w:rsidRDefault="00000000">
      <w:pPr>
        <w:pStyle w:val="P68B1DB1-Normal12"/>
        <w:tabs>
          <w:tab w:val="left" w:pos="567"/>
          <w:tab w:val="left" w:pos="1080"/>
        </w:tabs>
        <w:spacing w:before="120" w:after="0" w:line="240" w:lineRule="auto"/>
        <w:jc w:val="both"/>
        <w:rPr>
          <w:bCs/>
          <w:iCs/>
        </w:rPr>
      </w:pPr>
      <w:r>
        <w:t xml:space="preserve">7.1.1. </w:t>
      </w:r>
      <w:r>
        <w:rPr>
          <w:b/>
        </w:rPr>
        <w:t>step 1 - Checking the presentation of tenders</w:t>
      </w:r>
    </w:p>
    <w:p w14:paraId="6669CDAC" w14:textId="77777777" w:rsidR="00465083" w:rsidRDefault="00000000">
      <w:pPr>
        <w:pStyle w:val="P68B1DB1-Normal12"/>
        <w:tabs>
          <w:tab w:val="left" w:pos="567"/>
          <w:tab w:val="left" w:pos="1080"/>
        </w:tabs>
        <w:spacing w:after="0" w:line="240" w:lineRule="auto"/>
        <w:ind w:left="993" w:hanging="567"/>
        <w:jc w:val="both"/>
      </w:pPr>
      <w:r>
        <w:t>The Commission shall assess whether the tender has been prepared and drawn up in accordance with the requirements for presentation laid down in Section 5 of the Regulation. The Commission shall reject the tenderer's tender if:</w:t>
      </w:r>
    </w:p>
    <w:p w14:paraId="040430C8" w14:textId="77777777" w:rsidR="00465083" w:rsidRDefault="00000000">
      <w:pPr>
        <w:pStyle w:val="P68B1DB1-Normal12"/>
        <w:tabs>
          <w:tab w:val="left" w:pos="567"/>
          <w:tab w:val="left" w:pos="1080"/>
        </w:tabs>
        <w:spacing w:after="0" w:line="240" w:lineRule="auto"/>
        <w:ind w:left="720"/>
        <w:jc w:val="both"/>
      </w:pPr>
      <w:r>
        <w:tab/>
      </w:r>
      <w:r>
        <w:tab/>
        <w:t>(a) a significant non-compliance of the presentation of the tender with the requirements of the Regulation;</w:t>
      </w:r>
    </w:p>
    <w:p w14:paraId="2FD00E59" w14:textId="77777777" w:rsidR="00465083" w:rsidRDefault="00000000">
      <w:pPr>
        <w:pStyle w:val="P68B1DB1-Normal12"/>
        <w:tabs>
          <w:tab w:val="left" w:pos="567"/>
          <w:tab w:val="left" w:pos="1080"/>
        </w:tabs>
        <w:spacing w:after="0" w:line="240" w:lineRule="auto"/>
        <w:ind w:left="720"/>
        <w:jc w:val="both"/>
      </w:pPr>
      <w:r>
        <w:tab/>
      </w:r>
      <w:r>
        <w:tab/>
        <w:t>(b) the tender submitted is defective or not open.</w:t>
      </w:r>
    </w:p>
    <w:p w14:paraId="5BC32DD1" w14:textId="77777777" w:rsidR="00465083" w:rsidRDefault="00000000">
      <w:pPr>
        <w:pStyle w:val="P68B1DB1-Normal12"/>
        <w:tabs>
          <w:tab w:val="left" w:pos="567"/>
          <w:tab w:val="left" w:pos="1080"/>
        </w:tabs>
        <w:spacing w:after="0" w:line="240" w:lineRule="auto"/>
        <w:jc w:val="both"/>
      </w:pPr>
      <w:r>
        <w:t xml:space="preserve">7.1.2. </w:t>
      </w:r>
      <w:r>
        <w:rPr>
          <w:b/>
        </w:rPr>
        <w:t>stage 2 - selection of tenderers</w:t>
      </w:r>
    </w:p>
    <w:p w14:paraId="69C1A1AF" w14:textId="1830F927" w:rsidR="00465083" w:rsidRDefault="00000000">
      <w:pPr>
        <w:pStyle w:val="P68B1DB1-Normal12"/>
        <w:tabs>
          <w:tab w:val="left" w:pos="567"/>
          <w:tab w:val="left" w:pos="1080"/>
        </w:tabs>
        <w:spacing w:after="0" w:line="240" w:lineRule="auto"/>
        <w:jc w:val="both"/>
        <w:rPr>
          <w:bCs/>
        </w:rPr>
      </w:pPr>
      <w:r>
        <w:tab/>
        <w:t xml:space="preserve">The Commission shall verify whether the qualification documents submitted by the applicant demonstrate compliance of the applicant with the requirements laid down in Section 6 of the Regulation. The Commission shall exclude a tenderer from further participation in a procurement </w:t>
      </w:r>
      <w:r w:rsidR="00216419">
        <w:t>tender</w:t>
      </w:r>
      <w:r>
        <w:t xml:space="preserve">, if any of the exclusion embodiments referred to in the Regulation are applicable to the applicant, as well as if 11 of </w:t>
      </w:r>
      <w:r>
        <w:rPr>
          <w:i/>
        </w:rPr>
        <w:t>the Law on International and national Sanctions of the Republic of Latvia have</w:t>
      </w:r>
      <w:r>
        <w:t xml:space="preserve"> been determined. the cases referred to in the first paragraph of Article </w:t>
      </w:r>
      <w:r>
        <w:rPr>
          <w:vertAlign w:val="superscript"/>
        </w:rPr>
        <w:t>1</w:t>
      </w:r>
      <w:r>
        <w:t>.</w:t>
      </w:r>
    </w:p>
    <w:p w14:paraId="4464B2F5" w14:textId="77777777" w:rsidR="00465083" w:rsidRDefault="00000000">
      <w:pPr>
        <w:pStyle w:val="P68B1DB1-Normal12"/>
        <w:tabs>
          <w:tab w:val="left" w:pos="567"/>
          <w:tab w:val="left" w:pos="1080"/>
        </w:tabs>
        <w:spacing w:after="0" w:line="240" w:lineRule="auto"/>
        <w:jc w:val="both"/>
        <w:rPr>
          <w:bCs/>
        </w:rPr>
      </w:pPr>
      <w:r>
        <w:t xml:space="preserve">7.1.3. </w:t>
      </w:r>
      <w:r>
        <w:rPr>
          <w:b/>
        </w:rPr>
        <w:t>stage 3 — evaluation of tenders:</w:t>
      </w:r>
    </w:p>
    <w:p w14:paraId="6632288F" w14:textId="77777777" w:rsidR="00465083" w:rsidRDefault="00000000">
      <w:pPr>
        <w:pStyle w:val="P68B1DB1-Normal12"/>
        <w:tabs>
          <w:tab w:val="left" w:pos="567"/>
          <w:tab w:val="left" w:pos="1080"/>
        </w:tabs>
        <w:spacing w:after="0" w:line="240" w:lineRule="auto"/>
        <w:ind w:left="567"/>
        <w:jc w:val="both"/>
      </w:pPr>
      <w:r>
        <w:t>7.1.3.1. The Commission shall assess whether the financial tender submitted by the tenderer complies with the requirements of the Regulation and examine the tender for arithmetical errors, which shall be corrected by notifying the tenderer thereof;</w:t>
      </w:r>
    </w:p>
    <w:p w14:paraId="2D4AE1B3" w14:textId="77777777" w:rsidR="00465083" w:rsidRDefault="00000000">
      <w:pPr>
        <w:pStyle w:val="P68B1DB1-Normal12"/>
        <w:tabs>
          <w:tab w:val="left" w:pos="567"/>
          <w:tab w:val="left" w:pos="1080"/>
        </w:tabs>
        <w:spacing w:after="0" w:line="240" w:lineRule="auto"/>
        <w:ind w:left="567"/>
        <w:jc w:val="both"/>
        <w:rPr>
          <w:b/>
        </w:rPr>
      </w:pPr>
      <w:r>
        <w:t xml:space="preserve">7.1.3.2. The Commission shall recognise as the winner of all tenders fulfilling the requirements of the previous evaluation stages the tender of a tenderer which meets the following </w:t>
      </w:r>
      <w:r>
        <w:rPr>
          <w:b/>
        </w:rPr>
        <w:t>evaluation criteria:</w:t>
      </w:r>
      <w:bookmarkStart w:id="4" w:name="_Hlk35751419"/>
    </w:p>
    <w:p w14:paraId="2CC14B26" w14:textId="77777777" w:rsidR="00465083" w:rsidRDefault="00465083">
      <w:pPr>
        <w:tabs>
          <w:tab w:val="left" w:pos="567"/>
          <w:tab w:val="left" w:pos="1080"/>
        </w:tabs>
        <w:spacing w:after="0" w:line="240" w:lineRule="auto"/>
        <w:ind w:left="567"/>
        <w:jc w:val="both"/>
        <w:rPr>
          <w:rFonts w:ascii="Times New Roman" w:hAnsi="Times New Roman" w:cs="Times New Roman"/>
          <w:b/>
          <w:bCs/>
          <w:sz w:val="20"/>
          <w:szCs w:val="20"/>
        </w:rPr>
      </w:pPr>
    </w:p>
    <w:tbl>
      <w:tblPr>
        <w:tblW w:w="9072" w:type="dxa"/>
        <w:tblInd w:w="108" w:type="dxa"/>
        <w:tblLayout w:type="fixed"/>
        <w:tblLook w:val="04A0" w:firstRow="1" w:lastRow="0" w:firstColumn="1" w:lastColumn="0" w:noHBand="0" w:noVBand="1"/>
      </w:tblPr>
      <w:tblGrid>
        <w:gridCol w:w="1134"/>
        <w:gridCol w:w="1701"/>
        <w:gridCol w:w="1276"/>
        <w:gridCol w:w="3686"/>
        <w:gridCol w:w="1275"/>
      </w:tblGrid>
      <w:tr w:rsidR="00465083" w14:paraId="5661D361" w14:textId="77777777">
        <w:trPr>
          <w:trHeight w:val="444"/>
        </w:trPr>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6CB059" w14:textId="77777777" w:rsidR="00465083" w:rsidRDefault="00000000">
            <w:pPr>
              <w:pStyle w:val="P68B1DB1-Parastais20"/>
              <w:jc w:val="both"/>
            </w:pPr>
            <w:r>
              <w:t>Criterion number</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B5FB01" w14:textId="77777777" w:rsidR="00465083" w:rsidRDefault="00000000">
            <w:pPr>
              <w:pStyle w:val="P68B1DB1-Parastais20"/>
              <w:jc w:val="both"/>
            </w:pPr>
            <w:r>
              <w:t>Evaluation criterion</w:t>
            </w:r>
          </w:p>
        </w:tc>
        <w:tc>
          <w:tcPr>
            <w:tcW w:w="12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6B49CE" w14:textId="77777777" w:rsidR="00465083" w:rsidRDefault="00000000">
            <w:pPr>
              <w:pStyle w:val="P68B1DB1-Parastais20"/>
              <w:jc w:val="both"/>
            </w:pPr>
            <w:r>
              <w:t>Document evaluating the fulfilment of the criterion</w:t>
            </w:r>
          </w:p>
        </w:tc>
        <w:tc>
          <w:tcPr>
            <w:tcW w:w="36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FB21CD" w14:textId="77777777" w:rsidR="00465083" w:rsidRDefault="00000000">
            <w:pPr>
              <w:pStyle w:val="P68B1DB1-Parastais20"/>
              <w:jc w:val="both"/>
            </w:pPr>
            <w:r>
              <w:t>Procedures for the award of points</w:t>
            </w:r>
          </w:p>
        </w:tc>
        <w:tc>
          <w:tcPr>
            <w:tcW w:w="12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54C97A1" w14:textId="77777777" w:rsidR="00465083" w:rsidRDefault="00000000">
            <w:pPr>
              <w:pStyle w:val="P68B1DB1-Parastais20"/>
              <w:jc w:val="both"/>
            </w:pPr>
            <w:r>
              <w:t>Maximum score</w:t>
            </w:r>
          </w:p>
        </w:tc>
      </w:tr>
      <w:tr w:rsidR="00465083" w14:paraId="09F4FFC3" w14:textId="77777777">
        <w:trPr>
          <w:trHeight w:val="444"/>
        </w:trPr>
        <w:tc>
          <w:tcPr>
            <w:tcW w:w="1134" w:type="dxa"/>
            <w:tcBorders>
              <w:top w:val="single" w:sz="4" w:space="0" w:color="000000"/>
              <w:left w:val="single" w:sz="4" w:space="0" w:color="000000"/>
              <w:bottom w:val="single" w:sz="4" w:space="0" w:color="000000"/>
              <w:right w:val="single" w:sz="4" w:space="0" w:color="000000"/>
            </w:tcBorders>
          </w:tcPr>
          <w:p w14:paraId="01F70C8E" w14:textId="77777777" w:rsidR="00465083" w:rsidRDefault="00000000">
            <w:pPr>
              <w:pStyle w:val="P68B1DB1-Parastais21"/>
              <w:jc w:val="both"/>
            </w:pPr>
            <w:r>
              <w:t>P1</w:t>
            </w:r>
          </w:p>
        </w:tc>
        <w:tc>
          <w:tcPr>
            <w:tcW w:w="1701" w:type="dxa"/>
            <w:tcBorders>
              <w:top w:val="single" w:sz="4" w:space="0" w:color="000000"/>
              <w:left w:val="single" w:sz="4" w:space="0" w:color="000000"/>
              <w:bottom w:val="single" w:sz="4" w:space="0" w:color="000000"/>
              <w:right w:val="single" w:sz="4" w:space="0" w:color="000000"/>
            </w:tcBorders>
          </w:tcPr>
          <w:p w14:paraId="7DA94EAB" w14:textId="64EB35E9" w:rsidR="00465083" w:rsidRDefault="00000000">
            <w:pPr>
              <w:pStyle w:val="P68B1DB1-Parastais21"/>
              <w:jc w:val="both"/>
            </w:pPr>
            <w:r>
              <w:t>Lowest price offered by the applicant for Type 1 and Type 2 breathalyzer apparatus</w:t>
            </w:r>
            <w:r w:rsidR="00B379CF">
              <w:t xml:space="preserve"> </w:t>
            </w:r>
            <w:r w:rsidR="00B379CF" w:rsidRPr="00B379CF">
              <w:t>and calibration system</w:t>
            </w:r>
          </w:p>
        </w:tc>
        <w:tc>
          <w:tcPr>
            <w:tcW w:w="1276" w:type="dxa"/>
            <w:tcBorders>
              <w:top w:val="single" w:sz="4" w:space="0" w:color="000000"/>
              <w:left w:val="single" w:sz="4" w:space="0" w:color="000000"/>
              <w:bottom w:val="single" w:sz="4" w:space="0" w:color="000000"/>
              <w:right w:val="single" w:sz="4" w:space="0" w:color="000000"/>
            </w:tcBorders>
          </w:tcPr>
          <w:p w14:paraId="633BE0F8" w14:textId="77777777" w:rsidR="00465083" w:rsidRDefault="00000000">
            <w:pPr>
              <w:pStyle w:val="P68B1DB1-Parastais21"/>
              <w:jc w:val="both"/>
            </w:pPr>
            <w:r>
              <w:t>Financial offer (Annex 1)</w:t>
            </w:r>
          </w:p>
        </w:tc>
        <w:tc>
          <w:tcPr>
            <w:tcW w:w="3686" w:type="dxa"/>
            <w:tcBorders>
              <w:top w:val="single" w:sz="4" w:space="0" w:color="000000"/>
              <w:left w:val="single" w:sz="4" w:space="0" w:color="000000"/>
              <w:bottom w:val="single" w:sz="4" w:space="0" w:color="000000"/>
              <w:right w:val="single" w:sz="4" w:space="0" w:color="000000"/>
            </w:tcBorders>
          </w:tcPr>
          <w:p w14:paraId="0B327BC3" w14:textId="77777777" w:rsidR="00465083" w:rsidRDefault="00000000">
            <w:pPr>
              <w:pStyle w:val="P68B1DB1-Parastais21"/>
              <w:jc w:val="both"/>
            </w:pPr>
            <w:r>
              <w:t>The lowest price on offer gets a maximum score of 60 points.</w:t>
            </w:r>
          </w:p>
        </w:tc>
        <w:tc>
          <w:tcPr>
            <w:tcW w:w="1275" w:type="dxa"/>
            <w:tcBorders>
              <w:top w:val="single" w:sz="4" w:space="0" w:color="000000"/>
              <w:left w:val="single" w:sz="4" w:space="0" w:color="000000"/>
              <w:bottom w:val="single" w:sz="4" w:space="0" w:color="000000"/>
              <w:right w:val="single" w:sz="4" w:space="0" w:color="000000"/>
            </w:tcBorders>
          </w:tcPr>
          <w:p w14:paraId="2AC2B05F" w14:textId="77777777" w:rsidR="00465083" w:rsidRDefault="00000000">
            <w:pPr>
              <w:pStyle w:val="P68B1DB1-Parastais21"/>
              <w:jc w:val="center"/>
            </w:pPr>
            <w:r>
              <w:t>60</w:t>
            </w:r>
          </w:p>
        </w:tc>
      </w:tr>
      <w:tr w:rsidR="00465083" w14:paraId="11A1C74D" w14:textId="77777777">
        <w:trPr>
          <w:trHeight w:val="274"/>
        </w:trPr>
        <w:tc>
          <w:tcPr>
            <w:tcW w:w="1134" w:type="dxa"/>
            <w:tcBorders>
              <w:top w:val="single" w:sz="4" w:space="0" w:color="000000"/>
              <w:left w:val="single" w:sz="4" w:space="0" w:color="000000"/>
              <w:bottom w:val="single" w:sz="4" w:space="0" w:color="000000"/>
              <w:right w:val="single" w:sz="4" w:space="0" w:color="000000"/>
            </w:tcBorders>
          </w:tcPr>
          <w:p w14:paraId="170487C0" w14:textId="77777777" w:rsidR="00465083" w:rsidRDefault="00000000">
            <w:pPr>
              <w:pStyle w:val="P68B1DB1-Normal22"/>
              <w:widowControl w:val="0"/>
              <w:jc w:val="both"/>
              <w:rPr>
                <w:sz w:val="20"/>
                <w:szCs w:val="20"/>
              </w:rPr>
            </w:pPr>
            <w:r>
              <w:t>P2</w:t>
            </w:r>
          </w:p>
        </w:tc>
        <w:tc>
          <w:tcPr>
            <w:tcW w:w="1701" w:type="dxa"/>
            <w:tcBorders>
              <w:top w:val="single" w:sz="4" w:space="0" w:color="000000"/>
              <w:left w:val="single" w:sz="4" w:space="0" w:color="000000"/>
              <w:bottom w:val="single" w:sz="4" w:space="0" w:color="000000"/>
              <w:right w:val="single" w:sz="4" w:space="0" w:color="000000"/>
            </w:tcBorders>
          </w:tcPr>
          <w:p w14:paraId="23D89529" w14:textId="315B9B32" w:rsidR="00465083" w:rsidRDefault="00000000">
            <w:pPr>
              <w:pStyle w:val="P68B1DB1-Parastais21"/>
              <w:jc w:val="both"/>
            </w:pPr>
            <w:r>
              <w:t xml:space="preserve">Delivery time offered by the </w:t>
            </w:r>
            <w:r>
              <w:lastRenderedPageBreak/>
              <w:t>applicant for type 1 and type 2 breathalyzer apparatus</w:t>
            </w:r>
            <w:r w:rsidR="00B379CF">
              <w:t xml:space="preserve"> </w:t>
            </w:r>
            <w:r w:rsidR="00B379CF" w:rsidRPr="00B379CF">
              <w:t>and calibration system</w:t>
            </w:r>
          </w:p>
        </w:tc>
        <w:tc>
          <w:tcPr>
            <w:tcW w:w="1276" w:type="dxa"/>
            <w:tcBorders>
              <w:top w:val="single" w:sz="4" w:space="0" w:color="000000"/>
              <w:left w:val="single" w:sz="4" w:space="0" w:color="000000"/>
              <w:bottom w:val="single" w:sz="4" w:space="0" w:color="000000"/>
              <w:right w:val="single" w:sz="4" w:space="0" w:color="000000"/>
            </w:tcBorders>
          </w:tcPr>
          <w:p w14:paraId="46DF1984" w14:textId="77777777" w:rsidR="00465083" w:rsidRDefault="00000000">
            <w:pPr>
              <w:pStyle w:val="P68B1DB1-Parastais21"/>
              <w:jc w:val="both"/>
            </w:pPr>
            <w:r>
              <w:lastRenderedPageBreak/>
              <w:t>Technical offer</w:t>
            </w:r>
          </w:p>
          <w:p w14:paraId="77E2ABB3" w14:textId="77777777" w:rsidR="00465083" w:rsidRDefault="00000000">
            <w:pPr>
              <w:pStyle w:val="P68B1DB1-Parastais21"/>
              <w:jc w:val="both"/>
            </w:pPr>
            <w:r>
              <w:lastRenderedPageBreak/>
              <w:t>(Annex 2)</w:t>
            </w:r>
          </w:p>
        </w:tc>
        <w:tc>
          <w:tcPr>
            <w:tcW w:w="3686" w:type="dxa"/>
            <w:tcBorders>
              <w:top w:val="single" w:sz="4" w:space="0" w:color="000000"/>
              <w:left w:val="single" w:sz="4" w:space="0" w:color="000000"/>
              <w:bottom w:val="single" w:sz="4" w:space="0" w:color="000000"/>
              <w:right w:val="single" w:sz="4" w:space="0" w:color="000000"/>
            </w:tcBorders>
          </w:tcPr>
          <w:p w14:paraId="4DE1EE8F" w14:textId="77777777" w:rsidR="00465083" w:rsidRDefault="00000000">
            <w:pPr>
              <w:pStyle w:val="P68B1DB1-Parastais21"/>
              <w:jc w:val="both"/>
            </w:pPr>
            <w:r>
              <w:lastRenderedPageBreak/>
              <w:t xml:space="preserve">The fastest delivery time for type 1 and type 2 breathalyzer apparatus and calibration system </w:t>
            </w:r>
            <w:r>
              <w:lastRenderedPageBreak/>
              <w:t>(from the time of conclusion of the contract) achieves a maximum score of 40 points.</w:t>
            </w:r>
          </w:p>
        </w:tc>
        <w:tc>
          <w:tcPr>
            <w:tcW w:w="1275" w:type="dxa"/>
            <w:tcBorders>
              <w:top w:val="single" w:sz="4" w:space="0" w:color="000000"/>
              <w:left w:val="single" w:sz="4" w:space="0" w:color="000000"/>
              <w:bottom w:val="single" w:sz="4" w:space="0" w:color="000000"/>
              <w:right w:val="single" w:sz="4" w:space="0" w:color="000000"/>
            </w:tcBorders>
          </w:tcPr>
          <w:p w14:paraId="6F89B997" w14:textId="77777777" w:rsidR="00465083" w:rsidRDefault="00000000">
            <w:pPr>
              <w:pStyle w:val="P68B1DB1-Parastais21"/>
              <w:jc w:val="center"/>
            </w:pPr>
            <w:r>
              <w:lastRenderedPageBreak/>
              <w:t>40</w:t>
            </w:r>
          </w:p>
        </w:tc>
      </w:tr>
    </w:tbl>
    <w:p w14:paraId="066788C0" w14:textId="77777777" w:rsidR="00465083" w:rsidRDefault="00465083">
      <w:pPr>
        <w:spacing w:after="0" w:line="240" w:lineRule="auto"/>
        <w:jc w:val="both"/>
        <w:rPr>
          <w:rFonts w:ascii="Times New Roman" w:eastAsia="Times New Roman" w:hAnsi="Times New Roman" w:cs="Times New Roman"/>
          <w:sz w:val="20"/>
          <w:szCs w:val="20"/>
        </w:rPr>
      </w:pPr>
    </w:p>
    <w:p w14:paraId="4CF5F4EE" w14:textId="77777777" w:rsidR="00465083" w:rsidRDefault="00000000">
      <w:pPr>
        <w:pStyle w:val="P68B1DB1-ListParagraph18"/>
        <w:tabs>
          <w:tab w:val="left" w:pos="1134"/>
        </w:tabs>
        <w:spacing w:after="0" w:line="240" w:lineRule="auto"/>
        <w:ind w:left="426"/>
        <w:jc w:val="both"/>
      </w:pPr>
      <w:r>
        <w:t>7.1.3.3. The total score shall be calculated by the Commission using the following formula:</w:t>
      </w:r>
    </w:p>
    <w:p w14:paraId="12C23DBC" w14:textId="77777777" w:rsidR="00465083" w:rsidRDefault="00000000">
      <w:pPr>
        <w:pStyle w:val="P68B1DB1-Normal12"/>
        <w:tabs>
          <w:tab w:val="left" w:pos="1134"/>
          <w:tab w:val="left" w:pos="1701"/>
        </w:tabs>
        <w:spacing w:after="0" w:line="240" w:lineRule="auto"/>
        <w:ind w:left="993"/>
        <w:jc w:val="both"/>
      </w:pPr>
      <w:r>
        <w:t>S = P1+P2 where</w:t>
      </w:r>
    </w:p>
    <w:p w14:paraId="40C6FEA8" w14:textId="77777777" w:rsidR="00465083" w:rsidRDefault="00000000">
      <w:pPr>
        <w:pStyle w:val="P68B1DB1-Normal12"/>
        <w:tabs>
          <w:tab w:val="left" w:pos="1134"/>
          <w:tab w:val="left" w:pos="1701"/>
        </w:tabs>
        <w:spacing w:after="0" w:line="240" w:lineRule="auto"/>
        <w:ind w:left="993"/>
        <w:jc w:val="both"/>
      </w:pPr>
      <w:r>
        <w:t>S – total points;</w:t>
      </w:r>
    </w:p>
    <w:p w14:paraId="2D245710" w14:textId="77777777" w:rsidR="00465083" w:rsidRDefault="00000000">
      <w:pPr>
        <w:pStyle w:val="P68B1DB1-Normal12"/>
        <w:tabs>
          <w:tab w:val="left" w:pos="1134"/>
          <w:tab w:val="left" w:pos="1701"/>
        </w:tabs>
        <w:spacing w:after="0" w:line="240" w:lineRule="auto"/>
        <w:ind w:left="993"/>
        <w:jc w:val="both"/>
      </w:pPr>
      <w:r>
        <w:t>P – the number of points of the criterion to be evaluated.</w:t>
      </w:r>
    </w:p>
    <w:p w14:paraId="662CC718" w14:textId="77777777" w:rsidR="00465083" w:rsidRDefault="00000000">
      <w:pPr>
        <w:pStyle w:val="P68B1DB1-ListParagraph18"/>
        <w:spacing w:after="0" w:line="240" w:lineRule="auto"/>
        <w:ind w:left="993"/>
        <w:jc w:val="both"/>
        <w:rPr>
          <w:bCs/>
        </w:rPr>
      </w:pPr>
      <w:r>
        <w:t>Maximum points to be obtained: 100 points.</w:t>
      </w:r>
    </w:p>
    <w:p w14:paraId="5EDECC18" w14:textId="77777777" w:rsidR="00465083" w:rsidRDefault="00000000">
      <w:pPr>
        <w:pStyle w:val="P68B1DB1-ListParagraph18"/>
        <w:spacing w:after="0" w:line="240" w:lineRule="auto"/>
        <w:ind w:left="426"/>
        <w:jc w:val="both"/>
      </w:pPr>
      <w:r>
        <w:t>7.1.3.4. If the bids of several tenderers have been evaluated with the same score, the Commission shall select the tenderer for which the score is higher in the P1 scoring criterion.</w:t>
      </w:r>
      <w:bookmarkEnd w:id="4"/>
    </w:p>
    <w:p w14:paraId="24488F89" w14:textId="77777777" w:rsidR="00465083" w:rsidRDefault="00000000">
      <w:pPr>
        <w:pStyle w:val="P68B1DB1-Heading39"/>
      </w:pPr>
      <w:r>
        <w:t>8. TAKING OF A DECISION REGARDING THE AWARD OF A PROCUREMENT CONTRACT</w:t>
      </w:r>
    </w:p>
    <w:p w14:paraId="0EB733F1" w14:textId="77777777" w:rsidR="00465083" w:rsidRDefault="00000000">
      <w:pPr>
        <w:pStyle w:val="P68B1DB1-Normal12"/>
        <w:spacing w:after="0" w:line="240" w:lineRule="auto"/>
        <w:ind w:left="426" w:hanging="426"/>
        <w:jc w:val="both"/>
      </w:pPr>
      <w:r>
        <w:t>8.1. The Commission shall decide on the award of the contract to the tenderer which, according to the evaluation criteria laid down in the Regulation, should be awarded the contract (Article 7.1.3.3 of the Regulation).</w:t>
      </w:r>
    </w:p>
    <w:p w14:paraId="25506EBB" w14:textId="77777777" w:rsidR="00465083" w:rsidRDefault="00000000">
      <w:pPr>
        <w:pStyle w:val="P68B1DB1-Normal12"/>
        <w:spacing w:after="0" w:line="240" w:lineRule="auto"/>
        <w:ind w:left="426" w:hanging="426"/>
        <w:jc w:val="both"/>
      </w:pPr>
      <w:r>
        <w:t>8.4. The commissioning party shall, within 5 (five) working days after taking of the decision specified in Paragraph 8.1 of the Regulation, inform all applicants thereof in writing, sending the information electronically, using a secure electronic signature, to the electronic mail address indicated in the applicant's application. For each tenderer not awarded the contract, the Commission shall establish the reasons why the tender submitted by it was less advantageous than others.</w:t>
      </w:r>
    </w:p>
    <w:p w14:paraId="19B4CF08" w14:textId="77777777" w:rsidR="00465083" w:rsidRDefault="00000000">
      <w:pPr>
        <w:pStyle w:val="P68B1DB1-Heading39"/>
      </w:pPr>
      <w:r>
        <w:t>9. PROCUREMENT CONTRACT</w:t>
      </w:r>
    </w:p>
    <w:p w14:paraId="48772A3E" w14:textId="77777777" w:rsidR="00465083" w:rsidRDefault="00000000">
      <w:pPr>
        <w:pStyle w:val="P68B1DB1-ListParagraph18"/>
        <w:numPr>
          <w:ilvl w:val="1"/>
          <w:numId w:val="10"/>
        </w:numPr>
        <w:spacing w:after="0" w:line="240" w:lineRule="auto"/>
        <w:jc w:val="both"/>
      </w:pPr>
      <w:r>
        <w:t>The contract prescribes the legal relationship between the commissioning party and the tenderer (entrepreneur) in accordance with the provisions of the Regulation.</w:t>
      </w:r>
    </w:p>
    <w:p w14:paraId="1E9C592D" w14:textId="14242658" w:rsidR="00465083" w:rsidRDefault="00000000">
      <w:pPr>
        <w:pStyle w:val="ListParagraph"/>
        <w:numPr>
          <w:ilvl w:val="1"/>
          <w:numId w:val="10"/>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The commissioning party shall, within 5 (five) working days after entering into the contract, publish a notice on the website of the IUB regarding </w:t>
      </w:r>
      <w:r>
        <w:rPr>
          <w:rFonts w:ascii="Times New Roman" w:hAnsi="Times New Roman" w:cs="Times New Roman"/>
          <w:b/>
          <w:sz w:val="20"/>
          <w:szCs w:val="20"/>
        </w:rPr>
        <w:t>the results</w:t>
      </w:r>
      <w:r>
        <w:rPr>
          <w:rFonts w:ascii="Times New Roman" w:hAnsi="Times New Roman" w:cs="Times New Roman"/>
          <w:sz w:val="20"/>
          <w:szCs w:val="20"/>
        </w:rPr>
        <w:t xml:space="preserve"> of the procurement procedure of the final beneficiary, which shall include</w:t>
      </w:r>
      <w:r>
        <w:t xml:space="preserve"> </w:t>
      </w:r>
      <w:r>
        <w:rPr>
          <w:rFonts w:ascii="Times New Roman" w:hAnsi="Times New Roman" w:cs="Times New Roman"/>
          <w:sz w:val="20"/>
          <w:szCs w:val="20"/>
        </w:rPr>
        <w:t>the information referred to</w:t>
      </w:r>
      <w:r>
        <w:t xml:space="preserve"> in Annex 3 to</w:t>
      </w:r>
      <w:r>
        <w:rPr>
          <w:rStyle w:val="Hyperlink"/>
          <w:rFonts w:ascii="Times New Roman" w:hAnsi="Times New Roman" w:cs="Times New Roman"/>
          <w:sz w:val="20"/>
          <w:szCs w:val="20"/>
        </w:rPr>
        <w:t xml:space="preserve"> Cabinet Regulation No. 104 HYPERLINK "https://likumi.lv/ta/id/289082" \l "piel3".</w:t>
      </w:r>
    </w:p>
    <w:p w14:paraId="6F15E637" w14:textId="77777777" w:rsidR="00465083" w:rsidRDefault="00000000">
      <w:pPr>
        <w:pStyle w:val="P68B1DB1-ListParagraph18"/>
        <w:numPr>
          <w:ilvl w:val="1"/>
          <w:numId w:val="10"/>
        </w:numPr>
        <w:spacing w:after="0" w:line="240" w:lineRule="auto"/>
        <w:jc w:val="both"/>
      </w:pPr>
      <w:r>
        <w:t>In the case of entering into a contract, the prices indicated by the tenderer in the financial tender shall be the contract prices.</w:t>
      </w:r>
    </w:p>
    <w:p w14:paraId="362DC823" w14:textId="77777777" w:rsidR="00465083" w:rsidRDefault="00000000">
      <w:pPr>
        <w:pStyle w:val="P68B1DB1-Heading315"/>
      </w:pPr>
      <w:r>
        <w:t>10. Rights and obligations of the Commission</w:t>
      </w:r>
    </w:p>
    <w:p w14:paraId="1563BFCF" w14:textId="77777777" w:rsidR="00465083" w:rsidRDefault="00000000">
      <w:pPr>
        <w:pStyle w:val="P68B1DB1-BodyTextIndent3123"/>
        <w:tabs>
          <w:tab w:val="left" w:pos="-567"/>
        </w:tabs>
        <w:spacing w:after="0"/>
        <w:ind w:left="0"/>
        <w:jc w:val="both"/>
      </w:pPr>
      <w:r>
        <w:t xml:space="preserve">10.1. </w:t>
      </w:r>
      <w:r>
        <w:rPr>
          <w:b/>
        </w:rPr>
        <w:t>The Commission shall have the right to:</w:t>
      </w:r>
    </w:p>
    <w:p w14:paraId="2EC21A8D" w14:textId="29D30418" w:rsidR="00465083" w:rsidRDefault="00000000">
      <w:pPr>
        <w:pStyle w:val="Stils3"/>
        <w:tabs>
          <w:tab w:val="clear" w:pos="454"/>
        </w:tabs>
        <w:ind w:firstLine="0"/>
      </w:pPr>
      <w:r>
        <w:t xml:space="preserve">10.1.1. to exclude the tenderer from further participation in the tender at any stage of the procurement </w:t>
      </w:r>
      <w:r w:rsidR="002E611A">
        <w:t>tender</w:t>
      </w:r>
      <w:r>
        <w:t>, rejecting the tender of the tenderer, if the conditions for rejection of the tender specified in the Regulation are determined;</w:t>
      </w:r>
    </w:p>
    <w:p w14:paraId="67816F75" w14:textId="77777777" w:rsidR="00465083" w:rsidRDefault="00000000">
      <w:pPr>
        <w:pStyle w:val="Stils3"/>
        <w:tabs>
          <w:tab w:val="clear" w:pos="454"/>
        </w:tabs>
        <w:ind w:firstLine="0"/>
      </w:pPr>
      <w:r>
        <w:t>10.1.2. to invite an expert with advisory rights, if necessary, in the examination of the presentation of tenders, selection of tenderers, verification of the conformity of tenders and evaluation of tenders. The expert's assessment is not binding on the Commission;</w:t>
      </w:r>
    </w:p>
    <w:p w14:paraId="6B9DCC58" w14:textId="77777777" w:rsidR="00465083" w:rsidRDefault="00000000">
      <w:pPr>
        <w:pStyle w:val="Stils3"/>
        <w:tabs>
          <w:tab w:val="clear" w:pos="454"/>
        </w:tabs>
        <w:ind w:firstLine="0"/>
      </w:pPr>
      <w:r>
        <w:t>10.1.3. to request the tenderer to specify information regarding his or her tender, if it is necessary for the examination of the presentation of tenders, selection of tenderers, examination of the conformity of tenders or evaluation of tenders;</w:t>
      </w:r>
    </w:p>
    <w:p w14:paraId="1FB53AF1" w14:textId="77777777" w:rsidR="00465083" w:rsidRDefault="00000000">
      <w:pPr>
        <w:pStyle w:val="Stils3"/>
        <w:tabs>
          <w:tab w:val="clear" w:pos="454"/>
        </w:tabs>
        <w:ind w:firstLine="0"/>
      </w:pPr>
      <w:r>
        <w:t>10.1.4. to request the applicant to present the original document or to submit a certified copy of the document, if the Commission has doubts regarding the authenticity of the copy of the submitted document;</w:t>
      </w:r>
    </w:p>
    <w:p w14:paraId="06A2E37B" w14:textId="77777777" w:rsidR="00465083" w:rsidRDefault="00000000">
      <w:pPr>
        <w:pStyle w:val="Stils3"/>
        <w:tabs>
          <w:tab w:val="clear" w:pos="454"/>
        </w:tabs>
        <w:ind w:firstLine="0"/>
      </w:pPr>
      <w:r>
        <w:t>10.1.5. to request Pretendants to explain, supplement or improve tenders by conducting negotiations in accordance with the procedures laid down in Cabinet Regulation No. 104 with tenderers in order to receive the most economically advantageous tenders;</w:t>
      </w:r>
    </w:p>
    <w:p w14:paraId="31FD9471" w14:textId="77777777" w:rsidR="00465083" w:rsidRDefault="00000000">
      <w:pPr>
        <w:pStyle w:val="Stils3"/>
        <w:tabs>
          <w:tab w:val="clear" w:pos="454"/>
        </w:tabs>
        <w:ind w:firstLine="0"/>
      </w:pPr>
      <w:r>
        <w:t>10.1.6 ask the negotiators to approve their offer if they consider that an offer appropriate to the needs of the Customer has been obtained. A time limit of not less than three working days from the date on which the applicants have received a request for approval of their tenders shall be set for approval;</w:t>
      </w:r>
    </w:p>
    <w:p w14:paraId="683473B6" w14:textId="1F50C5AB" w:rsidR="00465083" w:rsidRDefault="00000000">
      <w:pPr>
        <w:pStyle w:val="Stils3"/>
        <w:tabs>
          <w:tab w:val="clear" w:pos="454"/>
        </w:tabs>
        <w:ind w:firstLine="0"/>
      </w:pPr>
      <w:r>
        <w:t xml:space="preserve">10.1.7. to award the contract, terminate or terminate the procurement </w:t>
      </w:r>
      <w:r w:rsidR="002E611A">
        <w:t>tender</w:t>
      </w:r>
      <w:r w:rsidR="002E611A">
        <w:t xml:space="preserve"> </w:t>
      </w:r>
      <w:r>
        <w:t>without selecting any tender.</w:t>
      </w:r>
    </w:p>
    <w:p w14:paraId="3F4803F4" w14:textId="77777777" w:rsidR="00465083" w:rsidRDefault="00000000">
      <w:pPr>
        <w:pStyle w:val="P68B1DB1-Stils113"/>
        <w:numPr>
          <w:ilvl w:val="0"/>
          <w:numId w:val="0"/>
        </w:numPr>
        <w:ind w:left="454" w:hanging="454"/>
      </w:pPr>
      <w:r>
        <w:rPr>
          <w:b w:val="0"/>
        </w:rPr>
        <w:t>10.2.</w:t>
      </w:r>
      <w:r>
        <w:t xml:space="preserve"> The Commission shall have the following responsibilities:</w:t>
      </w:r>
    </w:p>
    <w:p w14:paraId="48CC84A0" w14:textId="77777777" w:rsidR="00465083" w:rsidRDefault="00000000">
      <w:pPr>
        <w:pStyle w:val="Stils3"/>
        <w:tabs>
          <w:tab w:val="clear" w:pos="454"/>
        </w:tabs>
        <w:ind w:firstLine="0"/>
      </w:pPr>
      <w:r>
        <w:t>10.2.1. to evaluate the applicants and the tenders submitted by them in accordance with the provisions of the Regulation;</w:t>
      </w:r>
    </w:p>
    <w:p w14:paraId="6908D7EC" w14:textId="77777777" w:rsidR="00465083" w:rsidRDefault="00000000">
      <w:pPr>
        <w:pStyle w:val="Stils3"/>
        <w:tabs>
          <w:tab w:val="clear" w:pos="454"/>
        </w:tabs>
        <w:ind w:firstLine="0"/>
      </w:pPr>
      <w:r>
        <w:t>10.2.2. not to provide information regarding the evaluation process during the evaluation of tenders until notification of the results of the procurement tender.</w:t>
      </w:r>
    </w:p>
    <w:p w14:paraId="135064DC" w14:textId="77777777" w:rsidR="00465083" w:rsidRDefault="00000000">
      <w:pPr>
        <w:pStyle w:val="P68B1DB1-Heading315"/>
      </w:pPr>
      <w:r>
        <w:t>11. Rights and obligations of the applicant</w:t>
      </w:r>
    </w:p>
    <w:p w14:paraId="0E3A0386" w14:textId="77777777" w:rsidR="00465083" w:rsidRDefault="00000000">
      <w:pPr>
        <w:pStyle w:val="P68B1DB1-Normal12"/>
        <w:spacing w:after="0" w:line="240" w:lineRule="auto"/>
        <w:jc w:val="both"/>
      </w:pPr>
      <w:r>
        <w:t xml:space="preserve">11.1. </w:t>
      </w:r>
      <w:r>
        <w:rPr>
          <w:b/>
        </w:rPr>
        <w:t>The applicant has the right to:</w:t>
      </w:r>
    </w:p>
    <w:p w14:paraId="62A5D69D" w14:textId="77777777" w:rsidR="00465083" w:rsidRDefault="00000000">
      <w:pPr>
        <w:pStyle w:val="Stils3"/>
        <w:numPr>
          <w:ilvl w:val="2"/>
          <w:numId w:val="2"/>
        </w:numPr>
        <w:ind w:left="1276" w:hanging="709"/>
        <w:rPr>
          <w:sz w:val="18"/>
          <w:szCs w:val="18"/>
        </w:rPr>
      </w:pPr>
      <w:r>
        <w:lastRenderedPageBreak/>
        <w:t>withdraw the tender submitted at any stage of the tendering procedure by notifying the Commission thereof in writing.</w:t>
      </w:r>
    </w:p>
    <w:p w14:paraId="0F2721F3" w14:textId="77777777" w:rsidR="00465083" w:rsidRDefault="00000000">
      <w:pPr>
        <w:pStyle w:val="Stils3"/>
        <w:numPr>
          <w:ilvl w:val="2"/>
          <w:numId w:val="2"/>
        </w:numPr>
        <w:ind w:left="1276" w:hanging="709"/>
        <w:rPr>
          <w:sz w:val="18"/>
          <w:szCs w:val="18"/>
        </w:rPr>
      </w:pPr>
      <w:r>
        <w:t>the tender shall specify which of the information included in the tender is business secrets or confidential information which the Customer is not entitled to disclose to other tenderers.</w:t>
      </w:r>
    </w:p>
    <w:p w14:paraId="6B4E23BE" w14:textId="77777777" w:rsidR="00465083" w:rsidRDefault="00000000">
      <w:pPr>
        <w:pStyle w:val="Stils3"/>
        <w:ind w:left="0" w:firstLine="0"/>
      </w:pPr>
      <w:r>
        <w:t xml:space="preserve">11.2. </w:t>
      </w:r>
      <w:r>
        <w:rPr>
          <w:b/>
        </w:rPr>
        <w:t>The applicant has obligations:</w:t>
      </w:r>
    </w:p>
    <w:p w14:paraId="2FBE2044" w14:textId="77777777" w:rsidR="00465083" w:rsidRDefault="00000000">
      <w:pPr>
        <w:pStyle w:val="P68B1DB1-Normal12"/>
        <w:spacing w:after="0" w:line="240" w:lineRule="auto"/>
        <w:ind w:left="1276" w:hanging="709"/>
        <w:jc w:val="both"/>
      </w:pPr>
      <w:r>
        <w:t>11.2.1. to develop an offer in conformity with the provisions of the Regulation, including to complete the forms appended to the Annexes to the Regulation and the referred to documents;</w:t>
      </w:r>
    </w:p>
    <w:p w14:paraId="2BE8AE71" w14:textId="77777777" w:rsidR="00465083" w:rsidRDefault="00000000">
      <w:pPr>
        <w:pStyle w:val="P68B1DB1-Normal12"/>
        <w:spacing w:after="0" w:line="240" w:lineRule="auto"/>
        <w:ind w:left="1276" w:hanging="709"/>
        <w:jc w:val="both"/>
      </w:pPr>
      <w:r>
        <w:t>11.2.2. to ensure that the information included in the tender is not available until the opening of tenders. After the expiry of the time limit for the submission of tenders, the tenderer may not amend or supplement his tender;</w:t>
      </w:r>
    </w:p>
    <w:p w14:paraId="1878E172" w14:textId="77777777" w:rsidR="00465083" w:rsidRDefault="00000000">
      <w:pPr>
        <w:pStyle w:val="P68B1DB1-Normal12"/>
        <w:spacing w:after="0" w:line="240" w:lineRule="auto"/>
        <w:ind w:left="1276" w:hanging="709"/>
        <w:jc w:val="both"/>
      </w:pPr>
      <w:r>
        <w:t>11.2.3. Respond within the time limit set by the Commission to the Commission's request for clarification of the information contained in the tender or the compliance of the tenderer and its tender with the requirements of the Regulation;</w:t>
      </w:r>
    </w:p>
    <w:p w14:paraId="706D9553" w14:textId="77777777" w:rsidR="00465083" w:rsidRDefault="00000000">
      <w:pPr>
        <w:pStyle w:val="P68B1DB1-Normal12"/>
        <w:spacing w:after="0" w:line="240" w:lineRule="auto"/>
        <w:ind w:left="1276" w:hanging="709"/>
        <w:jc w:val="both"/>
      </w:pPr>
      <w:r>
        <w:t>11.2.4. if the tenderer is an association of suppliers and has been awarded the contract, before entering into the contract, to ensure the establishment of a legal form according to a specific legal status or to enter into a partnership contract, agreeing on the division of responsibility of the members of the association;</w:t>
      </w:r>
    </w:p>
    <w:p w14:paraId="370672DC" w14:textId="77777777" w:rsidR="00465083" w:rsidRDefault="00000000">
      <w:pPr>
        <w:spacing w:after="0" w:line="240" w:lineRule="auto"/>
        <w:ind w:left="1276" w:hanging="709"/>
        <w:jc w:val="both"/>
      </w:pPr>
      <w:r>
        <w:rPr>
          <w:rFonts w:ascii="Times New Roman" w:hAnsi="Times New Roman" w:cs="Times New Roman"/>
          <w:sz w:val="20"/>
          <w:szCs w:val="20"/>
        </w:rPr>
        <w:t>11.2.5. to cover the costs of preparation and submission of the tender. The commissioning party shall not be liable for such costs regardless of the</w:t>
      </w:r>
      <w:r>
        <w:t xml:space="preserve"> </w:t>
      </w:r>
      <w:r>
        <w:rPr>
          <w:rFonts w:ascii="Times New Roman" w:hAnsi="Times New Roman" w:cs="Times New Roman"/>
          <w:sz w:val="20"/>
          <w:szCs w:val="20"/>
        </w:rPr>
        <w:t>results of the procurement tender.</w:t>
      </w:r>
    </w:p>
    <w:p w14:paraId="0D71365F" w14:textId="77777777" w:rsidR="00465083" w:rsidRDefault="00000000">
      <w:pPr>
        <w:pStyle w:val="P68B1DB1-Heading39"/>
      </w:pPr>
      <w:r>
        <w:t>12. RULES FOR THE PROCESSING OF PERSONAL DATA</w:t>
      </w:r>
    </w:p>
    <w:p w14:paraId="4B3F82D3" w14:textId="77777777" w:rsidR="00465083" w:rsidRDefault="00000000">
      <w:pPr>
        <w:pStyle w:val="P68B1DB1-Stils124"/>
        <w:numPr>
          <w:ilvl w:val="0"/>
          <w:numId w:val="0"/>
        </w:numPr>
        <w:ind w:left="567" w:hanging="567"/>
        <w:rPr>
          <w:sz w:val="18"/>
        </w:rPr>
      </w:pPr>
      <w:r>
        <w:t>Regulation 12.1 lays down the procedures for the processing of personal data in cases where Regulation No 2016/679 of the European Parliament and of the Council of 27 April 2016 on the protection of individuals with regard to the processing of personal data and on the free movement of such data applies and repealing Directive 95/46/EC (General data Protection Regulation), hereinafter referred to as the Regulation.</w:t>
      </w:r>
    </w:p>
    <w:p w14:paraId="5E8AA7DA" w14:textId="77777777" w:rsidR="00465083" w:rsidRDefault="00000000">
      <w:pPr>
        <w:pStyle w:val="P68B1DB1-Stils116"/>
        <w:numPr>
          <w:ilvl w:val="0"/>
          <w:numId w:val="0"/>
        </w:numPr>
        <w:ind w:left="567" w:hanging="567"/>
      </w:pPr>
      <w:r>
        <w:t>12.2. Grounds for processing of personal data – organisation of a call for tenders and conclusion of a contract within the framework thereof and performance thereof, points (b) and (c) of the first paragraph of Article 6 of the Regulation. The data of natural persons indicated in the documents submitted in the tender shall be processed in order to ensure the course of the tender, evaluation of tenderers and their tenders, entering into and performance of the contract in accordance with the regulatory enactments regulating the field of public procurement and other regulatory enactments.</w:t>
      </w:r>
    </w:p>
    <w:p w14:paraId="08562FD0" w14:textId="77777777" w:rsidR="00465083" w:rsidRDefault="00000000">
      <w:pPr>
        <w:pStyle w:val="P68B1DB1-Stils116"/>
        <w:numPr>
          <w:ilvl w:val="0"/>
          <w:numId w:val="0"/>
        </w:numPr>
        <w:ind w:left="567" w:hanging="567"/>
      </w:pPr>
      <w:r>
        <w:t>12.3. The applicant shall ensure that for the processing of data of all natural persons indicated in his or her tender (including members of the association of all persons regardless of the legal nature of the mutual relations, as well as all subcontractors, if such are attracted, specialists, employees, contact persons, etc.), which will be performed by the commissioning party both in the procurement tender and in the performance of the contract, if a contract is entered into with the applicant, the legal basis for the processing of personal data has been ensured in accordance with the procedures specified in regulatory enactments.</w:t>
      </w:r>
    </w:p>
    <w:p w14:paraId="6D74FB54" w14:textId="77777777" w:rsidR="00465083" w:rsidRDefault="00000000">
      <w:pPr>
        <w:pStyle w:val="P68B1DB1-Stils116"/>
        <w:numPr>
          <w:ilvl w:val="0"/>
          <w:numId w:val="0"/>
        </w:numPr>
        <w:ind w:left="567" w:hanging="567"/>
      </w:pPr>
      <w:r>
        <w:t>12.4. The applicant shall ensure the information regarding the processing of data of all natural persons indicated in his or her tender (including members of the association of all persons regardless of the legal nature of the mutual relations, as well as all subcontractors, if such are attracted, to specialists, employees, contacts, etc.), which will be performed by the commissioning party both in the procurement tender and in the performance of the contract, if a procurement contract is entered into with the applicant, regarding the intended processing of personal data.</w:t>
      </w:r>
    </w:p>
    <w:p w14:paraId="3BDAAB45" w14:textId="77777777" w:rsidR="00465083" w:rsidRDefault="00000000">
      <w:pPr>
        <w:pStyle w:val="P68B1DB1-Stils116"/>
        <w:numPr>
          <w:ilvl w:val="0"/>
          <w:numId w:val="0"/>
        </w:numPr>
        <w:ind w:left="567" w:hanging="567"/>
      </w:pPr>
      <w:r>
        <w:t>12.5. Controller of the processing of personal data: AS “LabMedTech”, contact details: Ilukstes Street 45, Riga, LV-1073, Latvia, e-mail address: labmedtech@labmedtech.lv, phone +371 29214868.</w:t>
      </w:r>
    </w:p>
    <w:p w14:paraId="4EE94351" w14:textId="77777777" w:rsidR="00465083" w:rsidRDefault="00000000">
      <w:pPr>
        <w:pStyle w:val="P68B1DB1-Heading39"/>
      </w:pPr>
      <w:r>
        <w:t>13. PRINCIPLES OF PURCHASING ETHICS OF THE COMMISSIONING PARTY</w:t>
      </w:r>
    </w:p>
    <w:p w14:paraId="65C85EAE" w14:textId="77777777" w:rsidR="00465083" w:rsidRDefault="00000000">
      <w:pPr>
        <w:pStyle w:val="P68B1DB1-Normal12"/>
        <w:spacing w:after="0" w:line="240" w:lineRule="auto"/>
        <w:ind w:left="562" w:hanging="562"/>
        <w:jc w:val="both"/>
      </w:pPr>
      <w:r>
        <w:t>13.1. The commissioning party shall implement its procurement policy and organise procurements in compliance with the regulations for organising public procurement laid down in laws and regulations, as well as the highest standards of honesty and ethics.</w:t>
      </w:r>
    </w:p>
    <w:p w14:paraId="52E51466" w14:textId="77777777" w:rsidR="00465083" w:rsidRDefault="00000000">
      <w:pPr>
        <w:pStyle w:val="P68B1DB1-Normal12"/>
        <w:spacing w:after="0" w:line="240" w:lineRule="auto"/>
        <w:ind w:left="562" w:hanging="562"/>
        <w:jc w:val="both"/>
      </w:pPr>
      <w:r>
        <w:t>13.2. The commissioning party shall organise its procurements by ensuring the openness of the public procurement process, free and equal competition of suppliers and efficient use of the financial resources of the commissioning party.</w:t>
      </w:r>
    </w:p>
    <w:p w14:paraId="394C6911" w14:textId="77777777" w:rsidR="00465083" w:rsidRDefault="00000000">
      <w:pPr>
        <w:pStyle w:val="P68B1DB1-Normal12"/>
        <w:spacing w:after="0" w:line="240" w:lineRule="auto"/>
        <w:ind w:left="562" w:hanging="562"/>
        <w:jc w:val="both"/>
      </w:pPr>
      <w:r>
        <w:t>13.3. The commissioning authority shall deny and treat as unauthorised any act which may be regarded, directly or indirectly, as constituting corrupt or fraudulent conduct. The only provisions and procedures for potential co-operation in procurement between the commissioning party and suppliers, as well as the procedures by which issues regarding the participation of the supplier in procurement shall be resolved, shall be specified in the relevant procurement documentation and regulatory enactments regulating public procurement.</w:t>
      </w:r>
    </w:p>
    <w:p w14:paraId="43678D1D" w14:textId="77777777" w:rsidR="00465083" w:rsidRDefault="00000000">
      <w:pPr>
        <w:spacing w:after="0" w:line="240" w:lineRule="auto"/>
        <w:ind w:left="562" w:hanging="562"/>
        <w:jc w:val="both"/>
      </w:pPr>
      <w:r>
        <w:rPr>
          <w:rFonts w:ascii="Times New Roman" w:hAnsi="Times New Roman" w:cs="Times New Roman"/>
          <w:sz w:val="20"/>
          <w:szCs w:val="20"/>
        </w:rPr>
        <w:t>13.4. The commissioning authority shall immediately inform the law enforcement authorities of any direct or indirect invitation to engage in illegal and unauthorised activities, both</w:t>
      </w:r>
      <w:r>
        <w:t xml:space="preserve"> </w:t>
      </w:r>
      <w:r>
        <w:rPr>
          <w:rFonts w:ascii="Times New Roman" w:hAnsi="Times New Roman" w:cs="Times New Roman"/>
          <w:sz w:val="20"/>
          <w:szCs w:val="20"/>
        </w:rPr>
        <w:t xml:space="preserve">during the course of the </w:t>
      </w:r>
      <w:r>
        <w:rPr>
          <w:rFonts w:ascii="Times New Roman" w:hAnsi="Times New Roman" w:cs="Times New Roman"/>
          <w:sz w:val="20"/>
          <w:szCs w:val="20"/>
        </w:rPr>
        <w:lastRenderedPageBreak/>
        <w:t>procurement tender and during the performance of the contract. When participating in a</w:t>
      </w:r>
      <w:r>
        <w:t xml:space="preserve"> tender</w:t>
      </w:r>
      <w:r>
        <w:rPr>
          <w:rFonts w:ascii="Times New Roman" w:hAnsi="Times New Roman" w:cs="Times New Roman"/>
          <w:sz w:val="20"/>
          <w:szCs w:val="20"/>
        </w:rPr>
        <w:t>, the tenderer shall be aware that any action taken by him or her, including communication with the employees of the Customer, may be so subject to an assessment of its legality.</w:t>
      </w:r>
    </w:p>
    <w:p w14:paraId="769D6680" w14:textId="77777777" w:rsidR="00465083" w:rsidRDefault="00000000">
      <w:pPr>
        <w:pStyle w:val="P68B1DB1-Normal12"/>
        <w:spacing w:after="0" w:line="240" w:lineRule="auto"/>
        <w:ind w:left="562" w:hanging="562"/>
        <w:jc w:val="both"/>
      </w:pPr>
      <w:r>
        <w:t>13.5. The commissioning party expects that applicants (co-operation partners) are aware and respect the situation of conflict of interest and restrictions on the receipt of gifts imposed on officials/Commission members of the commissioning party.</w:t>
      </w:r>
    </w:p>
    <w:p w14:paraId="0F723BF5" w14:textId="77777777" w:rsidR="00465083" w:rsidRDefault="00000000">
      <w:pPr>
        <w:pStyle w:val="P68B1DB1-Heading325"/>
      </w:pPr>
      <w:r>
        <w:t>14. Attachments</w:t>
      </w:r>
    </w:p>
    <w:p w14:paraId="2C72D86F" w14:textId="15A54346" w:rsidR="00465083" w:rsidRDefault="00000000">
      <w:pPr>
        <w:pStyle w:val="Stils2"/>
        <w:tabs>
          <w:tab w:val="clear" w:pos="454"/>
        </w:tabs>
        <w:ind w:left="0" w:firstLine="0"/>
      </w:pPr>
      <w:r>
        <w:t xml:space="preserve">Annex 1 — </w:t>
      </w:r>
      <w:r w:rsidR="009A0069">
        <w:t>A</w:t>
      </w:r>
      <w:r w:rsidR="009A0069">
        <w:t xml:space="preserve">pplication </w:t>
      </w:r>
      <w:r>
        <w:t>form</w:t>
      </w:r>
    </w:p>
    <w:p w14:paraId="4CE5D72A" w14:textId="77777777" w:rsidR="00465083" w:rsidRDefault="00000000">
      <w:pPr>
        <w:pStyle w:val="Stils2"/>
        <w:tabs>
          <w:tab w:val="clear" w:pos="454"/>
        </w:tabs>
        <w:ind w:left="0" w:firstLine="0"/>
      </w:pPr>
      <w:r>
        <w:t>Annex 2 — Technical specification</w:t>
      </w:r>
    </w:p>
    <w:p w14:paraId="287C52FB" w14:textId="1D305B51" w:rsidR="00465083" w:rsidRDefault="00000000">
      <w:pPr>
        <w:pStyle w:val="Stils2"/>
        <w:tabs>
          <w:tab w:val="clear" w:pos="454"/>
        </w:tabs>
        <w:ind w:left="0" w:firstLine="0"/>
      </w:pPr>
      <w:r>
        <w:t xml:space="preserve">Annex 3 — </w:t>
      </w:r>
      <w:r w:rsidR="003676C1">
        <w:t>P</w:t>
      </w:r>
      <w:r w:rsidR="003676C1">
        <w:t xml:space="preserve">roof of </w:t>
      </w:r>
      <w:r w:rsidR="003676C1">
        <w:t>S</w:t>
      </w:r>
      <w:r w:rsidR="003676C1">
        <w:t xml:space="preserve">ubcontractor </w:t>
      </w:r>
      <w:r>
        <w:t>form</w:t>
      </w:r>
    </w:p>
    <w:p w14:paraId="4488302A" w14:textId="77777777" w:rsidR="00465083" w:rsidRDefault="00465083">
      <w:pPr>
        <w:pStyle w:val="Stils2"/>
        <w:tabs>
          <w:tab w:val="clear" w:pos="454"/>
        </w:tabs>
        <w:ind w:left="0" w:firstLine="0"/>
      </w:pPr>
    </w:p>
    <w:p w14:paraId="37AC91F3" w14:textId="77777777" w:rsidR="00465083" w:rsidRDefault="00465083">
      <w:pPr>
        <w:rPr>
          <w:rFonts w:ascii="Times New Roman" w:hAnsi="Times New Roman" w:cs="Times New Roman"/>
          <w:color w:val="000000"/>
        </w:rPr>
      </w:pPr>
    </w:p>
    <w:p w14:paraId="7267F72F" w14:textId="77777777" w:rsidR="00465083" w:rsidRDefault="00465083">
      <w:pPr>
        <w:rPr>
          <w:rFonts w:ascii="Times New Roman" w:hAnsi="Times New Roman" w:cs="Times New Roman"/>
        </w:rPr>
      </w:pPr>
    </w:p>
    <w:p w14:paraId="1982B319" w14:textId="77777777" w:rsidR="00465083" w:rsidRDefault="00465083">
      <w:pPr>
        <w:rPr>
          <w:rFonts w:ascii="Times New Roman" w:hAnsi="Times New Roman" w:cs="Times New Roman"/>
        </w:rPr>
      </w:pPr>
    </w:p>
    <w:sectPr w:rsidR="00465083">
      <w:headerReference w:type="default" r:id="rId10"/>
      <w:footerReference w:type="default" r:id="rId11"/>
      <w:headerReference w:type="first" r:id="rId12"/>
      <w:footerReference w:type="first" r:id="rId13"/>
      <w:pgSz w:w="11906" w:h="16838"/>
      <w:pgMar w:top="1135" w:right="1416" w:bottom="1021" w:left="1418" w:header="709" w:footer="18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0AE1B" w14:textId="77777777" w:rsidR="00C0417E" w:rsidRDefault="00C0417E">
      <w:pPr>
        <w:spacing w:after="0" w:line="240" w:lineRule="auto"/>
      </w:pPr>
      <w:r>
        <w:separator/>
      </w:r>
    </w:p>
  </w:endnote>
  <w:endnote w:type="continuationSeparator" w:id="0">
    <w:p w14:paraId="51FE8203" w14:textId="77777777" w:rsidR="00C0417E" w:rsidRDefault="00C04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Liberation Serif">
    <w:altName w:val="Times New Roman"/>
    <w:panose1 w:val="020B0604020202020204"/>
    <w:charset w:val="01"/>
    <w:family w:val="roman"/>
    <w:pitch w:val="variable"/>
  </w:font>
  <w:font w:name="Noto San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D3FD" w14:textId="77777777" w:rsidR="00465083" w:rsidRDefault="00000000">
    <w:pPr>
      <w:pStyle w:val="Footer"/>
      <w:jc w:val="center"/>
    </w:pPr>
    <w:r>
      <w:fldChar w:fldCharType="begin"/>
    </w:r>
    <w:r>
      <w:instrText xml:space="preserve"> PAGE </w:instrText>
    </w:r>
    <w:r>
      <w:fldChar w:fldCharType="separate"/>
    </w:r>
    <w:r>
      <w:t>7</w:t>
    </w:r>
    <w:r>
      <w:fldChar w:fldCharType="end"/>
    </w:r>
  </w:p>
  <w:p w14:paraId="6F9A34F3" w14:textId="77777777" w:rsidR="00465083" w:rsidRDefault="004650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3FF6A" w14:textId="77777777" w:rsidR="00465083" w:rsidRDefault="004650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FD07A" w14:textId="77777777" w:rsidR="00C0417E" w:rsidRDefault="00C0417E">
      <w:pPr>
        <w:spacing w:after="0" w:line="240" w:lineRule="auto"/>
      </w:pPr>
      <w:r>
        <w:separator/>
      </w:r>
    </w:p>
  </w:footnote>
  <w:footnote w:type="continuationSeparator" w:id="0">
    <w:p w14:paraId="1F7653C8" w14:textId="77777777" w:rsidR="00C0417E" w:rsidRDefault="00C04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4DCB0" w14:textId="77777777" w:rsidR="00465083" w:rsidRDefault="00465083">
    <w:pPr>
      <w:pStyle w:val="Header"/>
    </w:pPr>
  </w:p>
  <w:p w14:paraId="0A733DAF" w14:textId="77777777" w:rsidR="00465083" w:rsidRDefault="004650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73C7E" w14:textId="77777777" w:rsidR="00465083" w:rsidRDefault="00465083">
    <w:pPr>
      <w:pStyle w:val="Header"/>
    </w:pPr>
  </w:p>
  <w:p w14:paraId="14785AE2" w14:textId="77777777" w:rsidR="00465083" w:rsidRDefault="004650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42B6"/>
    <w:multiLevelType w:val="multilevel"/>
    <w:tmpl w:val="DFDE06E0"/>
    <w:lvl w:ilvl="0">
      <w:start w:val="6"/>
      <w:numFmt w:val="decimal"/>
      <w:lvlText w:val="%1."/>
      <w:lvlJc w:val="left"/>
      <w:pPr>
        <w:tabs>
          <w:tab w:val="num" w:pos="0"/>
        </w:tabs>
        <w:ind w:left="432" w:hanging="432"/>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rPr>
        <w:b w:val="0"/>
        <w:bCs/>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440" w:hanging="1440"/>
      </w:pPr>
      <w:rPr>
        <w:b/>
      </w:rPr>
    </w:lvl>
    <w:lvl w:ilvl="5">
      <w:start w:val="1"/>
      <w:numFmt w:val="decimal"/>
      <w:lvlText w:val="%1.%2.%3.%4.%5.%6."/>
      <w:lvlJc w:val="left"/>
      <w:pPr>
        <w:tabs>
          <w:tab w:val="num" w:pos="0"/>
        </w:tabs>
        <w:ind w:left="1440" w:hanging="1440"/>
      </w:pPr>
      <w:rPr>
        <w:b/>
      </w:rPr>
    </w:lvl>
    <w:lvl w:ilvl="6">
      <w:start w:val="1"/>
      <w:numFmt w:val="decimal"/>
      <w:lvlText w:val="%1.%2.%3.%4.%5.%6.%7."/>
      <w:lvlJc w:val="left"/>
      <w:pPr>
        <w:tabs>
          <w:tab w:val="num" w:pos="0"/>
        </w:tabs>
        <w:ind w:left="1800" w:hanging="1800"/>
      </w:pPr>
      <w:rPr>
        <w:b/>
      </w:rPr>
    </w:lvl>
    <w:lvl w:ilvl="7">
      <w:start w:val="1"/>
      <w:numFmt w:val="decimal"/>
      <w:lvlText w:val="%1.%2.%3.%4.%5.%6.%7.%8."/>
      <w:lvlJc w:val="left"/>
      <w:pPr>
        <w:tabs>
          <w:tab w:val="num" w:pos="0"/>
        </w:tabs>
        <w:ind w:left="2160" w:hanging="2160"/>
      </w:pPr>
      <w:rPr>
        <w:b/>
      </w:rPr>
    </w:lvl>
    <w:lvl w:ilvl="8">
      <w:start w:val="1"/>
      <w:numFmt w:val="decimal"/>
      <w:lvlText w:val="%1.%2.%3.%4.%5.%6.%7.%8.%9."/>
      <w:lvlJc w:val="left"/>
      <w:pPr>
        <w:tabs>
          <w:tab w:val="num" w:pos="0"/>
        </w:tabs>
        <w:ind w:left="2160" w:hanging="2160"/>
      </w:pPr>
      <w:rPr>
        <w:b/>
      </w:rPr>
    </w:lvl>
  </w:abstractNum>
  <w:abstractNum w:abstractNumId="1" w15:restartNumberingAfterBreak="0">
    <w:nsid w:val="111632C6"/>
    <w:multiLevelType w:val="multilevel"/>
    <w:tmpl w:val="2FBEE540"/>
    <w:lvl w:ilvl="0">
      <w:start w:val="1"/>
      <w:numFmt w:val="none"/>
      <w:pStyle w:val="Stils1"/>
      <w:suff w:val="nothing"/>
      <w:lvlText w:val=""/>
      <w:lvlJc w:val="left"/>
      <w:pPr>
        <w:tabs>
          <w:tab w:val="num" w:pos="0"/>
        </w:tabs>
        <w:ind w:left="454" w:hanging="454"/>
      </w:pPr>
    </w:lvl>
    <w:lvl w:ilvl="1">
      <w:start w:val="1"/>
      <w:numFmt w:val="decimal"/>
      <w:lvlText w:val="9%1%2."/>
      <w:lvlJc w:val="left"/>
      <w:pPr>
        <w:tabs>
          <w:tab w:val="num" w:pos="454"/>
        </w:tabs>
        <w:ind w:left="454" w:hanging="454"/>
      </w:pPr>
      <w:rPr>
        <w:b/>
        <w:color w:val="000000"/>
      </w:rPr>
    </w:lvl>
    <w:lvl w:ilvl="2">
      <w:start w:val="1"/>
      <w:numFmt w:val="decimal"/>
      <w:lvlText w:val="9%1%2.%3."/>
      <w:lvlJc w:val="left"/>
      <w:pPr>
        <w:tabs>
          <w:tab w:val="num" w:pos="2411"/>
        </w:tabs>
        <w:ind w:left="2411" w:hanging="567"/>
      </w:pPr>
      <w:rPr>
        <w:b/>
        <w:sz w:val="22"/>
        <w:szCs w:val="22"/>
        <w:u w:val="none"/>
      </w:rPr>
    </w:lvl>
    <w:lvl w:ilvl="3">
      <w:start w:val="1"/>
      <w:numFmt w:val="decimal"/>
      <w:lvlText w:val="%1%2.%3.%4."/>
      <w:lvlJc w:val="left"/>
      <w:pPr>
        <w:tabs>
          <w:tab w:val="num" w:pos="2438"/>
        </w:tabs>
        <w:ind w:left="2438" w:hanging="737"/>
      </w:pPr>
      <w:rPr>
        <w:b w:val="0"/>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199409F"/>
    <w:multiLevelType w:val="multilevel"/>
    <w:tmpl w:val="B17EA81A"/>
    <w:lvl w:ilvl="0">
      <w:start w:val="9"/>
      <w:numFmt w:val="decimal"/>
      <w:lvlText w:val="%1."/>
      <w:lvlJc w:val="left"/>
      <w:pPr>
        <w:tabs>
          <w:tab w:val="num" w:pos="0"/>
        </w:tabs>
        <w:ind w:left="408" w:hanging="408"/>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2160" w:hanging="2160"/>
      </w:pPr>
    </w:lvl>
    <w:lvl w:ilvl="8">
      <w:start w:val="1"/>
      <w:numFmt w:val="decimal"/>
      <w:lvlText w:val="%1.%2.%3.%4.%5.%6.%7.%8.%9."/>
      <w:lvlJc w:val="left"/>
      <w:pPr>
        <w:tabs>
          <w:tab w:val="num" w:pos="0"/>
        </w:tabs>
        <w:ind w:left="2160" w:hanging="2160"/>
      </w:pPr>
    </w:lvl>
  </w:abstractNum>
  <w:abstractNum w:abstractNumId="3" w15:restartNumberingAfterBreak="0">
    <w:nsid w:val="185E7BBE"/>
    <w:multiLevelType w:val="multilevel"/>
    <w:tmpl w:val="11CC3BE8"/>
    <w:lvl w:ilvl="0">
      <w:start w:val="1"/>
      <w:numFmt w:val="lowerLetter"/>
      <w:lvlText w:val="%1)"/>
      <w:lvlJc w:val="left"/>
      <w:pPr>
        <w:tabs>
          <w:tab w:val="num" w:pos="0"/>
        </w:tabs>
        <w:ind w:left="720" w:hanging="360"/>
      </w:pPr>
      <w:rPr>
        <w:rFonts w:ascii="Times New Roman" w:hAnsi="Times New Roman" w:cs="Times New Roman"/>
        <w:i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8D0F33"/>
    <w:multiLevelType w:val="multilevel"/>
    <w:tmpl w:val="766C7B44"/>
    <w:lvl w:ilvl="0">
      <w:start w:val="11"/>
      <w:numFmt w:val="decimal"/>
      <w:lvlText w:val="%1."/>
      <w:lvlJc w:val="left"/>
      <w:pPr>
        <w:tabs>
          <w:tab w:val="num" w:pos="0"/>
        </w:tabs>
        <w:ind w:left="645" w:hanging="645"/>
      </w:pPr>
      <w:rPr>
        <w:sz w:val="22"/>
        <w:szCs w:val="22"/>
      </w:rPr>
    </w:lvl>
    <w:lvl w:ilvl="1">
      <w:start w:val="1"/>
      <w:numFmt w:val="decimal"/>
      <w:lvlText w:val="%1.%2."/>
      <w:lvlJc w:val="left"/>
      <w:pPr>
        <w:tabs>
          <w:tab w:val="num" w:pos="0"/>
        </w:tabs>
        <w:ind w:left="645" w:hanging="645"/>
      </w:pPr>
      <w:rPr>
        <w:sz w:val="22"/>
        <w:szCs w:val="22"/>
      </w:rPr>
    </w:lvl>
    <w:lvl w:ilvl="2">
      <w:start w:val="1"/>
      <w:numFmt w:val="decimal"/>
      <w:lvlText w:val="%1.%2.%3."/>
      <w:lvlJc w:val="left"/>
      <w:pPr>
        <w:tabs>
          <w:tab w:val="num" w:pos="0"/>
        </w:tabs>
        <w:ind w:left="720" w:hanging="720"/>
      </w:pPr>
      <w:rPr>
        <w:sz w:val="22"/>
        <w:szCs w:val="22"/>
      </w:rPr>
    </w:lvl>
    <w:lvl w:ilvl="3">
      <w:start w:val="1"/>
      <w:numFmt w:val="decimal"/>
      <w:lvlText w:val="%1.%2.%3.%4."/>
      <w:lvlJc w:val="left"/>
      <w:pPr>
        <w:tabs>
          <w:tab w:val="num" w:pos="0"/>
        </w:tabs>
        <w:ind w:left="720" w:hanging="720"/>
      </w:pPr>
      <w:rPr>
        <w:sz w:val="22"/>
        <w:szCs w:val="22"/>
      </w:rPr>
    </w:lvl>
    <w:lvl w:ilvl="4">
      <w:start w:val="1"/>
      <w:numFmt w:val="decimal"/>
      <w:lvlText w:val="%1.%2.%3.%4.%5."/>
      <w:lvlJc w:val="left"/>
      <w:pPr>
        <w:tabs>
          <w:tab w:val="num" w:pos="0"/>
        </w:tabs>
        <w:ind w:left="1080" w:hanging="1080"/>
      </w:pPr>
      <w:rPr>
        <w:sz w:val="22"/>
        <w:szCs w:val="22"/>
      </w:rPr>
    </w:lvl>
    <w:lvl w:ilvl="5">
      <w:start w:val="1"/>
      <w:numFmt w:val="decimal"/>
      <w:lvlText w:val="%1.%2.%3.%4.%5.%6."/>
      <w:lvlJc w:val="left"/>
      <w:pPr>
        <w:tabs>
          <w:tab w:val="num" w:pos="0"/>
        </w:tabs>
        <w:ind w:left="1080" w:hanging="1080"/>
      </w:pPr>
      <w:rPr>
        <w:sz w:val="22"/>
        <w:szCs w:val="22"/>
      </w:rPr>
    </w:lvl>
    <w:lvl w:ilvl="6">
      <w:start w:val="1"/>
      <w:numFmt w:val="decimal"/>
      <w:lvlText w:val="%1.%2.%3.%4.%5.%6.%7."/>
      <w:lvlJc w:val="left"/>
      <w:pPr>
        <w:tabs>
          <w:tab w:val="num" w:pos="0"/>
        </w:tabs>
        <w:ind w:left="1440" w:hanging="1440"/>
      </w:pPr>
      <w:rPr>
        <w:sz w:val="22"/>
        <w:szCs w:val="22"/>
      </w:rPr>
    </w:lvl>
    <w:lvl w:ilvl="7">
      <w:start w:val="1"/>
      <w:numFmt w:val="decimal"/>
      <w:lvlText w:val="%1.%2.%3.%4.%5.%6.%7.%8."/>
      <w:lvlJc w:val="left"/>
      <w:pPr>
        <w:tabs>
          <w:tab w:val="num" w:pos="0"/>
        </w:tabs>
        <w:ind w:left="1440" w:hanging="1440"/>
      </w:pPr>
      <w:rPr>
        <w:sz w:val="22"/>
        <w:szCs w:val="22"/>
      </w:rPr>
    </w:lvl>
    <w:lvl w:ilvl="8">
      <w:start w:val="1"/>
      <w:numFmt w:val="decimal"/>
      <w:lvlText w:val="%1.%2.%3.%4.%5.%6.%7.%8.%9."/>
      <w:lvlJc w:val="left"/>
      <w:pPr>
        <w:tabs>
          <w:tab w:val="num" w:pos="0"/>
        </w:tabs>
        <w:ind w:left="1800" w:hanging="1800"/>
      </w:pPr>
      <w:rPr>
        <w:sz w:val="22"/>
        <w:szCs w:val="22"/>
      </w:rPr>
    </w:lvl>
  </w:abstractNum>
  <w:abstractNum w:abstractNumId="5" w15:restartNumberingAfterBreak="0">
    <w:nsid w:val="4040203B"/>
    <w:multiLevelType w:val="multilevel"/>
    <w:tmpl w:val="732CF31C"/>
    <w:lvl w:ilvl="0">
      <w:start w:val="6"/>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4"/>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6" w15:restartNumberingAfterBreak="0">
    <w:nsid w:val="55E20B27"/>
    <w:multiLevelType w:val="multilevel"/>
    <w:tmpl w:val="04FEF38A"/>
    <w:lvl w:ilvl="0">
      <w:start w:val="6"/>
      <w:numFmt w:val="decimal"/>
      <w:lvlText w:val="%1."/>
      <w:lvlJc w:val="left"/>
      <w:pPr>
        <w:tabs>
          <w:tab w:val="num" w:pos="0"/>
        </w:tabs>
        <w:ind w:left="360" w:hanging="360"/>
      </w:pPr>
      <w:rPr>
        <w:rFonts w:ascii="Times New Roman" w:hAnsi="Times New Roman" w:cs="Times New Roman"/>
        <w:bCs/>
        <w:color w:val="000000"/>
      </w:rPr>
    </w:lvl>
    <w:lvl w:ilvl="1">
      <w:start w:val="4"/>
      <w:numFmt w:val="decimal"/>
      <w:lvlText w:val="%1.%2."/>
      <w:lvlJc w:val="left"/>
      <w:pPr>
        <w:tabs>
          <w:tab w:val="num" w:pos="0"/>
        </w:tabs>
        <w:ind w:left="360" w:hanging="360"/>
      </w:pPr>
      <w:rPr>
        <w:rFonts w:ascii="Verdana" w:hAnsi="Verdana" w:cs="Times New Roman"/>
        <w:bCs/>
        <w:color w:val="000000"/>
      </w:rPr>
    </w:lvl>
    <w:lvl w:ilvl="2">
      <w:start w:val="1"/>
      <w:numFmt w:val="decimal"/>
      <w:lvlText w:val="%1.%2.%3."/>
      <w:lvlJc w:val="left"/>
      <w:pPr>
        <w:tabs>
          <w:tab w:val="num" w:pos="0"/>
        </w:tabs>
        <w:ind w:left="720" w:hanging="720"/>
      </w:pPr>
      <w:rPr>
        <w:rFonts w:ascii="Verdana" w:hAnsi="Verdana" w:cs="Times New Roman"/>
        <w:bCs/>
        <w:color w:val="000000"/>
      </w:rPr>
    </w:lvl>
    <w:lvl w:ilvl="3">
      <w:start w:val="1"/>
      <w:numFmt w:val="decimal"/>
      <w:lvlText w:val="%1.%2.%3.%4."/>
      <w:lvlJc w:val="left"/>
      <w:pPr>
        <w:tabs>
          <w:tab w:val="num" w:pos="0"/>
        </w:tabs>
        <w:ind w:left="720" w:hanging="720"/>
      </w:pPr>
      <w:rPr>
        <w:rFonts w:ascii="Times New Roman" w:hAnsi="Times New Roman" w:cs="Times New Roman"/>
        <w:bCs/>
        <w:color w:val="000000"/>
      </w:rPr>
    </w:lvl>
    <w:lvl w:ilvl="4">
      <w:start w:val="1"/>
      <w:numFmt w:val="decimal"/>
      <w:lvlText w:val="%1.%2.%3.%4.%5."/>
      <w:lvlJc w:val="left"/>
      <w:pPr>
        <w:tabs>
          <w:tab w:val="num" w:pos="0"/>
        </w:tabs>
        <w:ind w:left="1080" w:hanging="1080"/>
      </w:pPr>
      <w:rPr>
        <w:rFonts w:ascii="Times New Roman" w:hAnsi="Times New Roman" w:cs="Times New Roman"/>
        <w:bCs/>
        <w:color w:val="000000"/>
      </w:rPr>
    </w:lvl>
    <w:lvl w:ilvl="5">
      <w:start w:val="1"/>
      <w:numFmt w:val="decimal"/>
      <w:lvlText w:val="%1.%2.%3.%4.%5.%6."/>
      <w:lvlJc w:val="left"/>
      <w:pPr>
        <w:tabs>
          <w:tab w:val="num" w:pos="0"/>
        </w:tabs>
        <w:ind w:left="1080" w:hanging="1080"/>
      </w:pPr>
      <w:rPr>
        <w:rFonts w:ascii="Times New Roman" w:hAnsi="Times New Roman" w:cs="Times New Roman"/>
        <w:bCs/>
        <w:color w:val="000000"/>
      </w:rPr>
    </w:lvl>
    <w:lvl w:ilvl="6">
      <w:start w:val="1"/>
      <w:numFmt w:val="decimal"/>
      <w:lvlText w:val="%1.%2.%3.%4.%5.%6.%7."/>
      <w:lvlJc w:val="left"/>
      <w:pPr>
        <w:tabs>
          <w:tab w:val="num" w:pos="0"/>
        </w:tabs>
        <w:ind w:left="1440" w:hanging="1440"/>
      </w:pPr>
      <w:rPr>
        <w:rFonts w:ascii="Times New Roman" w:hAnsi="Times New Roman" w:cs="Times New Roman"/>
        <w:bCs/>
        <w:color w:val="000000"/>
      </w:rPr>
    </w:lvl>
    <w:lvl w:ilvl="7">
      <w:start w:val="1"/>
      <w:numFmt w:val="decimal"/>
      <w:lvlText w:val="%1.%2.%3.%4.%5.%6.%7.%8."/>
      <w:lvlJc w:val="left"/>
      <w:pPr>
        <w:tabs>
          <w:tab w:val="num" w:pos="0"/>
        </w:tabs>
        <w:ind w:left="1440" w:hanging="1440"/>
      </w:pPr>
      <w:rPr>
        <w:rFonts w:ascii="Times New Roman" w:hAnsi="Times New Roman" w:cs="Times New Roman"/>
        <w:bCs/>
        <w:color w:val="000000"/>
      </w:rPr>
    </w:lvl>
    <w:lvl w:ilvl="8">
      <w:start w:val="1"/>
      <w:numFmt w:val="decimal"/>
      <w:lvlText w:val="%1.%2.%3.%4.%5.%6.%7.%8.%9."/>
      <w:lvlJc w:val="left"/>
      <w:pPr>
        <w:tabs>
          <w:tab w:val="num" w:pos="0"/>
        </w:tabs>
        <w:ind w:left="1800" w:hanging="1800"/>
      </w:pPr>
      <w:rPr>
        <w:rFonts w:ascii="Times New Roman" w:hAnsi="Times New Roman" w:cs="Times New Roman"/>
        <w:bCs/>
        <w:color w:val="000000"/>
      </w:rPr>
    </w:lvl>
  </w:abstractNum>
  <w:abstractNum w:abstractNumId="7" w15:restartNumberingAfterBreak="0">
    <w:nsid w:val="571C0640"/>
    <w:multiLevelType w:val="multilevel"/>
    <w:tmpl w:val="D4E4AC4E"/>
    <w:lvl w:ilvl="0">
      <w:start w:val="1"/>
      <w:numFmt w:val="lowerLetter"/>
      <w:lvlText w:val="%1)"/>
      <w:lvlJc w:val="left"/>
      <w:pPr>
        <w:tabs>
          <w:tab w:val="num" w:pos="0"/>
        </w:tabs>
        <w:ind w:left="720" w:hanging="360"/>
      </w:pPr>
      <w:rPr>
        <w:rFonts w:ascii="Verdana" w:hAnsi="Verdana" w:cs="Times New Roman"/>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E856FDE"/>
    <w:multiLevelType w:val="multilevel"/>
    <w:tmpl w:val="D212BB76"/>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20" w:hanging="360"/>
      </w:pPr>
      <w:rPr>
        <w:b/>
      </w:rPr>
    </w:lvl>
    <w:lvl w:ilvl="2">
      <w:start w:val="1"/>
      <w:numFmt w:val="decimal"/>
      <w:lvlText w:val="%1.%2.%3."/>
      <w:lvlJc w:val="left"/>
      <w:pPr>
        <w:tabs>
          <w:tab w:val="num" w:pos="0"/>
        </w:tabs>
        <w:ind w:left="1440" w:hanging="720"/>
      </w:pPr>
      <w:rPr>
        <w:b/>
      </w:rPr>
    </w:lvl>
    <w:lvl w:ilvl="3">
      <w:start w:val="1"/>
      <w:numFmt w:val="decimal"/>
      <w:lvlText w:val="%1.%2.%3.%4."/>
      <w:lvlJc w:val="left"/>
      <w:pPr>
        <w:tabs>
          <w:tab w:val="num" w:pos="0"/>
        </w:tabs>
        <w:ind w:left="1800" w:hanging="720"/>
      </w:pPr>
      <w:rPr>
        <w:b/>
      </w:rPr>
    </w:lvl>
    <w:lvl w:ilvl="4">
      <w:start w:val="1"/>
      <w:numFmt w:val="decimal"/>
      <w:lvlText w:val="%1.%2.%3.%4.%5."/>
      <w:lvlJc w:val="left"/>
      <w:pPr>
        <w:tabs>
          <w:tab w:val="num" w:pos="0"/>
        </w:tabs>
        <w:ind w:left="2520" w:hanging="1080"/>
      </w:pPr>
      <w:rPr>
        <w:b/>
      </w:rPr>
    </w:lvl>
    <w:lvl w:ilvl="5">
      <w:start w:val="1"/>
      <w:numFmt w:val="decimal"/>
      <w:lvlText w:val="%1.%2.%3.%4.%5.%6."/>
      <w:lvlJc w:val="left"/>
      <w:pPr>
        <w:tabs>
          <w:tab w:val="num" w:pos="0"/>
        </w:tabs>
        <w:ind w:left="2880" w:hanging="1080"/>
      </w:pPr>
      <w:rPr>
        <w:b/>
      </w:rPr>
    </w:lvl>
    <w:lvl w:ilvl="6">
      <w:start w:val="1"/>
      <w:numFmt w:val="decimal"/>
      <w:lvlText w:val="%1.%2.%3.%4.%5.%6.%7."/>
      <w:lvlJc w:val="left"/>
      <w:pPr>
        <w:tabs>
          <w:tab w:val="num" w:pos="0"/>
        </w:tabs>
        <w:ind w:left="3240" w:hanging="1080"/>
      </w:pPr>
      <w:rPr>
        <w:b/>
      </w:rPr>
    </w:lvl>
    <w:lvl w:ilvl="7">
      <w:start w:val="1"/>
      <w:numFmt w:val="decimal"/>
      <w:lvlText w:val="%1.%2.%3.%4.%5.%6.%7.%8."/>
      <w:lvlJc w:val="left"/>
      <w:pPr>
        <w:tabs>
          <w:tab w:val="num" w:pos="0"/>
        </w:tabs>
        <w:ind w:left="3960" w:hanging="1440"/>
      </w:pPr>
      <w:rPr>
        <w:b/>
      </w:rPr>
    </w:lvl>
    <w:lvl w:ilvl="8">
      <w:start w:val="1"/>
      <w:numFmt w:val="decimal"/>
      <w:lvlText w:val="%1.%2.%3.%4.%5.%6.%7.%8.%9."/>
      <w:lvlJc w:val="left"/>
      <w:pPr>
        <w:tabs>
          <w:tab w:val="num" w:pos="0"/>
        </w:tabs>
        <w:ind w:left="4320" w:hanging="1440"/>
      </w:pPr>
      <w:rPr>
        <w:b/>
      </w:rPr>
    </w:lvl>
  </w:abstractNum>
  <w:abstractNum w:abstractNumId="9" w15:restartNumberingAfterBreak="0">
    <w:nsid w:val="609E6460"/>
    <w:multiLevelType w:val="multilevel"/>
    <w:tmpl w:val="D1E4B50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0" w15:restartNumberingAfterBreak="0">
    <w:nsid w:val="6D16275E"/>
    <w:multiLevelType w:val="multilevel"/>
    <w:tmpl w:val="D6308CF6"/>
    <w:lvl w:ilvl="0">
      <w:start w:val="1"/>
      <w:numFmt w:val="decimal"/>
      <w:lvlText w:val="%1)"/>
      <w:lvlJc w:val="left"/>
      <w:pPr>
        <w:tabs>
          <w:tab w:val="num" w:pos="0"/>
        </w:tabs>
        <w:ind w:left="362"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82222551">
    <w:abstractNumId w:val="9"/>
  </w:num>
  <w:num w:numId="2" w16cid:durableId="1157109057">
    <w:abstractNumId w:val="4"/>
  </w:num>
  <w:num w:numId="3" w16cid:durableId="764038525">
    <w:abstractNumId w:val="6"/>
  </w:num>
  <w:num w:numId="4" w16cid:durableId="702947578">
    <w:abstractNumId w:val="7"/>
  </w:num>
  <w:num w:numId="5" w16cid:durableId="2065055077">
    <w:abstractNumId w:val="3"/>
  </w:num>
  <w:num w:numId="6" w16cid:durableId="812217873">
    <w:abstractNumId w:val="1"/>
  </w:num>
  <w:num w:numId="7" w16cid:durableId="834224018">
    <w:abstractNumId w:val="8"/>
  </w:num>
  <w:num w:numId="8" w16cid:durableId="1858960342">
    <w:abstractNumId w:val="0"/>
  </w:num>
  <w:num w:numId="9" w16cid:durableId="1020737928">
    <w:abstractNumId w:val="10"/>
  </w:num>
  <w:num w:numId="10" w16cid:durableId="1656370480">
    <w:abstractNumId w:val="2"/>
  </w:num>
  <w:num w:numId="11" w16cid:durableId="19126925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trackRevisions/>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5083"/>
    <w:rsid w:val="0003044B"/>
    <w:rsid w:val="00112C24"/>
    <w:rsid w:val="00144BF8"/>
    <w:rsid w:val="001509D3"/>
    <w:rsid w:val="00216419"/>
    <w:rsid w:val="002D23D5"/>
    <w:rsid w:val="002E611A"/>
    <w:rsid w:val="003676C1"/>
    <w:rsid w:val="00465083"/>
    <w:rsid w:val="004F164D"/>
    <w:rsid w:val="00522A37"/>
    <w:rsid w:val="005761D7"/>
    <w:rsid w:val="00577CB5"/>
    <w:rsid w:val="005E5764"/>
    <w:rsid w:val="0065350D"/>
    <w:rsid w:val="00726744"/>
    <w:rsid w:val="007C29F9"/>
    <w:rsid w:val="008979C6"/>
    <w:rsid w:val="009A0069"/>
    <w:rsid w:val="009B30AE"/>
    <w:rsid w:val="009E49E8"/>
    <w:rsid w:val="00AF480E"/>
    <w:rsid w:val="00B23224"/>
    <w:rsid w:val="00B379CF"/>
    <w:rsid w:val="00BF7AF5"/>
    <w:rsid w:val="00C0417E"/>
    <w:rsid w:val="00C81A32"/>
    <w:rsid w:val="00C82EBC"/>
    <w:rsid w:val="00C90102"/>
    <w:rsid w:val="00D170A7"/>
    <w:rsid w:val="00D771BE"/>
    <w:rsid w:val="00D90BA2"/>
    <w:rsid w:val="00E775D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6783A"/>
  <w15:docId w15:val="{B8432894-37B6-4E6E-B73F-1A37D42B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lang w:val="en-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4" w:lineRule="auto"/>
    </w:pPr>
    <w:rPr>
      <w:rFonts w:ascii="Calibri" w:eastAsia="Calibri" w:hAnsi="Calibri" w:cs="Calibri"/>
      <w:sz w:val="22"/>
      <w:szCs w:val="22"/>
      <w:lang w:val="lv-LV" w:eastAsia="lv-LV"/>
    </w:rPr>
  </w:style>
  <w:style w:type="paragraph" w:styleId="Heading1">
    <w:name w:val="heading 1"/>
    <w:basedOn w:val="Normal"/>
    <w:next w:val="Normal"/>
    <w:uiPriority w:val="9"/>
    <w:qFormat/>
    <w:pPr>
      <w:keepNext/>
      <w:keepLines/>
      <w:numPr>
        <w:numId w:val="1"/>
      </w:numPr>
      <w:spacing w:before="360" w:after="80"/>
      <w:outlineLvl w:val="0"/>
    </w:pPr>
    <w:rPr>
      <w:rFonts w:ascii="Aptos Display" w:eastAsia="Times New Roman" w:hAnsi="Aptos Display" w:cs="Times New Roman"/>
      <w:color w:val="0F4761"/>
      <w:sz w:val="40"/>
      <w:szCs w:val="40"/>
    </w:rPr>
  </w:style>
  <w:style w:type="paragraph" w:styleId="Heading2">
    <w:name w:val="heading 2"/>
    <w:basedOn w:val="Normal"/>
    <w:next w:val="Normal"/>
    <w:uiPriority w:val="9"/>
    <w:unhideWhenUsed/>
    <w:qFormat/>
    <w:pPr>
      <w:keepNext/>
      <w:keepLines/>
      <w:numPr>
        <w:ilvl w:val="1"/>
        <w:numId w:val="1"/>
      </w:numPr>
      <w:spacing w:before="160" w:after="80"/>
      <w:outlineLvl w:val="1"/>
    </w:pPr>
    <w:rPr>
      <w:rFonts w:ascii="Aptos Display" w:eastAsia="Times New Roman" w:hAnsi="Aptos Display" w:cs="Times New Roman"/>
      <w:color w:val="0F4761"/>
      <w:sz w:val="32"/>
      <w:szCs w:val="32"/>
    </w:rPr>
  </w:style>
  <w:style w:type="paragraph" w:styleId="Heading3">
    <w:name w:val="heading 3"/>
    <w:basedOn w:val="Normal"/>
    <w:next w:val="Normal"/>
    <w:uiPriority w:val="9"/>
    <w:unhideWhenUsed/>
    <w:qFormat/>
    <w:pPr>
      <w:keepNext/>
      <w:keepLines/>
      <w:numPr>
        <w:ilvl w:val="2"/>
        <w:numId w:val="1"/>
      </w:numPr>
      <w:spacing w:before="160" w:after="80"/>
      <w:outlineLvl w:val="2"/>
    </w:pPr>
    <w:rPr>
      <w:rFonts w:eastAsia="Times New Roman" w:cs="Times New Roman"/>
      <w:color w:val="0F4761"/>
      <w:sz w:val="28"/>
      <w:szCs w:val="28"/>
    </w:rPr>
  </w:style>
  <w:style w:type="paragraph" w:styleId="Heading4">
    <w:name w:val="heading 4"/>
    <w:basedOn w:val="Normal"/>
    <w:next w:val="Normal"/>
    <w:uiPriority w:val="9"/>
    <w:unhideWhenUsed/>
    <w:qFormat/>
    <w:pPr>
      <w:keepNext/>
      <w:keepLines/>
      <w:numPr>
        <w:ilvl w:val="3"/>
        <w:numId w:val="1"/>
      </w:numPr>
      <w:spacing w:before="80" w:after="40"/>
      <w:outlineLvl w:val="3"/>
    </w:pPr>
    <w:rPr>
      <w:rFonts w:eastAsia="Times New Roman" w:cs="Times New Roman"/>
      <w:i/>
      <w:iCs/>
      <w:color w:val="0F4761"/>
    </w:rPr>
  </w:style>
  <w:style w:type="paragraph" w:styleId="Heading5">
    <w:name w:val="heading 5"/>
    <w:basedOn w:val="Normal"/>
    <w:next w:val="Normal"/>
    <w:uiPriority w:val="9"/>
    <w:semiHidden/>
    <w:unhideWhenUsed/>
    <w:qFormat/>
    <w:pPr>
      <w:keepNext/>
      <w:keepLines/>
      <w:numPr>
        <w:ilvl w:val="4"/>
        <w:numId w:val="1"/>
      </w:numPr>
      <w:spacing w:before="80" w:after="40"/>
      <w:outlineLvl w:val="4"/>
    </w:pPr>
    <w:rPr>
      <w:rFonts w:eastAsia="Times New Roman" w:cs="Times New Roman"/>
      <w:color w:val="0F4761"/>
    </w:rPr>
  </w:style>
  <w:style w:type="paragraph" w:styleId="Heading6">
    <w:name w:val="heading 6"/>
    <w:basedOn w:val="Normal"/>
    <w:next w:val="Normal"/>
    <w:uiPriority w:val="9"/>
    <w:semiHidden/>
    <w:unhideWhenUsed/>
    <w:qFormat/>
    <w:pPr>
      <w:keepNext/>
      <w:keepLines/>
      <w:numPr>
        <w:ilvl w:val="5"/>
        <w:numId w:val="1"/>
      </w:numPr>
      <w:spacing w:before="40" w:after="0"/>
      <w:outlineLvl w:val="5"/>
    </w:pPr>
    <w:rPr>
      <w:rFonts w:eastAsia="Times New Roman" w:cs="Times New Roman"/>
      <w:i/>
      <w:iCs/>
      <w:color w:val="595959"/>
    </w:rPr>
  </w:style>
  <w:style w:type="paragraph" w:styleId="Heading7">
    <w:name w:val="heading 7"/>
    <w:basedOn w:val="Normal"/>
    <w:next w:val="Normal"/>
    <w:qFormat/>
    <w:pPr>
      <w:keepNext/>
      <w:keepLines/>
      <w:numPr>
        <w:ilvl w:val="6"/>
        <w:numId w:val="1"/>
      </w:numPr>
      <w:spacing w:before="40" w:after="0"/>
      <w:outlineLvl w:val="6"/>
    </w:pPr>
    <w:rPr>
      <w:rFonts w:eastAsia="Times New Roman" w:cs="Times New Roman"/>
      <w:color w:val="595959"/>
    </w:rPr>
  </w:style>
  <w:style w:type="paragraph" w:styleId="Heading8">
    <w:name w:val="heading 8"/>
    <w:basedOn w:val="Normal"/>
    <w:next w:val="Normal"/>
    <w:qFormat/>
    <w:pPr>
      <w:keepNext/>
      <w:keepLines/>
      <w:numPr>
        <w:ilvl w:val="7"/>
        <w:numId w:val="1"/>
      </w:numPr>
      <w:spacing w:after="0"/>
      <w:outlineLvl w:val="7"/>
    </w:pPr>
    <w:rPr>
      <w:rFonts w:eastAsia="Times New Roman" w:cs="Times New Roman"/>
      <w:i/>
      <w:iCs/>
      <w:color w:val="272727"/>
    </w:rPr>
  </w:style>
  <w:style w:type="paragraph" w:styleId="Heading9">
    <w:name w:val="heading 9"/>
    <w:basedOn w:val="Normal"/>
    <w:next w:val="Normal"/>
    <w:qFormat/>
    <w:pPr>
      <w:keepNext/>
      <w:keepLines/>
      <w:numPr>
        <w:ilvl w:val="8"/>
        <w:numId w:val="1"/>
      </w:numPr>
      <w:spacing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sz w:val="22"/>
      <w:szCs w:val="22"/>
    </w:rPr>
  </w:style>
  <w:style w:type="character" w:customStyle="1" w:styleId="WW8Num2z0">
    <w:name w:val="WW8Num2z0"/>
    <w:qFormat/>
    <w:rPr>
      <w:rFonts w:ascii="Times New Roman" w:hAnsi="Times New Roman" w:cs="Times New Roman"/>
      <w:bCs/>
      <w:color w:val="000000"/>
    </w:rPr>
  </w:style>
  <w:style w:type="character" w:customStyle="1" w:styleId="WW8Num2z1">
    <w:name w:val="WW8Num2z1"/>
    <w:qFormat/>
    <w:rPr>
      <w:rFonts w:ascii="Verdana" w:hAnsi="Verdana" w:cs="Times New Roman"/>
      <w:bCs/>
      <w:color w:val="000000"/>
    </w:rPr>
  </w:style>
  <w:style w:type="character" w:customStyle="1" w:styleId="WW8Num3z0">
    <w:name w:val="WW8Num3z0"/>
    <w:qFormat/>
    <w:rPr>
      <w:rFonts w:ascii="Verdana" w:hAnsi="Verdana" w:cs="Times New Roman"/>
      <w:color w:val="000000"/>
    </w:rPr>
  </w:style>
  <w:style w:type="character" w:customStyle="1" w:styleId="WW8Num4z0">
    <w:name w:val="WW8Num4z0"/>
    <w:qFormat/>
    <w:rPr>
      <w:rFonts w:ascii="Times New Roman" w:eastAsia="Times New Roman" w:hAnsi="Times New Roman" w:cs="Times New Roman"/>
      <w:b/>
      <w:bCs/>
    </w:rPr>
  </w:style>
  <w:style w:type="character" w:customStyle="1" w:styleId="WW8Num4z1">
    <w:name w:val="WW8Num4z1"/>
    <w:qFormat/>
    <w:rPr>
      <w:rFonts w:ascii="Verdana" w:hAnsi="Verdana" w:cs="Times New Roman"/>
      <w:b w:val="0"/>
      <w:bCs/>
      <w:sz w:val="20"/>
      <w:szCs w:val="20"/>
    </w:rPr>
  </w:style>
  <w:style w:type="character" w:customStyle="1" w:styleId="WW8Num4z2">
    <w:name w:val="WW8Num4z2"/>
    <w:qFormat/>
    <w:rPr>
      <w:rFonts w:ascii="Times New Roman" w:hAnsi="Times New Roman" w:cs="Times New Roman"/>
      <w:b w:val="0"/>
      <w:bCs/>
      <w:i w:val="0"/>
      <w:color w:val="000000"/>
      <w:sz w:val="22"/>
      <w:szCs w:val="22"/>
    </w:rPr>
  </w:style>
  <w:style w:type="character" w:customStyle="1" w:styleId="WW8Num4z3">
    <w:name w:val="WW8Num4z3"/>
    <w:qFormat/>
    <w:rPr>
      <w:b/>
      <w:i w:val="0"/>
      <w:color w:val="000000"/>
      <w:sz w:val="22"/>
      <w:szCs w:val="22"/>
    </w:rPr>
  </w:style>
  <w:style w:type="character" w:customStyle="1" w:styleId="WW8Num4z4">
    <w:name w:val="WW8Num4z4"/>
    <w:qFormat/>
    <w:rPr>
      <w:rFonts w:ascii="Times New Roman" w:eastAsia="Times New Roman" w:hAnsi="Times New Roman" w:cs="Times New Roman"/>
      <w:b w:val="0"/>
    </w:rPr>
  </w:style>
  <w:style w:type="character" w:customStyle="1" w:styleId="WW8Num4z5">
    <w:name w:val="WW8Num4z5"/>
    <w:qFormat/>
  </w:style>
  <w:style w:type="character" w:customStyle="1" w:styleId="WW8Num5z0">
    <w:name w:val="WW8Num5z0"/>
    <w:qFormat/>
    <w:rPr>
      <w:rFonts w:ascii="Times New Roman" w:hAnsi="Times New Roman" w:cs="Times New Roman"/>
      <w:iCs/>
    </w:rPr>
  </w:style>
  <w:style w:type="character" w:customStyle="1" w:styleId="WW8Num6z0">
    <w:name w:val="WW8Num6z0"/>
    <w:qFormat/>
  </w:style>
  <w:style w:type="character" w:customStyle="1" w:styleId="WW8Num6z1">
    <w:name w:val="WW8Num6z1"/>
    <w:qFormat/>
    <w:rPr>
      <w:b/>
      <w:color w:val="000000"/>
    </w:rPr>
  </w:style>
  <w:style w:type="character" w:customStyle="1" w:styleId="WW8Num6z2">
    <w:name w:val="WW8Num6z2"/>
    <w:qFormat/>
    <w:rPr>
      <w:b/>
      <w:sz w:val="22"/>
      <w:szCs w:val="22"/>
      <w:u w:val="none"/>
    </w:rPr>
  </w:style>
  <w:style w:type="character" w:customStyle="1" w:styleId="WW8Num6z3">
    <w:name w:val="WW8Num6z3"/>
    <w:qFormat/>
    <w:rPr>
      <w:b w:val="0"/>
      <w:i w:val="0"/>
    </w:rPr>
  </w:style>
  <w:style w:type="character" w:customStyle="1" w:styleId="WW8Num7z0">
    <w:name w:val="WW8Num7z0"/>
    <w:qFormat/>
    <w:rPr>
      <w:b/>
    </w:rPr>
  </w:style>
  <w:style w:type="character" w:customStyle="1" w:styleId="WW8Num8z0">
    <w:name w:val="WW8Num8z0"/>
    <w:qFormat/>
    <w:rPr>
      <w:b/>
    </w:rPr>
  </w:style>
  <w:style w:type="character" w:customStyle="1" w:styleId="WW8Num8z2">
    <w:name w:val="WW8Num8z2"/>
    <w:qFormat/>
    <w:rPr>
      <w:b w:val="0"/>
      <w:bCs/>
    </w:rPr>
  </w:style>
  <w:style w:type="character" w:customStyle="1" w:styleId="WW8Num9z0">
    <w:name w:val="WW8Num9z0"/>
    <w:qFormat/>
    <w:rPr>
      <w:rFonts w:ascii="Times New Roman" w:eastAsia="Times New Roman" w:hAnsi="Times New Roman"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b w:val="0"/>
    </w:rPr>
  </w:style>
  <w:style w:type="character" w:customStyle="1" w:styleId="WW8Num11z0">
    <w:name w:val="WW8Num11z0"/>
    <w:qFormat/>
  </w:style>
  <w:style w:type="character" w:customStyle="1" w:styleId="WW8Num12z0">
    <w:name w:val="WW8Num12z0"/>
    <w:qFormat/>
  </w:style>
  <w:style w:type="character" w:customStyle="1" w:styleId="Heading1Char">
    <w:name w:val="Heading 1 Char"/>
    <w:qFormat/>
    <w:rPr>
      <w:rFonts w:ascii="Aptos Display" w:eastAsia="Times New Roman" w:hAnsi="Aptos Display" w:cs="Times New Roman"/>
      <w:color w:val="0F4761"/>
      <w:sz w:val="40"/>
      <w:szCs w:val="40"/>
    </w:rPr>
  </w:style>
  <w:style w:type="character" w:customStyle="1" w:styleId="Heading2Char">
    <w:name w:val="Heading 2 Char"/>
    <w:qFormat/>
    <w:rPr>
      <w:rFonts w:ascii="Aptos Display" w:eastAsia="Times New Roman" w:hAnsi="Aptos Display" w:cs="Times New Roman"/>
      <w:color w:val="0F4761"/>
      <w:sz w:val="32"/>
      <w:szCs w:val="32"/>
    </w:rPr>
  </w:style>
  <w:style w:type="character" w:customStyle="1" w:styleId="Heading3Char">
    <w:name w:val="Heading 3 Char"/>
    <w:qFormat/>
    <w:rPr>
      <w:rFonts w:eastAsia="Times New Roman" w:cs="Times New Roman"/>
      <w:color w:val="0F4761"/>
      <w:sz w:val="28"/>
      <w:szCs w:val="28"/>
    </w:rPr>
  </w:style>
  <w:style w:type="character" w:customStyle="1" w:styleId="Heading4Char">
    <w:name w:val="Heading 4 Char"/>
    <w:qFormat/>
    <w:rPr>
      <w:rFonts w:eastAsia="Times New Roman" w:cs="Times New Roman"/>
      <w:i/>
      <w:iCs/>
      <w:color w:val="0F4761"/>
    </w:rPr>
  </w:style>
  <w:style w:type="character" w:customStyle="1" w:styleId="Heading5Char">
    <w:name w:val="Heading 5 Char"/>
    <w:qFormat/>
    <w:rPr>
      <w:rFonts w:eastAsia="Times New Roman" w:cs="Times New Roman"/>
      <w:color w:val="0F4761"/>
    </w:rPr>
  </w:style>
  <w:style w:type="character" w:customStyle="1" w:styleId="Heading6Char">
    <w:name w:val="Heading 6 Char"/>
    <w:qFormat/>
    <w:rPr>
      <w:rFonts w:eastAsia="Times New Roman" w:cs="Times New Roman"/>
      <w:i/>
      <w:iCs/>
      <w:color w:val="595959"/>
    </w:rPr>
  </w:style>
  <w:style w:type="character" w:customStyle="1" w:styleId="Heading7Char">
    <w:name w:val="Heading 7 Char"/>
    <w:qFormat/>
    <w:rPr>
      <w:rFonts w:eastAsia="Times New Roman" w:cs="Times New Roman"/>
      <w:color w:val="595959"/>
    </w:rPr>
  </w:style>
  <w:style w:type="character" w:customStyle="1" w:styleId="Heading8Char">
    <w:name w:val="Heading 8 Char"/>
    <w:qFormat/>
    <w:rPr>
      <w:rFonts w:eastAsia="Times New Roman" w:cs="Times New Roman"/>
      <w:i/>
      <w:iCs/>
      <w:color w:val="272727"/>
    </w:rPr>
  </w:style>
  <w:style w:type="character" w:customStyle="1" w:styleId="Heading9Char">
    <w:name w:val="Heading 9 Char"/>
    <w:qFormat/>
    <w:rPr>
      <w:rFonts w:eastAsia="Times New Roman" w:cs="Times New Roman"/>
      <w:color w:val="272727"/>
    </w:rPr>
  </w:style>
  <w:style w:type="character" w:customStyle="1" w:styleId="TitleChar">
    <w:name w:val="Title Char"/>
    <w:qFormat/>
    <w:rPr>
      <w:rFonts w:ascii="Aptos Display" w:eastAsia="Times New Roman" w:hAnsi="Aptos Display" w:cs="Times New Roman"/>
      <w:spacing w:val="-10"/>
      <w:kern w:val="2"/>
      <w:sz w:val="56"/>
      <w:szCs w:val="56"/>
    </w:rPr>
  </w:style>
  <w:style w:type="character" w:customStyle="1" w:styleId="SubtitleChar">
    <w:name w:val="Subtitle Char"/>
    <w:qFormat/>
    <w:rPr>
      <w:rFonts w:eastAsia="Times New Roman" w:cs="Times New Roman"/>
      <w:color w:val="595959"/>
      <w:spacing w:val="15"/>
      <w:sz w:val="28"/>
      <w:szCs w:val="28"/>
    </w:rPr>
  </w:style>
  <w:style w:type="character" w:customStyle="1" w:styleId="QuoteChar">
    <w:name w:val="Quote Char"/>
    <w:qFormat/>
    <w:rPr>
      <w:i/>
      <w:iCs/>
      <w:color w:val="404040"/>
    </w:rPr>
  </w:style>
  <w:style w:type="character" w:styleId="IntenseEmphasis">
    <w:name w:val="Intense Emphasis"/>
    <w:qFormat/>
    <w:rPr>
      <w:i/>
      <w:iCs/>
      <w:color w:val="0F4761"/>
    </w:rPr>
  </w:style>
  <w:style w:type="character" w:customStyle="1" w:styleId="IntenseQuoteChar">
    <w:name w:val="Intense Quote Char"/>
    <w:qFormat/>
    <w:rPr>
      <w:i/>
      <w:iCs/>
      <w:color w:val="0F4761"/>
    </w:rPr>
  </w:style>
  <w:style w:type="character" w:styleId="IntenseReference">
    <w:name w:val="Intense Reference"/>
    <w:qFormat/>
    <w:rPr>
      <w:b/>
      <w:bCs/>
      <w:smallCaps/>
      <w:color w:val="0F4761"/>
      <w:spacing w:val="5"/>
    </w:rPr>
  </w:style>
  <w:style w:type="character" w:customStyle="1" w:styleId="HeaderChar">
    <w:name w:val="Header Char"/>
    <w:qFormat/>
    <w:rPr>
      <w:rFonts w:ascii="Times New Roman" w:eastAsia="Times New Roman" w:hAnsi="Times New Roman" w:cs="Times New Roman"/>
      <w:kern w:val="0"/>
    </w:rPr>
  </w:style>
  <w:style w:type="character" w:customStyle="1" w:styleId="BodyTextChar">
    <w:name w:val="Body Text Char"/>
    <w:qFormat/>
    <w:rPr>
      <w:rFonts w:ascii="Arial" w:eastAsia="Times New Roman" w:hAnsi="Arial" w:cs="Arial"/>
      <w:kern w:val="0"/>
      <w:sz w:val="22"/>
    </w:rPr>
  </w:style>
  <w:style w:type="character" w:styleId="Hyperlink">
    <w:name w:val="Hyperlink"/>
    <w:rPr>
      <w:color w:val="0000FF"/>
      <w:u w:val="single"/>
    </w:rPr>
  </w:style>
  <w:style w:type="character" w:customStyle="1" w:styleId="FooterChar">
    <w:name w:val="Footer Char"/>
    <w:qFormat/>
    <w:rPr>
      <w:rFonts w:ascii="Times New Roman" w:eastAsia="Times New Roman" w:hAnsi="Times New Roman" w:cs="Times New Roman"/>
      <w:kern w:val="0"/>
    </w:rPr>
  </w:style>
  <w:style w:type="character" w:customStyle="1" w:styleId="ListParagraphChar">
    <w:name w:val="List Paragraph Char"/>
    <w:qFormat/>
  </w:style>
  <w:style w:type="character" w:styleId="Emphasis">
    <w:name w:val="Emphasis"/>
    <w:qFormat/>
    <w:rPr>
      <w:i/>
      <w:iCs/>
    </w:rPr>
  </w:style>
  <w:style w:type="character" w:styleId="CommentReference">
    <w:name w:val="annotation reference"/>
    <w:qFormat/>
    <w:rPr>
      <w:sz w:val="16"/>
      <w:szCs w:val="16"/>
    </w:rPr>
  </w:style>
  <w:style w:type="character" w:customStyle="1" w:styleId="CommentTextChar">
    <w:name w:val="Comment Text Char"/>
    <w:qFormat/>
    <w:rPr>
      <w:rFonts w:ascii="Calibri" w:eastAsia="Calibri" w:hAnsi="Calibri" w:cs="Calibri"/>
    </w:rPr>
  </w:style>
  <w:style w:type="character" w:customStyle="1" w:styleId="CommentSubjectChar">
    <w:name w:val="Comment Subject Char"/>
    <w:qFormat/>
    <w:rPr>
      <w:rFonts w:ascii="Calibri" w:eastAsia="Calibri" w:hAnsi="Calibri" w:cs="Calibri"/>
      <w:b/>
      <w:bCs/>
    </w:rPr>
  </w:style>
  <w:style w:type="paragraph" w:customStyle="1" w:styleId="Heading">
    <w:name w:val="Heading"/>
    <w:basedOn w:val="Normal"/>
    <w:next w:val="Normal"/>
    <w:qFormat/>
    <w:pPr>
      <w:spacing w:after="80" w:line="240" w:lineRule="auto"/>
      <w:contextualSpacing/>
    </w:pPr>
    <w:rPr>
      <w:rFonts w:ascii="Aptos Display" w:eastAsia="Times New Roman" w:hAnsi="Aptos Display" w:cs="Times New Roman"/>
      <w:spacing w:val="-10"/>
      <w:kern w:val="2"/>
      <w:sz w:val="56"/>
      <w:szCs w:val="56"/>
    </w:rPr>
  </w:style>
  <w:style w:type="paragraph" w:styleId="BodyText">
    <w:name w:val="Body Text"/>
    <w:basedOn w:val="Normal"/>
    <w:pPr>
      <w:spacing w:after="0" w:line="240" w:lineRule="auto"/>
    </w:pPr>
    <w:rPr>
      <w:rFonts w:ascii="Arial" w:eastAsia="Times New Roman" w:hAnsi="Arial" w:cs="Arial"/>
      <w:szCs w:val="24"/>
    </w:r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Subtitle">
    <w:name w:val="Subtitle"/>
    <w:basedOn w:val="Normal"/>
    <w:next w:val="Normal"/>
    <w:uiPriority w:val="11"/>
    <w:qFormat/>
    <w:rPr>
      <w:rFonts w:eastAsia="Times New Roman" w:cs="Times New Roman"/>
      <w:color w:val="595959"/>
      <w:spacing w:val="15"/>
      <w:sz w:val="28"/>
      <w:szCs w:val="28"/>
    </w:rPr>
  </w:style>
  <w:style w:type="paragraph" w:styleId="Quote">
    <w:name w:val="Quote"/>
    <w:basedOn w:val="Normal"/>
    <w:next w:val="Normal"/>
    <w:qFormat/>
    <w:pPr>
      <w:spacing w:before="160"/>
      <w:jc w:val="center"/>
    </w:pPr>
    <w:rPr>
      <w:i/>
      <w:iCs/>
      <w:color w:val="404040"/>
    </w:rPr>
  </w:style>
  <w:style w:type="paragraph" w:styleId="ListParagraph">
    <w:name w:val="List Paragraph"/>
    <w:basedOn w:val="Normal"/>
    <w:qFormat/>
    <w:pPr>
      <w:ind w:left="720"/>
      <w:contextualSpacing/>
    </w:p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jc w:val="center"/>
    </w:pPr>
    <w:rPr>
      <w:i/>
      <w:iCs/>
      <w:color w:val="0F4761"/>
    </w:rPr>
  </w:style>
  <w:style w:type="paragraph" w:customStyle="1" w:styleId="HeaderandFooter">
    <w:name w:val="Header and Footer"/>
    <w:basedOn w:val="Normal"/>
    <w:qFormat/>
    <w:pPr>
      <w:suppressLineNumbers/>
      <w:tabs>
        <w:tab w:val="center" w:pos="4986"/>
        <w:tab w:val="right" w:pos="9972"/>
      </w:tabs>
    </w:pPr>
  </w:style>
  <w:style w:type="paragraph" w:styleId="Header">
    <w:name w:val="header"/>
    <w:basedOn w:val="Normal"/>
    <w:pPr>
      <w:tabs>
        <w:tab w:val="center" w:pos="4153"/>
        <w:tab w:val="right" w:pos="8306"/>
      </w:tabs>
      <w:spacing w:after="0" w:line="240" w:lineRule="auto"/>
    </w:pPr>
    <w:rPr>
      <w:rFonts w:ascii="Times New Roman" w:eastAsia="Times New Roman" w:hAnsi="Times New Roman" w:cs="Times New Roman"/>
      <w:sz w:val="24"/>
      <w:szCs w:val="24"/>
    </w:rPr>
  </w:style>
  <w:style w:type="paragraph" w:customStyle="1" w:styleId="Stils1">
    <w:name w:val="Stils1"/>
    <w:basedOn w:val="Normal"/>
    <w:qFormat/>
    <w:pPr>
      <w:numPr>
        <w:numId w:val="6"/>
      </w:numPr>
      <w:spacing w:after="0" w:line="240" w:lineRule="auto"/>
      <w:jc w:val="both"/>
    </w:pPr>
    <w:rPr>
      <w:rFonts w:ascii="Times New Roman" w:eastAsia="Times New Roman" w:hAnsi="Times New Roman" w:cs="Times New Roman"/>
      <w:b/>
      <w:i/>
      <w:color w:val="000000"/>
      <w:sz w:val="20"/>
      <w:szCs w:val="20"/>
    </w:rPr>
  </w:style>
  <w:style w:type="paragraph" w:customStyle="1" w:styleId="Stils2">
    <w:name w:val="Stils2"/>
    <w:basedOn w:val="Normal"/>
    <w:qFormat/>
    <w:pPr>
      <w:tabs>
        <w:tab w:val="left" w:pos="454"/>
      </w:tabs>
      <w:spacing w:after="0" w:line="240" w:lineRule="auto"/>
      <w:ind w:left="454" w:hanging="454"/>
      <w:jc w:val="both"/>
    </w:pPr>
    <w:rPr>
      <w:rFonts w:ascii="Times New Roman" w:eastAsia="Times New Roman" w:hAnsi="Times New Roman" w:cs="Times New Roman"/>
      <w:color w:val="000000"/>
      <w:sz w:val="20"/>
      <w:szCs w:val="20"/>
    </w:rPr>
  </w:style>
  <w:style w:type="paragraph" w:customStyle="1" w:styleId="Stils3">
    <w:name w:val="Stils3"/>
    <w:basedOn w:val="Normal"/>
    <w:qFormat/>
    <w:pPr>
      <w:tabs>
        <w:tab w:val="left" w:pos="454"/>
      </w:tabs>
      <w:spacing w:after="0" w:line="240" w:lineRule="auto"/>
      <w:ind w:left="454" w:hanging="454"/>
      <w:jc w:val="both"/>
    </w:pPr>
    <w:rPr>
      <w:rFonts w:ascii="Times New Roman" w:eastAsia="Times New Roman" w:hAnsi="Times New Roman" w:cs="Times New Roman"/>
      <w:sz w:val="20"/>
      <w:szCs w:val="20"/>
    </w:rPr>
  </w:style>
  <w:style w:type="paragraph" w:styleId="Footer">
    <w:name w:val="footer"/>
    <w:basedOn w:val="Normal"/>
    <w:pPr>
      <w:tabs>
        <w:tab w:val="center" w:pos="4153"/>
        <w:tab w:val="right" w:pos="8306"/>
      </w:tabs>
      <w:spacing w:after="0" w:line="240" w:lineRule="auto"/>
    </w:pPr>
    <w:rPr>
      <w:rFonts w:ascii="Times New Roman" w:eastAsia="Times New Roman" w:hAnsi="Times New Roman" w:cs="Times New Roman"/>
      <w:sz w:val="24"/>
      <w:szCs w:val="24"/>
    </w:rPr>
  </w:style>
  <w:style w:type="paragraph" w:customStyle="1" w:styleId="Parastais">
    <w:name w:val="Parastais"/>
    <w:qFormat/>
    <w:pPr>
      <w:suppressAutoHyphens/>
    </w:pPr>
    <w:rPr>
      <w:rFonts w:ascii="Times New Roman" w:eastAsia="Times New Roman" w:hAnsi="Times New Roman" w:cs="Times New Roman"/>
      <w:lang w:val="lv-LV" w:eastAsia="lv-LV"/>
    </w:rPr>
  </w:style>
  <w:style w:type="paragraph" w:customStyle="1" w:styleId="BodyTextIndent31">
    <w:name w:val="Body Text Indent 31"/>
    <w:basedOn w:val="Normal"/>
    <w:qFormat/>
    <w:pPr>
      <w:spacing w:after="120" w:line="240" w:lineRule="auto"/>
      <w:ind w:left="283"/>
    </w:pPr>
    <w:rPr>
      <w:rFonts w:ascii="Times New Roman" w:eastAsia="Times New Roman" w:hAnsi="Times New Roman" w:cs="Times New Roman"/>
      <w:sz w:val="16"/>
      <w:szCs w:val="16"/>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Revision">
    <w:name w:val="Revision"/>
    <w:qFormat/>
    <w:pPr>
      <w:suppressAutoHyphens/>
    </w:pPr>
    <w:rPr>
      <w:rFonts w:ascii="Calibri" w:eastAsia="Calibri" w:hAnsi="Calibri" w:cs="Calibri"/>
      <w:sz w:val="22"/>
      <w:szCs w:val="22"/>
      <w:lang w:val="lv-LV" w:eastAsia="lv-LV"/>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paragraph" w:customStyle="1" w:styleId="P68B1DB1-Normal1">
    <w:name w:val="P68B1DB1-Normal1"/>
    <w:basedOn w:val="Normal"/>
    <w:rPr>
      <w:rFonts w:ascii="Times New Roman" w:eastAsia="Times New Roman" w:hAnsi="Times New Roman" w:cs="Times New Roman"/>
      <w:b/>
      <w:sz w:val="20"/>
      <w:szCs w:val="20"/>
    </w:rPr>
  </w:style>
  <w:style w:type="paragraph" w:customStyle="1" w:styleId="P68B1DB1-Normal2">
    <w:name w:val="P68B1DB1-Normal2"/>
    <w:basedOn w:val="Normal"/>
    <w:rPr>
      <w:rFonts w:ascii="Times New Roman" w:eastAsia="Times New Roman" w:hAnsi="Times New Roman" w:cs="Times New Roman"/>
      <w:sz w:val="20"/>
      <w:szCs w:val="20"/>
    </w:rPr>
  </w:style>
  <w:style w:type="paragraph" w:customStyle="1" w:styleId="P68B1DB1-Normal3">
    <w:name w:val="P68B1DB1-Normal3"/>
    <w:basedOn w:val="Normal"/>
    <w:rPr>
      <w:rFonts w:ascii="Times New Roman" w:hAnsi="Times New Roman" w:cs="Times New Roman"/>
      <w:sz w:val="36"/>
      <w:szCs w:val="36"/>
    </w:rPr>
  </w:style>
  <w:style w:type="paragraph" w:customStyle="1" w:styleId="P68B1DB1-Heading14">
    <w:name w:val="P68B1DB1-Heading14"/>
    <w:basedOn w:val="Heading1"/>
    <w:rPr>
      <w:rFonts w:ascii="Times New Roman" w:hAnsi="Times New Roman"/>
      <w:color w:val="000000"/>
      <w:sz w:val="32"/>
      <w:szCs w:val="32"/>
    </w:rPr>
  </w:style>
  <w:style w:type="paragraph" w:customStyle="1" w:styleId="P68B1DB1-Normal5">
    <w:name w:val="P68B1DB1-Normal5"/>
    <w:basedOn w:val="Normal"/>
    <w:rPr>
      <w:rFonts w:ascii="Times New Roman" w:hAnsi="Times New Roman" w:cs="Times New Roman"/>
      <w:b/>
      <w:sz w:val="32"/>
      <w:szCs w:val="32"/>
    </w:rPr>
  </w:style>
  <w:style w:type="paragraph" w:customStyle="1" w:styleId="P68B1DB1-BodyText6">
    <w:name w:val="P68B1DB1-BodyText6"/>
    <w:basedOn w:val="BodyText"/>
    <w:rPr>
      <w:rFonts w:ascii="Times New Roman" w:hAnsi="Times New Roman" w:cs="Times New Roman"/>
      <w:sz w:val="24"/>
    </w:rPr>
  </w:style>
  <w:style w:type="paragraph" w:customStyle="1" w:styleId="P68B1DB1-Heading47">
    <w:name w:val="P68B1DB1-Heading47"/>
    <w:basedOn w:val="Heading4"/>
    <w:rPr>
      <w:rFonts w:ascii="Times New Roman" w:hAnsi="Times New Roman"/>
      <w:i w:val="0"/>
      <w:iCs w:val="0"/>
      <w:color w:val="000000"/>
      <w:sz w:val="32"/>
      <w:szCs w:val="32"/>
    </w:rPr>
  </w:style>
  <w:style w:type="paragraph" w:customStyle="1" w:styleId="P68B1DB1-Normal8">
    <w:name w:val="P68B1DB1-Normal8"/>
    <w:basedOn w:val="Normal"/>
    <w:rPr>
      <w:rFonts w:ascii="Times New Roman" w:eastAsia="Times New Roman" w:hAnsi="Times New Roman" w:cs="Times New Roman"/>
      <w:sz w:val="24"/>
      <w:szCs w:val="24"/>
    </w:rPr>
  </w:style>
  <w:style w:type="paragraph" w:customStyle="1" w:styleId="P68B1DB1-Heading39">
    <w:name w:val="P68B1DB1-Heading39"/>
    <w:basedOn w:val="Heading3"/>
    <w:rPr>
      <w:rFonts w:ascii="Times New Roman" w:hAnsi="Times New Roman"/>
      <w:sz w:val="24"/>
      <w:szCs w:val="24"/>
    </w:rPr>
  </w:style>
  <w:style w:type="paragraph" w:customStyle="1" w:styleId="P68B1DB1-Stils210">
    <w:name w:val="P68B1DB1-Stils210"/>
    <w:basedOn w:val="Stils2"/>
    <w:rPr>
      <w:b/>
    </w:rPr>
  </w:style>
  <w:style w:type="paragraph" w:customStyle="1" w:styleId="P68B1DB1-BodyText11">
    <w:name w:val="P68B1DB1-BodyText11"/>
    <w:basedOn w:val="BodyText"/>
    <w:rPr>
      <w:rFonts w:ascii="Times New Roman" w:hAnsi="Times New Roman" w:cs="Times New Roman"/>
      <w:sz w:val="20"/>
      <w:szCs w:val="20"/>
    </w:rPr>
  </w:style>
  <w:style w:type="paragraph" w:customStyle="1" w:styleId="P68B1DB1-Normal12">
    <w:name w:val="P68B1DB1-Normal12"/>
    <w:basedOn w:val="Normal"/>
    <w:rPr>
      <w:rFonts w:ascii="Times New Roman" w:hAnsi="Times New Roman" w:cs="Times New Roman"/>
      <w:sz w:val="20"/>
      <w:szCs w:val="20"/>
    </w:rPr>
  </w:style>
  <w:style w:type="paragraph" w:customStyle="1" w:styleId="P68B1DB1-Stils113">
    <w:name w:val="P68B1DB1-Stils113"/>
    <w:basedOn w:val="Stils1"/>
    <w:rPr>
      <w:i w:val="0"/>
    </w:rPr>
  </w:style>
  <w:style w:type="paragraph" w:customStyle="1" w:styleId="P68B1DB1-Normal14">
    <w:name w:val="P68B1DB1-Normal14"/>
    <w:basedOn w:val="Normal"/>
    <w:rPr>
      <w:rFonts w:ascii="Times New Roman" w:hAnsi="Times New Roman" w:cs="Times New Roman"/>
      <w:b/>
      <w:sz w:val="20"/>
      <w:szCs w:val="20"/>
    </w:rPr>
  </w:style>
  <w:style w:type="paragraph" w:customStyle="1" w:styleId="P68B1DB1-Heading315">
    <w:name w:val="P68B1DB1-Heading315"/>
    <w:basedOn w:val="Heading3"/>
    <w:rPr>
      <w:rFonts w:ascii="Times New Roman" w:hAnsi="Times New Roman"/>
      <w:caps/>
      <w:sz w:val="24"/>
      <w:szCs w:val="24"/>
    </w:rPr>
  </w:style>
  <w:style w:type="paragraph" w:customStyle="1" w:styleId="P68B1DB1-Stils116">
    <w:name w:val="P68B1DB1-Stils116"/>
    <w:basedOn w:val="Stils1"/>
    <w:rPr>
      <w:b w:val="0"/>
      <w:i w:val="0"/>
    </w:rPr>
  </w:style>
  <w:style w:type="paragraph" w:customStyle="1" w:styleId="P68B1DB1-ListParagraph17">
    <w:name w:val="P68B1DB1-ListParagraph17"/>
    <w:basedOn w:val="ListParagraph"/>
    <w:rPr>
      <w:rFonts w:ascii="Times New Roman" w:hAnsi="Times New Roman" w:cs="Times New Roman"/>
      <w:b/>
      <w:sz w:val="20"/>
      <w:szCs w:val="20"/>
    </w:rPr>
  </w:style>
  <w:style w:type="paragraph" w:customStyle="1" w:styleId="P68B1DB1-ListParagraph18">
    <w:name w:val="P68B1DB1-ListParagraph18"/>
    <w:basedOn w:val="ListParagraph"/>
    <w:rPr>
      <w:rFonts w:ascii="Times New Roman" w:hAnsi="Times New Roman" w:cs="Times New Roman"/>
      <w:sz w:val="20"/>
      <w:szCs w:val="20"/>
    </w:rPr>
  </w:style>
  <w:style w:type="paragraph" w:customStyle="1" w:styleId="P68B1DB1-ListParagraph19">
    <w:name w:val="P68B1DB1-ListParagraph19"/>
    <w:basedOn w:val="ListParagraph"/>
    <w:rPr>
      <w:rFonts w:ascii="Times New Roman" w:hAnsi="Times New Roman" w:cs="Times New Roman"/>
      <w:spacing w:val="-1"/>
      <w:sz w:val="20"/>
      <w:szCs w:val="20"/>
    </w:rPr>
  </w:style>
  <w:style w:type="paragraph" w:customStyle="1" w:styleId="P68B1DB1-Parastais20">
    <w:name w:val="P68B1DB1-Parastais20"/>
    <w:basedOn w:val="Parastais"/>
    <w:rPr>
      <w:b/>
      <w:sz w:val="18"/>
      <w:szCs w:val="18"/>
    </w:rPr>
  </w:style>
  <w:style w:type="paragraph" w:customStyle="1" w:styleId="P68B1DB1-Parastais21">
    <w:name w:val="P68B1DB1-Parastais21"/>
    <w:basedOn w:val="Parastais"/>
    <w:rPr>
      <w:sz w:val="18"/>
      <w:szCs w:val="18"/>
    </w:rPr>
  </w:style>
  <w:style w:type="paragraph" w:customStyle="1" w:styleId="P68B1DB1-Normal22">
    <w:name w:val="P68B1DB1-Normal22"/>
    <w:basedOn w:val="Normal"/>
    <w:rPr>
      <w:rFonts w:ascii="Times New Roman" w:hAnsi="Times New Roman" w:cs="Times New Roman"/>
      <w:sz w:val="18"/>
      <w:szCs w:val="18"/>
    </w:rPr>
  </w:style>
  <w:style w:type="paragraph" w:customStyle="1" w:styleId="P68B1DB1-BodyTextIndent3123">
    <w:name w:val="P68B1DB1-BodyTextIndent3123"/>
    <w:basedOn w:val="BodyTextIndent31"/>
    <w:rPr>
      <w:sz w:val="20"/>
      <w:szCs w:val="20"/>
    </w:rPr>
  </w:style>
  <w:style w:type="paragraph" w:customStyle="1" w:styleId="P68B1DB1-Stils124">
    <w:name w:val="P68B1DB1-Stils124"/>
    <w:basedOn w:val="Stils1"/>
    <w:rPr>
      <w:b w:val="0"/>
      <w:i w:val="0"/>
      <w:szCs w:val="18"/>
    </w:rPr>
  </w:style>
  <w:style w:type="paragraph" w:customStyle="1" w:styleId="P68B1DB1-Heading325">
    <w:name w:val="P68B1DB1-Heading325"/>
    <w:basedOn w:val="Heading3"/>
    <w:rPr>
      <w:rFonts w:ascii="Times New Roman" w:hAnsi="Times New Roman"/>
    </w:rPr>
  </w:style>
  <w:style w:type="character" w:styleId="FollowedHyperlink">
    <w:name w:val="FollowedHyperlink"/>
    <w:uiPriority w:val="99"/>
    <w:semiHidden/>
    <w:unhideWhenUsed/>
    <w:rsid w:val="009B30AE"/>
    <w:rPr>
      <w:color w:val="551A8B"/>
      <w:u w:val="single"/>
    </w:rPr>
  </w:style>
  <w:style w:type="character" w:styleId="UnresolvedMention">
    <w:name w:val="Unresolved Mention"/>
    <w:uiPriority w:val="99"/>
    <w:semiHidden/>
    <w:unhideWhenUsed/>
    <w:rsid w:val="00B379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abmedtech@labmedtech.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gunta.uspele@labmedtech.lv"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lursoft.lv/"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8</Pages>
  <Words>4094</Words>
  <Characters>23337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Anda Ozola</dc:creator>
  <cp:keywords/>
  <dc:description/>
  <cp:lastModifiedBy>Anda Ozola</cp:lastModifiedBy>
  <cp:revision>115</cp:revision>
  <dcterms:created xsi:type="dcterms:W3CDTF">2025-10-30T09:28:00Z</dcterms:created>
  <dcterms:modified xsi:type="dcterms:W3CDTF">2025-11-05T17:39:00Z</dcterms:modified>
  <dc:language>en-US</dc:language>
</cp:coreProperties>
</file>