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0" w:before="150" w:lineRule="auto"/>
        <w:jc w:val="righ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2">
      <w:pPr>
        <w:spacing w:after="300" w:before="150" w:lineRule="auto"/>
        <w:jc w:val="righ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LIAA līgums Nr. 9.4-1-L-2025/150</w:t>
      </w:r>
    </w:p>
    <w:p w:rsidR="00000000" w:rsidDel="00000000" w:rsidP="00000000" w:rsidRDefault="00000000" w:rsidRPr="00000000" w14:paraId="00000003">
      <w:pPr>
        <w:spacing w:after="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PIETEIKUMA IZVĒRTĒŠANAS LAPA</w:t>
      </w:r>
      <w:r w:rsidDel="00000000" w:rsidR="00000000" w:rsidRPr="00000000">
        <w:rPr>
          <w:rtl w:val="0"/>
        </w:rPr>
      </w:r>
    </w:p>
    <w:p w:rsidR="00000000" w:rsidDel="00000000" w:rsidP="00000000" w:rsidRDefault="00000000" w:rsidRPr="00000000" w14:paraId="00000004">
      <w:pPr>
        <w:spacing w:after="300" w:before="150" w:lineRule="auto"/>
        <w:jc w:val="right"/>
        <w:rPr>
          <w:rFonts w:ascii="Times New Roman" w:cs="Times New Roman" w:eastAsia="Times New Roman" w:hAnsi="Times New Roman"/>
          <w:sz w:val="22"/>
          <w:szCs w:val="22"/>
        </w:rPr>
      </w:pPr>
      <w:r w:rsidDel="00000000" w:rsidR="00000000" w:rsidRPr="00000000">
        <w:rPr>
          <w:rtl w:val="0"/>
        </w:rPr>
      </w:r>
    </w:p>
    <w:sdt>
      <w:sdtPr>
        <w:lock w:val="contentLocked"/>
        <w:id w:val="-1415556715"/>
        <w:tag w:val="goog_rdk_0"/>
      </w:sdtPr>
      <w:sdtContent>
        <w:tbl>
          <w:tblPr>
            <w:tblStyle w:val="Table1"/>
            <w:tblW w:w="113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660"/>
            <w:gridCol w:w="5660"/>
            <w:tblGridChange w:id="0">
              <w:tblGrid>
                <w:gridCol w:w="5660"/>
                <w:gridCol w:w="5660"/>
              </w:tblGrid>
            </w:tblGridChange>
          </w:tblGrid>
          <w:tr>
            <w:trPr>
              <w:cantSplit w:val="0"/>
              <w:trHeight w:val="465" w:hRule="atLeast"/>
              <w:tblHeader w:val="0"/>
            </w:trPr>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05">
                <w:pPr>
                  <w:spacing w:after="0" w:lineRule="auto"/>
                  <w:ind w:left="283.46456692913375" w:firstLine="0"/>
                  <w:jc w:val="center"/>
                  <w:rPr>
                    <w:rFonts w:ascii="Times New Roman" w:cs="Times New Roman" w:eastAsia="Times New Roman" w:hAnsi="Times New Roman"/>
                    <w:b w:val="1"/>
                    <w:bCs w:val="1"/>
                    <w:sz w:val="22"/>
                    <w:szCs w:val="22"/>
                  </w:rPr>
                </w:pPr>
                <w:bookmarkStart w:colFirst="0" w:colLast="0" w:name="_heading=h.gjdgxs" w:id="0"/>
                <w:bookmarkEnd w:id="0"/>
                <w:r w:rsidDel="00000000" w:rsidR="00000000" w:rsidRPr="00000000">
                  <w:rPr>
                    <w:rFonts w:ascii="Times New Roman" w:cs="Times New Roman" w:eastAsia="Times New Roman" w:hAnsi="Times New Roman"/>
                    <w:b w:val="1"/>
                    <w:bCs w:val="1"/>
                    <w:sz w:val="22"/>
                    <w:szCs w:val="22"/>
                    <w:rtl w:val="0"/>
                  </w:rPr>
                  <w:t xml:space="preserve">Iepirkuma identifikācijas numurs Nr. PR-2026-01</w:t>
                </w:r>
              </w:p>
            </w:tc>
            <w:tc>
              <w:tcPr>
                <w:tcBorders>
                  <w:top w:color="000000" w:space="0" w:sz="8" w:val="dotted"/>
                  <w:left w:color="000000" w:space="0" w:sz="8" w:val="dotted"/>
                  <w:bottom w:color="000000" w:space="0" w:sz="8" w:val="dotted"/>
                  <w:right w:color="000000" w:space="0" w:sz="8" w:val="dotted"/>
                </w:tcBorders>
                <w:tcMar>
                  <w:top w:w="100.0" w:type="dxa"/>
                  <w:left w:w="100.0" w:type="dxa"/>
                  <w:bottom w:w="100.0" w:type="dxa"/>
                  <w:right w:w="100.0" w:type="dxa"/>
                </w:tcMar>
                <w:vAlign w:val="center"/>
              </w:tcPr>
              <w:p w:rsidR="00000000" w:rsidDel="00000000" w:rsidP="00000000" w:rsidRDefault="00000000" w:rsidRPr="00000000" w14:paraId="00000006">
                <w:pPr>
                  <w:spacing w:after="0" w:lineRule="auto"/>
                  <w:ind w:right="-82.55905511810852"/>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Robotizēts foto tapešu un foto kanvu ražošanas līnijas iekārtu komplekts ar mākslīgā intelekta (MI) funkcionalitāti</w:t>
                </w:r>
              </w:p>
            </w:tc>
          </w:tr>
        </w:tbl>
      </w:sdtContent>
    </w:sdt>
    <w:p w:rsidR="00000000" w:rsidDel="00000000" w:rsidP="00000000" w:rsidRDefault="00000000" w:rsidRPr="00000000" w14:paraId="00000007">
      <w:pPr>
        <w:rPr>
          <w:rFonts w:ascii="Times New Roman" w:cs="Times New Roman" w:eastAsia="Times New Roman" w:hAnsi="Times New Roman"/>
          <w:b w:val="1"/>
          <w:bCs w:val="1"/>
          <w:i w:val="1"/>
          <w:iCs w:val="1"/>
          <w:color w:val="1155cc"/>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0" w:firstLine="0"/>
        <w:jc w:val="both"/>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sz w:val="22"/>
          <w:szCs w:val="22"/>
          <w:rtl w:val="0"/>
        </w:rPr>
        <w:t xml:space="preserve">Vērtēšanas datums: </w:t>
      </w:r>
      <w:r w:rsidDel="00000000" w:rsidR="00000000" w:rsidRPr="00000000">
        <w:rPr>
          <w:rFonts w:ascii="Times New Roman" w:cs="Times New Roman" w:eastAsia="Times New Roman" w:hAnsi="Times New Roman"/>
          <w:sz w:val="22"/>
          <w:szCs w:val="22"/>
          <w:highlight w:val="yellow"/>
          <w:rtl w:val="0"/>
        </w:rPr>
        <w:t xml:space="preserve">[datums]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0" w:firstLine="0"/>
        <w:jc w:val="both"/>
        <w:rPr>
          <w:rFonts w:ascii="Times New Roman" w:cs="Times New Roman" w:eastAsia="Times New Roman" w:hAnsi="Times New Roman"/>
          <w:sz w:val="22"/>
          <w:szCs w:val="22"/>
        </w:rPr>
      </w:pPr>
      <w:r w:rsidDel="00000000" w:rsidR="00000000" w:rsidRPr="00000000">
        <w:rPr>
          <w:rtl w:val="0"/>
        </w:rPr>
      </w:r>
    </w:p>
    <w:sdt>
      <w:sdtPr>
        <w:lock w:val="contentLocked"/>
        <w:id w:val="1650037605"/>
        <w:tag w:val="goog_rdk_1"/>
      </w:sdtPr>
      <w:sdtContent>
        <w:tbl>
          <w:tblPr>
            <w:tblStyle w:val="Table2"/>
            <w:tblW w:w="1080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95"/>
            <w:gridCol w:w="6405"/>
            <w:tblGridChange w:id="0">
              <w:tblGrid>
                <w:gridCol w:w="4395"/>
                <w:gridCol w:w="6405"/>
              </w:tblGrid>
            </w:tblGridChange>
          </w:tblGrid>
          <w:tr>
            <w:trPr>
              <w:cantSplit w:val="0"/>
              <w:tblHeader w:val="0"/>
            </w:trPr>
            <w:tc>
              <w:tcPr/>
              <w:p w:rsidR="00000000" w:rsidDel="00000000" w:rsidP="00000000" w:rsidRDefault="00000000" w:rsidRPr="00000000" w14:paraId="0000000A">
                <w:pPr>
                  <w:spacing w:after="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Pretendents:</w:t>
                </w:r>
              </w:p>
            </w:tc>
            <w:tc>
              <w:tcPr/>
              <w:p w:rsidR="00000000" w:rsidDel="00000000" w:rsidP="00000000" w:rsidRDefault="00000000" w:rsidRPr="00000000" w14:paraId="0000000B">
                <w:pPr>
                  <w:spacing w:after="0" w:lineRule="auto"/>
                  <w:jc w:val="both"/>
                  <w:rPr>
                    <w:rFonts w:ascii="Times New Roman" w:cs="Times New Roman" w:eastAsia="Times New Roman" w:hAnsi="Times New Roman"/>
                    <w:sz w:val="22"/>
                    <w:szCs w:val="22"/>
                    <w:highlight w:val="yellow"/>
                  </w:rPr>
                </w:pPr>
                <w:r w:rsidDel="00000000" w:rsidR="00000000" w:rsidRPr="00000000">
                  <w:rPr>
                    <w:rFonts w:ascii="Times New Roman" w:cs="Times New Roman" w:eastAsia="Times New Roman" w:hAnsi="Times New Roman"/>
                    <w:sz w:val="22"/>
                    <w:szCs w:val="22"/>
                    <w:highlight w:val="yellow"/>
                    <w:rtl w:val="0"/>
                  </w:rPr>
                  <w:t xml:space="preserve">[Nosaukums], [reģistrācijas Nr.]</w:t>
                </w:r>
              </w:p>
            </w:tc>
          </w:tr>
          <w:tr>
            <w:trPr>
              <w:cantSplit w:val="0"/>
              <w:trHeight w:val="1259.1784667968752" w:hRule="atLeast"/>
              <w:tblHeader w:val="0"/>
            </w:trPr>
            <w:tc>
              <w:tcPr/>
              <w:p w:rsidR="00000000" w:rsidDel="00000000" w:rsidP="00000000" w:rsidRDefault="00000000" w:rsidRPr="00000000" w14:paraId="0000000C">
                <w:pPr>
                  <w:spacing w:after="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Pieteikums iesniegts:</w:t>
                </w:r>
              </w:p>
            </w:tc>
            <w:tc>
              <w:tcPr/>
              <w:p w:rsidR="00000000" w:rsidDel="00000000" w:rsidP="00000000" w:rsidRDefault="00000000" w:rsidRPr="00000000" w14:paraId="0000000D">
                <w:pPr>
                  <w:numPr>
                    <w:ilvl w:val="0"/>
                    <w:numId w:val="2"/>
                  </w:numPr>
                  <w:spacing w:after="0" w:afterAutospacing="0"/>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e-pastā</w:t>
                </w:r>
              </w:p>
              <w:p w:rsidR="00000000" w:rsidDel="00000000" w:rsidP="00000000" w:rsidRDefault="00000000" w:rsidRPr="00000000" w14:paraId="0000000E">
                <w:pPr>
                  <w:numPr>
                    <w:ilvl w:val="0"/>
                    <w:numId w:val="2"/>
                  </w:numPr>
                  <w:spacing w:after="0" w:afterAutospacing="0"/>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klātienē</w:t>
                </w:r>
              </w:p>
              <w:p w:rsidR="00000000" w:rsidDel="00000000" w:rsidP="00000000" w:rsidRDefault="00000000" w:rsidRPr="00000000" w14:paraId="0000000F">
                <w:pPr>
                  <w:numPr>
                    <w:ilvl w:val="0"/>
                    <w:numId w:val="2"/>
                  </w:numPr>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 pastu</w:t>
                </w:r>
              </w:p>
            </w:tc>
          </w:tr>
          <w:tr>
            <w:trPr>
              <w:cantSplit w:val="0"/>
              <w:tblHeader w:val="0"/>
            </w:trPr>
            <w:tc>
              <w:tcPr/>
              <w:p w:rsidR="00000000" w:rsidDel="00000000" w:rsidP="00000000" w:rsidRDefault="00000000" w:rsidRPr="00000000" w14:paraId="00000010">
                <w:pPr>
                  <w:spacing w:after="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Pieteikuma iesniegšanas laiks un datums saskaņā ar IUB publicētos termiņu:</w:t>
                </w:r>
              </w:p>
            </w:tc>
            <w:tc>
              <w:tcPr/>
              <w:p w:rsidR="00000000" w:rsidDel="00000000" w:rsidP="00000000" w:rsidRDefault="00000000" w:rsidRPr="00000000" w14:paraId="00000011">
                <w:pPr>
                  <w:numPr>
                    <w:ilvl w:val="0"/>
                    <w:numId w:val="2"/>
                  </w:numPr>
                  <w:spacing w:after="0" w:afterAutospacing="0"/>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iesniegts laikā</w:t>
                </w:r>
              </w:p>
              <w:p w:rsidR="00000000" w:rsidDel="00000000" w:rsidP="00000000" w:rsidRDefault="00000000" w:rsidRPr="00000000" w14:paraId="00000012">
                <w:pPr>
                  <w:numPr>
                    <w:ilvl w:val="0"/>
                    <w:numId w:val="2"/>
                  </w:numPr>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iesniegts pēc termiņa</w:t>
                </w:r>
              </w:p>
            </w:tc>
          </w:tr>
          <w:tr>
            <w:trPr>
              <w:cantSplit w:val="0"/>
              <w:tblHeader w:val="0"/>
            </w:trPr>
            <w:tc>
              <w:tcPr/>
              <w:p w:rsidR="00000000" w:rsidDel="00000000" w:rsidP="00000000" w:rsidRDefault="00000000" w:rsidRPr="00000000" w14:paraId="00000013">
                <w:pPr>
                  <w:spacing w:after="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Pieteikums parakstīts atbilstoši Nolikumam</w:t>
                </w:r>
              </w:p>
            </w:tc>
            <w:tc>
              <w:tcPr/>
              <w:p w:rsidR="00000000" w:rsidDel="00000000" w:rsidP="00000000" w:rsidRDefault="00000000" w:rsidRPr="00000000" w14:paraId="00000014">
                <w:pPr>
                  <w:numPr>
                    <w:ilvl w:val="0"/>
                    <w:numId w:val="2"/>
                  </w:numPr>
                  <w:spacing w:after="0" w:afterAutospacing="0"/>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jā</w:t>
                </w:r>
              </w:p>
              <w:p w:rsidR="00000000" w:rsidDel="00000000" w:rsidP="00000000" w:rsidRDefault="00000000" w:rsidRPr="00000000" w14:paraId="00000015">
                <w:pPr>
                  <w:numPr>
                    <w:ilvl w:val="0"/>
                    <w:numId w:val="2"/>
                  </w:numPr>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nē</w:t>
                </w:r>
              </w:p>
            </w:tc>
          </w:tr>
        </w:tbl>
      </w:sdtContent>
    </w:sdt>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8">
      <w:pPr>
        <w:numPr>
          <w:ilvl w:val="0"/>
          <w:numId w:val="2"/>
        </w:numPr>
        <w:spacing w:after="0" w:afterAutospacing="0"/>
        <w:ind w:left="425.19685039370086" w:hanging="36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Pieteikums iesniegts atbilstoši nolikuma nosacījumiem</w:t>
      </w:r>
    </w:p>
    <w:p w:rsidR="00000000" w:rsidDel="00000000" w:rsidP="00000000" w:rsidRDefault="00000000" w:rsidRPr="00000000" w14:paraId="00000019">
      <w:pPr>
        <w:numPr>
          <w:ilvl w:val="0"/>
          <w:numId w:val="2"/>
        </w:numPr>
        <w:ind w:left="425.19685039370086" w:hanging="36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Pieteikums iesniegts neatbilstoši nolikuma nosacījumiem, tādējādi izslēgts no tālākā izvērtējuma</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59" w:lineRule="auto"/>
        <w:ind w:left="0" w:firstLine="0"/>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PRETENDENTA FINANŠU PIEDĀVĀJUMS</w:t>
      </w:r>
    </w:p>
    <w:p w:rsidR="00000000" w:rsidDel="00000000" w:rsidP="00000000" w:rsidRDefault="00000000" w:rsidRPr="00000000" w14:paraId="0000001D">
      <w:pPr>
        <w:ind w:left="0" w:right="-749" w:firstLine="0"/>
        <w:jc w:val="both"/>
        <w:rPr>
          <w:rFonts w:ascii="Times New Roman" w:cs="Times New Roman" w:eastAsia="Times New Roman" w:hAnsi="Times New Roman"/>
          <w:sz w:val="22"/>
          <w:szCs w:val="22"/>
        </w:rPr>
      </w:pPr>
      <w:r w:rsidDel="00000000" w:rsidR="00000000" w:rsidRPr="00000000">
        <w:rPr>
          <w:rtl w:val="0"/>
        </w:rPr>
      </w:r>
    </w:p>
    <w:tbl>
      <w:tblPr>
        <w:tblStyle w:val="Table3"/>
        <w:tblW w:w="97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3540"/>
        <w:gridCol w:w="105"/>
        <w:gridCol w:w="4290"/>
        <w:tblGridChange w:id="0">
          <w:tblGrid>
            <w:gridCol w:w="1770"/>
            <w:gridCol w:w="3540"/>
            <w:gridCol w:w="105"/>
            <w:gridCol w:w="4290"/>
          </w:tblGrid>
        </w:tblGridChange>
      </w:tblGrid>
      <w:tr>
        <w:trPr>
          <w:cantSplit w:val="0"/>
          <w:trHeight w:val="417.978515625" w:hRule="atLeast"/>
          <w:tblHeader w:val="0"/>
        </w:trPr>
        <w:tc>
          <w:tcPr/>
          <w:p w:rsidR="00000000" w:rsidDel="00000000" w:rsidP="00000000" w:rsidRDefault="00000000" w:rsidRPr="00000000" w14:paraId="0000001E">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Piedāvātā cena:</w:t>
            </w:r>
          </w:p>
        </w:tc>
        <w:tc>
          <w:tcPr>
            <w:gridSpan w:val="2"/>
          </w:tcPr>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1">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Punkti:</w:t>
            </w:r>
          </w:p>
        </w:tc>
      </w:tr>
    </w:tbl>
    <w:p w:rsidR="00000000" w:rsidDel="00000000" w:rsidP="00000000" w:rsidRDefault="00000000" w:rsidRPr="00000000" w14:paraId="0000002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keepNext w:val="0"/>
        <w:keepLines w:val="1"/>
        <w:spacing w:after="0" w:line="240" w:lineRule="auto"/>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Kopējās EUR summas bez PVN tiek sarindotas augošā secībā, par zemāko cenu esot tai cenai, kas ir vistuvāk EUR 0. </w:t>
      </w:r>
    </w:p>
    <w:p w:rsidR="00000000" w:rsidDel="00000000" w:rsidP="00000000" w:rsidRDefault="00000000" w:rsidRPr="00000000" w14:paraId="00000024">
      <w:pPr>
        <w:keepNext w:val="0"/>
        <w:keepLines w:val="1"/>
        <w:numPr>
          <w:ilvl w:val="0"/>
          <w:numId w:val="3"/>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Zemākā cena saņem 10 punktus.</w:t>
      </w:r>
    </w:p>
    <w:p w:rsidR="00000000" w:rsidDel="00000000" w:rsidP="00000000" w:rsidRDefault="00000000" w:rsidRPr="00000000" w14:paraId="00000025">
      <w:pPr>
        <w:keepNext w:val="0"/>
        <w:keepLines w:val="1"/>
        <w:numPr>
          <w:ilvl w:val="0"/>
          <w:numId w:val="3"/>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Otra zemākā cena saņem 8 punktus.</w:t>
      </w:r>
    </w:p>
    <w:p w:rsidR="00000000" w:rsidDel="00000000" w:rsidP="00000000" w:rsidRDefault="00000000" w:rsidRPr="00000000" w14:paraId="00000026">
      <w:pPr>
        <w:keepNext w:val="0"/>
        <w:keepLines w:val="1"/>
        <w:numPr>
          <w:ilvl w:val="0"/>
          <w:numId w:val="3"/>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Trešā zemākā cena saņem 6 punktus. </w:t>
      </w:r>
    </w:p>
    <w:p w:rsidR="00000000" w:rsidDel="00000000" w:rsidP="00000000" w:rsidRDefault="00000000" w:rsidRPr="00000000" w14:paraId="00000027">
      <w:pPr>
        <w:keepNext w:val="0"/>
        <w:keepLines w:val="1"/>
        <w:numPr>
          <w:ilvl w:val="0"/>
          <w:numId w:val="3"/>
        </w:numPr>
        <w:spacing w:after="0" w:line="240"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Pārējie piedāvājumi saņem 4 punktus.</w:t>
      </w:r>
    </w:p>
    <w:p w:rsidR="00000000" w:rsidDel="00000000" w:rsidP="00000000" w:rsidRDefault="00000000" w:rsidRPr="00000000" w14:paraId="0000002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numPr>
          <w:ilvl w:val="0"/>
          <w:numId w:val="2"/>
        </w:numPr>
        <w:spacing w:after="0" w:afterAutospacing="0"/>
        <w:ind w:left="425.19685039370086" w:hanging="36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Finanšu piedāvājums iesniegts atbilstoši nolikuma nosacījumiem</w:t>
      </w:r>
    </w:p>
    <w:p w:rsidR="00000000" w:rsidDel="00000000" w:rsidP="00000000" w:rsidRDefault="00000000" w:rsidRPr="00000000" w14:paraId="0000002A">
      <w:pPr>
        <w:numPr>
          <w:ilvl w:val="0"/>
          <w:numId w:val="2"/>
        </w:numPr>
        <w:ind w:left="425.19685039370086" w:hanging="36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Finanšu piedāvājums iesniegts neatbilstoši nolikuma nosacījumiem</w:t>
      </w:r>
      <w:r w:rsidDel="00000000" w:rsidR="00000000" w:rsidRPr="00000000">
        <w:br w:type="page"/>
      </w: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ATLASES KRITĒTIJI</w:t>
      </w:r>
    </w:p>
    <w:sdt>
      <w:sdtPr>
        <w:lock w:val="contentLocked"/>
        <w:id w:val="1030218194"/>
        <w:tag w:val="goog_rdk_2"/>
      </w:sdtPr>
      <w:sdtContent>
        <w:tbl>
          <w:tblPr>
            <w:tblStyle w:val="Table4"/>
            <w:tblW w:w="1029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0"/>
            <w:gridCol w:w="6315"/>
            <w:gridCol w:w="3285"/>
            <w:tblGridChange w:id="0">
              <w:tblGrid>
                <w:gridCol w:w="690"/>
                <w:gridCol w:w="6315"/>
                <w:gridCol w:w="3285"/>
              </w:tblGrid>
            </w:tblGridChange>
          </w:tblGrid>
          <w:tr>
            <w:trPr>
              <w:cantSplit w:val="0"/>
              <w:tblHeader w:val="0"/>
            </w:trPr>
            <w:tc>
              <w:tcPr/>
              <w:p w:rsidR="00000000" w:rsidDel="00000000" w:rsidP="00000000" w:rsidRDefault="00000000" w:rsidRPr="00000000" w14:paraId="0000002C">
                <w:pPr>
                  <w:spacing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w:t>
                </w:r>
              </w:p>
            </w:tc>
            <w:tc>
              <w:tcPr/>
              <w:p w:rsidR="00000000" w:rsidDel="00000000" w:rsidP="00000000" w:rsidRDefault="00000000" w:rsidRPr="00000000" w14:paraId="0000002D">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Izslēgšanas gadījumi saistībā ar noziedzīgiem nodarījumiem.</w:t>
                  <w:br w:type="textWrapping"/>
                  <w:t xml:space="preserve">Pasūtītājs izslēdz pretendentu no dalības iepirkuma procedūrā, ja uz to attiecas PIL noteiktie obligātie izslēgšanas gadījumi saistībā ar noziedzīgiem nodarījumiem.</w:t>
                </w:r>
              </w:p>
            </w:tc>
            <w:tc>
              <w:tcPr/>
              <w:p w:rsidR="00000000" w:rsidDel="00000000" w:rsidP="00000000" w:rsidRDefault="00000000" w:rsidRPr="00000000" w14:paraId="0000002E">
                <w:pPr>
                  <w:numPr>
                    <w:ilvl w:val="0"/>
                    <w:numId w:val="2"/>
                  </w:numPr>
                  <w:spacing w:after="0" w:afterAutospacing="0"/>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pastāv</w:t>
                </w:r>
              </w:p>
              <w:p w:rsidR="00000000" w:rsidDel="00000000" w:rsidP="00000000" w:rsidRDefault="00000000" w:rsidRPr="00000000" w14:paraId="0000002F">
                <w:pPr>
                  <w:numPr>
                    <w:ilvl w:val="0"/>
                    <w:numId w:val="2"/>
                  </w:numPr>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nepastāv</w:t>
                </w:r>
              </w:p>
            </w:tc>
          </w:tr>
          <w:tr>
            <w:trPr>
              <w:cantSplit w:val="0"/>
              <w:tblHeader w:val="0"/>
            </w:trPr>
            <w:tc>
              <w:tcPr/>
              <w:p w:rsidR="00000000" w:rsidDel="00000000" w:rsidP="00000000" w:rsidRDefault="00000000" w:rsidRPr="00000000" w14:paraId="00000030">
                <w:pPr>
                  <w:spacing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2.</w:t>
                </w:r>
              </w:p>
            </w:tc>
            <w:tc>
              <w:tcPr/>
              <w:p w:rsidR="00000000" w:rsidDel="00000000" w:rsidP="00000000" w:rsidRDefault="00000000" w:rsidRPr="00000000" w14:paraId="00000031">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Nodokļu vai nodevu parādu esamība.</w:t>
                </w:r>
              </w:p>
              <w:p w:rsidR="00000000" w:rsidDel="00000000" w:rsidP="00000000" w:rsidRDefault="00000000" w:rsidRPr="00000000" w14:paraId="00000032">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Pasūtītājs izslēdz pretendentu, ja tam saskaņā ar VID administrēto nodokļu (nodevu) parādnieku publiskajā datubāzē pieejamo informāciju ir nodokļu vai nodevu parādi, kas pārsniedz 150 EUR, izņemot normatīvajos aktos noteiktos gadījumus.</w:t>
                </w:r>
              </w:p>
            </w:tc>
            <w:tc>
              <w:tcPr/>
              <w:p w:rsidR="00000000" w:rsidDel="00000000" w:rsidP="00000000" w:rsidRDefault="00000000" w:rsidRPr="00000000" w14:paraId="00000033">
                <w:pPr>
                  <w:numPr>
                    <w:ilvl w:val="0"/>
                    <w:numId w:val="2"/>
                  </w:numPr>
                  <w:spacing w:after="0" w:afterAutospacing="0"/>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pastāv</w:t>
                </w:r>
              </w:p>
              <w:p w:rsidR="00000000" w:rsidDel="00000000" w:rsidP="00000000" w:rsidRDefault="00000000" w:rsidRPr="00000000" w14:paraId="00000034">
                <w:pPr>
                  <w:numPr>
                    <w:ilvl w:val="0"/>
                    <w:numId w:val="2"/>
                  </w:numPr>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nepastāv</w:t>
                </w:r>
              </w:p>
            </w:tc>
          </w:tr>
          <w:tr>
            <w:trPr>
              <w:cantSplit w:val="0"/>
              <w:tblHeader w:val="0"/>
            </w:trPr>
            <w:tc>
              <w:tcPr/>
              <w:p w:rsidR="00000000" w:rsidDel="00000000" w:rsidP="00000000" w:rsidRDefault="00000000" w:rsidRPr="00000000" w14:paraId="00000035">
                <w:pPr>
                  <w:spacing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w:t>
                </w:r>
              </w:p>
            </w:tc>
            <w:tc>
              <w:tcPr/>
              <w:p w:rsidR="00000000" w:rsidDel="00000000" w:rsidP="00000000" w:rsidRDefault="00000000" w:rsidRPr="00000000" w14:paraId="00000036">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Maksātnespēja, likvidācija vai saimnieciskās darbības apturēšana.</w:t>
                </w:r>
              </w:p>
              <w:p w:rsidR="00000000" w:rsidDel="00000000" w:rsidP="00000000" w:rsidRDefault="00000000" w:rsidRPr="00000000" w14:paraId="00000037">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Pasūtītājs ir tiesīgs izslēgt pretendentu, ja tas ir pasludināts par maksātnespējīgu, atrodas likvidācijas procesā, tam ir apturēta saimnieciskā darbība vai tas atrodas līdzīgā situācijā saskaņā ar reģistrācijas valsts normatīvajiem aktiem.</w:t>
                </w:r>
              </w:p>
            </w:tc>
            <w:tc>
              <w:tcPr/>
              <w:p w:rsidR="00000000" w:rsidDel="00000000" w:rsidP="00000000" w:rsidRDefault="00000000" w:rsidRPr="00000000" w14:paraId="00000038">
                <w:pPr>
                  <w:numPr>
                    <w:ilvl w:val="0"/>
                    <w:numId w:val="2"/>
                  </w:numPr>
                  <w:spacing w:after="0" w:afterAutospacing="0"/>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pastāv</w:t>
                </w:r>
              </w:p>
              <w:p w:rsidR="00000000" w:rsidDel="00000000" w:rsidP="00000000" w:rsidRDefault="00000000" w:rsidRPr="00000000" w14:paraId="00000039">
                <w:pPr>
                  <w:numPr>
                    <w:ilvl w:val="0"/>
                    <w:numId w:val="2"/>
                  </w:numPr>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nepastāv</w:t>
                </w:r>
              </w:p>
            </w:tc>
          </w:tr>
          <w:tr>
            <w:trPr>
              <w:cantSplit w:val="0"/>
              <w:tblHeader w:val="0"/>
            </w:trPr>
            <w:tc>
              <w:tcPr/>
              <w:p w:rsidR="00000000" w:rsidDel="00000000" w:rsidP="00000000" w:rsidRDefault="00000000" w:rsidRPr="00000000" w14:paraId="0000003A">
                <w:pPr>
                  <w:spacing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4.</w:t>
                </w:r>
              </w:p>
            </w:tc>
            <w:tc>
              <w:tcPr/>
              <w:p w:rsidR="00000000" w:rsidDel="00000000" w:rsidP="00000000" w:rsidRDefault="00000000" w:rsidRPr="00000000" w14:paraId="0000003B">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Iepriekšēja līguma būtisks vai atkārtots pārkāpums.</w:t>
                </w:r>
              </w:p>
              <w:p w:rsidR="00000000" w:rsidDel="00000000" w:rsidP="00000000" w:rsidRDefault="00000000" w:rsidRPr="00000000" w14:paraId="0000003C">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Pasūtītājs ir tiesīgs izslēgt pretendentu, ja tas iepriekš būtiski vai atkārtoti nav izpildījis publiska iepirkuma vai koncesijas līguma saistības.</w:t>
                </w:r>
              </w:p>
            </w:tc>
            <w:tc>
              <w:tcPr/>
              <w:p w:rsidR="00000000" w:rsidDel="00000000" w:rsidP="00000000" w:rsidRDefault="00000000" w:rsidRPr="00000000" w14:paraId="0000003D">
                <w:pPr>
                  <w:numPr>
                    <w:ilvl w:val="0"/>
                    <w:numId w:val="2"/>
                  </w:numPr>
                  <w:spacing w:after="0" w:afterAutospacing="0"/>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pastāv</w:t>
                </w:r>
              </w:p>
              <w:p w:rsidR="00000000" w:rsidDel="00000000" w:rsidP="00000000" w:rsidRDefault="00000000" w:rsidRPr="00000000" w14:paraId="0000003E">
                <w:pPr>
                  <w:numPr>
                    <w:ilvl w:val="0"/>
                    <w:numId w:val="2"/>
                  </w:numPr>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nepastāv</w:t>
                </w:r>
              </w:p>
            </w:tc>
          </w:tr>
          <w:tr>
            <w:trPr>
              <w:cantSplit w:val="0"/>
              <w:tblHeader w:val="0"/>
            </w:trPr>
            <w:tc>
              <w:tcPr/>
              <w:p w:rsidR="00000000" w:rsidDel="00000000" w:rsidP="00000000" w:rsidRDefault="00000000" w:rsidRPr="00000000" w14:paraId="0000003F">
                <w:pPr>
                  <w:spacing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5.</w:t>
                </w:r>
              </w:p>
            </w:tc>
            <w:tc>
              <w:tcPr/>
              <w:p w:rsidR="00000000" w:rsidDel="00000000" w:rsidP="00000000" w:rsidRDefault="00000000" w:rsidRPr="00000000" w14:paraId="00000040">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Nepatiesas informācijas sniegšana.</w:t>
                </w:r>
              </w:p>
              <w:p w:rsidR="00000000" w:rsidDel="00000000" w:rsidP="00000000" w:rsidRDefault="00000000" w:rsidRPr="00000000" w14:paraId="00000041">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Pasūtītājs ir tiesīgs izslēgt pretendentu, ja tas ir sniedzis nepatiesu informāciju vai nav sniedzis informāciju, kas nepieciešama atlases kritēriju izvērtēšanai.</w:t>
                </w:r>
              </w:p>
            </w:tc>
            <w:tc>
              <w:tcPr/>
              <w:p w:rsidR="00000000" w:rsidDel="00000000" w:rsidP="00000000" w:rsidRDefault="00000000" w:rsidRPr="00000000" w14:paraId="00000042">
                <w:pPr>
                  <w:numPr>
                    <w:ilvl w:val="0"/>
                    <w:numId w:val="2"/>
                  </w:numPr>
                  <w:spacing w:after="0" w:afterAutospacing="0"/>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pastāv</w:t>
                </w:r>
              </w:p>
              <w:p w:rsidR="00000000" w:rsidDel="00000000" w:rsidP="00000000" w:rsidRDefault="00000000" w:rsidRPr="00000000" w14:paraId="00000043">
                <w:pPr>
                  <w:numPr>
                    <w:ilvl w:val="0"/>
                    <w:numId w:val="2"/>
                  </w:numPr>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nepastāv</w:t>
                </w:r>
              </w:p>
            </w:tc>
          </w:tr>
          <w:tr>
            <w:trPr>
              <w:cantSplit w:val="0"/>
              <w:tblHeader w:val="0"/>
            </w:trPr>
            <w:tc>
              <w:tcPr/>
              <w:p w:rsidR="00000000" w:rsidDel="00000000" w:rsidP="00000000" w:rsidRDefault="00000000" w:rsidRPr="00000000" w14:paraId="00000044">
                <w:pPr>
                  <w:spacing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6.</w:t>
                </w:r>
              </w:p>
            </w:tc>
            <w:tc>
              <w:tcPr/>
              <w:p w:rsidR="00000000" w:rsidDel="00000000" w:rsidP="00000000" w:rsidRDefault="00000000" w:rsidRPr="00000000" w14:paraId="00000045">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Interešu konflikts.</w:t>
                </w:r>
              </w:p>
              <w:p w:rsidR="00000000" w:rsidDel="00000000" w:rsidP="00000000" w:rsidRDefault="00000000" w:rsidRPr="00000000" w14:paraId="00000046">
                <w:pPr>
                  <w:spacing w:line="24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Pasūtītājs ir tiesīgs izslēgt pretendentu, ja pastāv interešu konflikts PIL izpratnē un to nav iespējams novērst.</w:t>
                </w:r>
              </w:p>
            </w:tc>
            <w:tc>
              <w:tcPr/>
              <w:p w:rsidR="00000000" w:rsidDel="00000000" w:rsidP="00000000" w:rsidRDefault="00000000" w:rsidRPr="00000000" w14:paraId="00000047">
                <w:pPr>
                  <w:numPr>
                    <w:ilvl w:val="0"/>
                    <w:numId w:val="2"/>
                  </w:numPr>
                  <w:spacing w:after="0" w:afterAutospacing="0"/>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pastāv</w:t>
                </w:r>
              </w:p>
              <w:p w:rsidR="00000000" w:rsidDel="00000000" w:rsidP="00000000" w:rsidRDefault="00000000" w:rsidRPr="00000000" w14:paraId="00000048">
                <w:pPr>
                  <w:numPr>
                    <w:ilvl w:val="0"/>
                    <w:numId w:val="2"/>
                  </w:numPr>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nepastāv</w:t>
                </w:r>
              </w:p>
            </w:tc>
          </w:tr>
          <w:tr>
            <w:trPr>
              <w:cantSplit w:val="0"/>
              <w:trHeight w:val="1650" w:hRule="atLeast"/>
              <w:tblHeader w:val="0"/>
            </w:trPr>
            <w:tc>
              <w:tcPr/>
              <w:p w:rsidR="00000000" w:rsidDel="00000000" w:rsidP="00000000" w:rsidRDefault="00000000" w:rsidRPr="00000000" w14:paraId="00000049">
                <w:pPr>
                  <w:spacing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7.</w:t>
                </w:r>
              </w:p>
            </w:tc>
            <w:tc>
              <w:tcPr/>
              <w:p w:rsidR="00000000" w:rsidDel="00000000" w:rsidP="00000000" w:rsidRDefault="00000000" w:rsidRPr="00000000" w14:paraId="0000004A">
                <w:pPr>
                  <w:spacing w:after="120" w:before="12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Pretendents pēdējo 5 (piecu) gadu laikā ir veicis vismaz 3 (trīs) līgumu izpildi, kur katra līgumcena ir bijusi ne mazāka kā EUR 50’000,00 (piecdesmit tūkstoši eiro, 0 centi) bez PVN, un katra līguma ietvaros ir veikta digitālās drukas vai pēcapstrādes iekārtu piegāde un uzstādīšana.</w:t>
                </w:r>
              </w:p>
            </w:tc>
            <w:tc>
              <w:tcPr/>
              <w:p w:rsidR="00000000" w:rsidDel="00000000" w:rsidP="00000000" w:rsidRDefault="00000000" w:rsidRPr="00000000" w14:paraId="0000004B">
                <w:pPr>
                  <w:numPr>
                    <w:ilvl w:val="0"/>
                    <w:numId w:val="2"/>
                  </w:numPr>
                  <w:spacing w:after="0" w:afterAutospacing="0"/>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Iesniegts atbilstošs pretendenta pieredzes apraksts</w:t>
                </w:r>
              </w:p>
              <w:p w:rsidR="00000000" w:rsidDel="00000000" w:rsidP="00000000" w:rsidRDefault="00000000" w:rsidRPr="00000000" w14:paraId="0000004C">
                <w:pPr>
                  <w:numPr>
                    <w:ilvl w:val="0"/>
                    <w:numId w:val="2"/>
                  </w:numPr>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Nav iesniegts atbilstošs pretendenta pieredzes apraksts</w:t>
                </w:r>
              </w:p>
            </w:tc>
          </w:tr>
          <w:tr>
            <w:trPr>
              <w:cantSplit w:val="0"/>
              <w:trHeight w:val="805.7641601562501" w:hRule="atLeast"/>
              <w:tblHeader w:val="0"/>
            </w:trPr>
            <w:tc>
              <w:tcPr/>
              <w:p w:rsidR="00000000" w:rsidDel="00000000" w:rsidP="00000000" w:rsidRDefault="00000000" w:rsidRPr="00000000" w14:paraId="0000004D">
                <w:pPr>
                  <w:spacing w:line="24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8.</w:t>
                </w:r>
              </w:p>
            </w:tc>
            <w:tc>
              <w:tcPr/>
              <w:p w:rsidR="00000000" w:rsidDel="00000000" w:rsidP="00000000" w:rsidRDefault="00000000" w:rsidRPr="00000000" w14:paraId="0000004E">
                <w:pPr>
                  <w:spacing w:after="120" w:before="12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Iekārtas  stāvoklis - jauna, nelietota.</w:t>
                </w:r>
              </w:p>
            </w:tc>
            <w:tc>
              <w:tcPr/>
              <w:p w:rsidR="00000000" w:rsidDel="00000000" w:rsidP="00000000" w:rsidRDefault="00000000" w:rsidRPr="00000000" w14:paraId="0000004F">
                <w:pPr>
                  <w:numPr>
                    <w:ilvl w:val="0"/>
                    <w:numId w:val="2"/>
                  </w:numPr>
                  <w:spacing w:after="0" w:afterAutospacing="0"/>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apliecināts</w:t>
                </w:r>
              </w:p>
              <w:p w:rsidR="00000000" w:rsidDel="00000000" w:rsidP="00000000" w:rsidRDefault="00000000" w:rsidRPr="00000000" w14:paraId="00000050">
                <w:pPr>
                  <w:numPr>
                    <w:ilvl w:val="0"/>
                    <w:numId w:val="2"/>
                  </w:numPr>
                  <w:ind w:left="283.4645669291342"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nav apliecināts</w:t>
                </w:r>
              </w:p>
            </w:tc>
          </w:tr>
        </w:tbl>
      </w:sdtContent>
    </w:sdt>
    <w:p w:rsidR="00000000" w:rsidDel="00000000" w:rsidP="00000000" w:rsidRDefault="00000000" w:rsidRPr="00000000" w14:paraId="00000051">
      <w:pPr>
        <w:spacing w:line="240" w:lineRule="auto"/>
        <w:ind w:left="360" w:firstLine="0"/>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52">
      <w:pPr>
        <w:numPr>
          <w:ilvl w:val="0"/>
          <w:numId w:val="2"/>
        </w:numPr>
        <w:spacing w:after="0" w:afterAutospacing="0"/>
        <w:ind w:left="283.4645669291342" w:hanging="36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Atbilst atlases kritērijiem apliecināts</w:t>
      </w:r>
    </w:p>
    <w:p w:rsidR="00000000" w:rsidDel="00000000" w:rsidP="00000000" w:rsidRDefault="00000000" w:rsidRPr="00000000" w14:paraId="00000053">
      <w:pPr>
        <w:numPr>
          <w:ilvl w:val="0"/>
          <w:numId w:val="2"/>
        </w:numPr>
        <w:ind w:left="283.4645669291342" w:hanging="36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Neatbilst atlases kritērijiem, tādējādi izslēgts no tālākā izvērtējuma</w:t>
      </w:r>
    </w:p>
    <w:p w:rsidR="00000000" w:rsidDel="00000000" w:rsidP="00000000" w:rsidRDefault="00000000" w:rsidRPr="00000000" w14:paraId="00000054">
      <w:pPr>
        <w:spacing w:line="240" w:lineRule="auto"/>
        <w:ind w:left="360" w:firstLine="0"/>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2"/>
          <w:szCs w:val="22"/>
        </w:rPr>
      </w:pPr>
      <w:r w:rsidDel="00000000" w:rsidR="00000000" w:rsidRPr="00000000">
        <w:rPr>
          <w:rtl w:val="0"/>
        </w:rPr>
      </w:r>
    </w:p>
    <w:tbl>
      <w:tblPr>
        <w:tblStyle w:val="Table5"/>
        <w:tblW w:w="105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5820"/>
        <w:gridCol w:w="120"/>
        <w:gridCol w:w="885"/>
        <w:gridCol w:w="885"/>
        <w:gridCol w:w="885"/>
        <w:gridCol w:w="885"/>
        <w:tblGridChange w:id="0">
          <w:tblGrid>
            <w:gridCol w:w="1095"/>
            <w:gridCol w:w="5820"/>
            <w:gridCol w:w="120"/>
            <w:gridCol w:w="885"/>
            <w:gridCol w:w="885"/>
            <w:gridCol w:w="885"/>
            <w:gridCol w:w="885"/>
          </w:tblGrid>
        </w:tblGridChange>
      </w:tblGrid>
      <w:tr>
        <w:trPr>
          <w:cantSplit w:val="0"/>
          <w:trHeight w:val="315" w:hRule="atLeast"/>
          <w:tblHeader w:val="0"/>
        </w:trPr>
        <w:tc>
          <w:tcPr>
            <w:gridSpan w:val="7"/>
            <w:tcBorders>
              <w:top w:color="000000" w:space="0" w:sz="0" w:val="nil"/>
              <w:left w:color="000000" w:space="0" w:sz="0" w:val="nil"/>
              <w:bottom w:color="000000" w:space="0" w:sz="0" w:val="nil"/>
              <w:right w:color="000000" w:space="0" w:sz="0" w:val="nil"/>
            </w:tcBorders>
            <w:tcMar>
              <w:top w:w="0.0" w:type="dxa"/>
              <w:left w:w="40.0" w:type="dxa"/>
              <w:bottom w:w="0.0" w:type="dxa"/>
              <w:right w:w="40.0" w:type="dxa"/>
            </w:tcMar>
            <w:vAlign w:val="bottom"/>
          </w:tcPr>
          <w:p w:rsidR="00000000" w:rsidDel="00000000" w:rsidP="00000000" w:rsidRDefault="00000000" w:rsidRPr="00000000" w14:paraId="00000057">
            <w:pPr>
              <w:jc w:val="cente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TEHNISKAIS PIEDĀVĀJUMS</w:t>
            </w:r>
            <w:r w:rsidDel="00000000" w:rsidR="00000000" w:rsidRPr="00000000">
              <w:rPr>
                <w:rtl w:val="0"/>
              </w:rPr>
            </w:r>
          </w:p>
        </w:tc>
      </w:tr>
      <w:tr>
        <w:trPr>
          <w:cantSplit w:val="0"/>
          <w:trHeight w:val="315" w:hRule="atLeast"/>
          <w:tblHeader w:val="0"/>
        </w:trPr>
        <w:tc>
          <w:tcPr>
            <w:gridSpan w:val="2"/>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5E">
            <w:pPr>
              <w:numPr>
                <w:ilvl w:val="0"/>
                <w:numId w:val="1"/>
              </w:numPr>
              <w:spacing w:after="0" w:line="240" w:lineRule="auto"/>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1 punkts - </w:t>
            </w:r>
            <w:r w:rsidDel="00000000" w:rsidR="00000000" w:rsidRPr="00000000">
              <w:rPr>
                <w:rFonts w:ascii="Times New Roman" w:cs="Times New Roman" w:eastAsia="Times New Roman" w:hAnsi="Times New Roman"/>
                <w:i w:val="1"/>
                <w:iCs w:val="1"/>
                <w:sz w:val="22"/>
                <w:szCs w:val="22"/>
                <w:rtl w:val="0"/>
              </w:rPr>
              <w:t xml:space="preserve">apstiprinu (vai, kur nepieciešams, ir norādīta obligātā informācija)</w:t>
            </w:r>
            <w:r w:rsidDel="00000000" w:rsidR="00000000" w:rsidRPr="00000000">
              <w:rPr>
                <w:rtl w:val="0"/>
              </w:rPr>
            </w:r>
          </w:p>
          <w:p w:rsidR="00000000" w:rsidDel="00000000" w:rsidP="00000000" w:rsidRDefault="00000000" w:rsidRPr="00000000" w14:paraId="0000005F">
            <w:pPr>
              <w:numPr>
                <w:ilvl w:val="0"/>
                <w:numId w:val="1"/>
              </w:numPr>
              <w:spacing w:after="0" w:line="240" w:lineRule="auto"/>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0,5 punkti - </w:t>
            </w:r>
            <w:r w:rsidDel="00000000" w:rsidR="00000000" w:rsidRPr="00000000">
              <w:rPr>
                <w:rFonts w:ascii="Times New Roman" w:cs="Times New Roman" w:eastAsia="Times New Roman" w:hAnsi="Times New Roman"/>
                <w:i w:val="1"/>
                <w:iCs w:val="1"/>
                <w:sz w:val="22"/>
                <w:szCs w:val="22"/>
                <w:rtl w:val="0"/>
              </w:rPr>
              <w:t xml:space="preserve">daļēji apstiprinu</w:t>
            </w:r>
            <w:r w:rsidDel="00000000" w:rsidR="00000000" w:rsidRPr="00000000">
              <w:rPr>
                <w:rtl w:val="0"/>
              </w:rPr>
            </w:r>
          </w:p>
          <w:p w:rsidR="00000000" w:rsidDel="00000000" w:rsidP="00000000" w:rsidRDefault="00000000" w:rsidRPr="00000000" w14:paraId="00000060">
            <w:pPr>
              <w:numPr>
                <w:ilvl w:val="0"/>
                <w:numId w:val="1"/>
              </w:numPr>
              <w:spacing w:after="0" w:line="240" w:lineRule="auto"/>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0 punkti - </w:t>
            </w:r>
            <w:r w:rsidDel="00000000" w:rsidR="00000000" w:rsidRPr="00000000">
              <w:rPr>
                <w:rFonts w:ascii="Times New Roman" w:cs="Times New Roman" w:eastAsia="Times New Roman" w:hAnsi="Times New Roman"/>
                <w:i w:val="1"/>
                <w:iCs w:val="1"/>
                <w:sz w:val="22"/>
                <w:szCs w:val="22"/>
                <w:rtl w:val="0"/>
              </w:rPr>
              <w:t xml:space="preserve">neapstiprinu</w:t>
            </w:r>
            <w:r w:rsidDel="00000000" w:rsidR="00000000" w:rsidRPr="00000000">
              <w:rPr>
                <w:rtl w:val="0"/>
              </w:rPr>
            </w:r>
          </w:p>
          <w:p w:rsidR="00000000" w:rsidDel="00000000" w:rsidP="00000000" w:rsidRDefault="00000000" w:rsidRPr="00000000" w14:paraId="00000061">
            <w:pPr>
              <w:spacing w:before="200" w:lineRule="auto"/>
              <w:ind w:left="708.6614173228347"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Maksimālais punktu skaits: 47</w:t>
            </w:r>
          </w:p>
        </w:tc>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64">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65">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tcMar>
              <w:top w:w="0.0" w:type="dxa"/>
              <w:left w:w="40.0" w:type="dxa"/>
              <w:bottom w:w="0.0" w:type="dxa"/>
              <w:right w:w="40.0" w:type="dxa"/>
            </w:tcMar>
            <w:vAlign w:val="center"/>
          </w:tcPr>
          <w:p w:rsidR="00000000" w:rsidDel="00000000" w:rsidP="00000000" w:rsidRDefault="00000000" w:rsidRPr="00000000" w14:paraId="00000067">
            <w:pPr>
              <w:rPr>
                <w:rFonts w:ascii="Calibri" w:cs="Calibri" w:eastAsia="Calibri" w:hAnsi="Calibri"/>
                <w:sz w:val="22"/>
                <w:szCs w:val="22"/>
              </w:rPr>
            </w:pPr>
            <w:r w:rsidDel="00000000" w:rsidR="00000000" w:rsidRPr="00000000">
              <w:rPr>
                <w:rtl w:val="0"/>
              </w:rPr>
            </w:r>
          </w:p>
        </w:tc>
      </w:tr>
      <w:tr>
        <w:trPr>
          <w:cantSplit w:val="0"/>
          <w:trHeight w:val="900" w:hRule="atLeast"/>
          <w:tblHeader w:val="0"/>
        </w:trPr>
        <w:tc>
          <w:tcPr>
            <w:tcBorders>
              <w:top w:color="000000" w:space="0" w:sz="4" w:val="single"/>
              <w:left w:color="000000" w:space="0" w:sz="4" w:val="single"/>
              <w:bottom w:color="000000" w:space="0" w:sz="4" w:val="single"/>
              <w:right w:color="000000" w:space="0" w:sz="4" w:val="single"/>
            </w:tcBorders>
            <w:shd w:fill="deeaf6" w:val="clear"/>
            <w:tcMar>
              <w:top w:w="0.0" w:type="dxa"/>
              <w:left w:w="40.0" w:type="dxa"/>
              <w:bottom w:w="0.0" w:type="dxa"/>
              <w:right w:w="40.0" w:type="dxa"/>
            </w:tcMar>
            <w:vAlign w:val="center"/>
          </w:tcPr>
          <w:p w:rsidR="00000000" w:rsidDel="00000000" w:rsidP="00000000" w:rsidRDefault="00000000" w:rsidRPr="00000000" w14:paraId="00000068">
            <w:pPr>
              <w:widowControl w:val="0"/>
              <w:spacing w:after="0" w:line="276"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eeaf6" w:val="clear"/>
            <w:tcMar>
              <w:top w:w="0.0" w:type="dxa"/>
              <w:left w:w="40.0" w:type="dxa"/>
              <w:bottom w:w="0.0" w:type="dxa"/>
              <w:right w:w="40.0" w:type="dxa"/>
            </w:tcMar>
            <w:vAlign w:val="center"/>
          </w:tcPr>
          <w:p w:rsidR="00000000" w:rsidDel="00000000" w:rsidP="00000000" w:rsidRDefault="00000000" w:rsidRPr="00000000" w14:paraId="00000069">
            <w:pPr>
              <w:widowControl w:val="0"/>
              <w:spacing w:after="0" w:line="276" w:lineRule="auto"/>
              <w:jc w:val="cente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Minimālās tehniskās specifikācijas prasības</w:t>
            </w: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4" w:val="single"/>
            </w:tcBorders>
            <w:shd w:fill="deeaf6" w:val="clear"/>
            <w:tcMar>
              <w:top w:w="0.0" w:type="dxa"/>
              <w:left w:w="40.0" w:type="dxa"/>
              <w:bottom w:w="0.0" w:type="dxa"/>
              <w:right w:w="40.0" w:type="dxa"/>
            </w:tcMar>
            <w:vAlign w:val="center"/>
          </w:tcPr>
          <w:p w:rsidR="00000000" w:rsidDel="00000000" w:rsidP="00000000" w:rsidRDefault="00000000" w:rsidRPr="00000000" w14:paraId="0000006A">
            <w:pPr>
              <w:widowControl w:val="0"/>
              <w:spacing w:after="0" w:line="276" w:lineRule="auto"/>
              <w:jc w:val="cente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Saņemtie punkti</w:t>
            </w: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6F">
            <w:pPr>
              <w:jc w:val="cente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1.</w:t>
            </w:r>
            <w:r w:rsidDel="00000000" w:rsidR="00000000" w:rsidRPr="00000000">
              <w:rPr>
                <w:rtl w:val="0"/>
              </w:rPr>
            </w:r>
          </w:p>
        </w:tc>
        <w:tc>
          <w:tcPr>
            <w:gridSpan w:val="6"/>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Ražošanas procesu vadības programmatūra ar mākslīgā intelekta funkcionalitāti</w:t>
            </w:r>
            <w:r w:rsidDel="00000000" w:rsidR="00000000" w:rsidRPr="00000000">
              <w:rPr>
                <w:rFonts w:ascii="Times New Roman" w:cs="Times New Roman" w:eastAsia="Times New Roman" w:hAnsi="Times New Roman"/>
                <w:sz w:val="22"/>
                <w:szCs w:val="22"/>
                <w:rtl w:val="0"/>
              </w:rPr>
              <w:t xml:space="preserve"> (piemēram, Onyx RIP vai ekvivalents)</w:t>
            </w: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6">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7">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Nosaukums</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7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7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Ražotājs, valsts</w:t>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7F">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4">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5">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Ražošanas procesu un darba uzdevumu vadība</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6">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B">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Automātiska darba rindu optimizācija, izmantojot mākslīgā intelekta analītiku, lai īsinātu cikla laiku un samazinātu materiālu zudumu</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D">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2">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Automātiska grafisko attēlu izkārtošanas optimizācija, izmantojot mākslīgā intelekta analītiku, lai samazinātu materiāla zudumu un paaugstinātu efektivitāti</w:t>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9">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9A">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Iespēja radīt un pārvaldīt pielāgotus materiālu profilus</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B">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0">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1">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Hot-folder funkcionalitāte ar vairākiem atsevišķiem automatizācijas scenārijiem</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2">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7">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Svītrkodu (barcode/QR) integrācija, lai automatizētu datnes maršrutēšanu uz printeri, griezēju vai citu iekārtu</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E">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AF">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Atbilstība ISO, G7 un FOGRA krāsu standartiem.</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B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Pilna saderība ar digitālajiem printeriem, kuru drukas platums ir ≥1600 mm</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B7">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C">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BD">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Saderība ar automatizētām griešanas iekārtām, izmantojot marķējumus un failu struktūras;</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BE">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3">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1.12.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C4">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Detalizēti drukas žurnāli, materiālu patēriņa aprēķini un kļūdu reģistrācija</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C5">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CA">
            <w:pPr>
              <w:jc w:val="cente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2.</w:t>
            </w:r>
            <w:r w:rsidDel="00000000" w:rsidR="00000000" w:rsidRPr="00000000">
              <w:rPr>
                <w:rtl w:val="0"/>
              </w:rPr>
            </w:r>
          </w:p>
        </w:tc>
        <w:tc>
          <w:tcPr>
            <w:gridSpan w:val="6"/>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CB">
            <w:pP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Digitālā drukas iekārta</w:t>
            </w:r>
            <w:r w:rsidDel="00000000" w:rsidR="00000000" w:rsidRPr="00000000">
              <w:rPr>
                <w:rFonts w:ascii="Times New Roman" w:cs="Times New Roman" w:eastAsia="Times New Roman" w:hAnsi="Times New Roman"/>
                <w:sz w:val="22"/>
                <w:szCs w:val="22"/>
                <w:rtl w:val="0"/>
              </w:rPr>
              <w:t xml:space="preserve"> (piemēram, CANON COLORADO M5 vai ekvivalents)</w:t>
            </w: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1">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2">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Marka, modelis</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D3">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8">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Ražotājs, valsts</w:t>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DA">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DF">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0">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Atbilst rūpnīcas ražotajiem tehniskajiem nosacījumiem un komplektācijai, atbilst darba un drošības prasībām</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E1">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6">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7">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Ruļļu materiālu apdruka (kanvu un foto tapešu materiāli) vismaz 1600mm platumā</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E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E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Iespēja iekārtā vienlaikus ievietot vismaz 2 vai vairāk materiālus</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EF">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4">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5">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Iespēja apdrukāt materiālus glancētā un mattētā režīmā, arī vienā drukas darbā</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F6">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B">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0FC">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Maksimālā apdrukas izķirtspēja ≥ 1800 DPI</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FD">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2">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3">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Maksimālais drukas ātrums, glancētā režīmā ≥ 150 m²/h</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04">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9">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0A">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Maksimālais drukas ātrums, matētā režīmā ≥ 40 m²/h</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0B">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0">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1">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Automātisks iekārtas ikdienas apkopes risinājums</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12">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7">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8">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Maksimālais ruļļu svars ≥ 40 kg</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19">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E">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1F">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Maksimālais ruļļu diametrs ≥ 200 mm</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2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2.13.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2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Izmantota sertificēta tinte izdruku izvietošanai iekštelpās</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27">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2C">
            <w:pPr>
              <w:jc w:val="cente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3</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c>
          <w:tcPr>
            <w:gridSpan w:val="6"/>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2D">
            <w:pP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Automatizēta foto tapešu un foto kanvu griešanas iekārta </w:t>
            </w:r>
            <w:r w:rsidDel="00000000" w:rsidR="00000000" w:rsidRPr="00000000">
              <w:rPr>
                <w:rFonts w:ascii="Times New Roman" w:cs="Times New Roman" w:eastAsia="Times New Roman" w:hAnsi="Times New Roman"/>
                <w:sz w:val="22"/>
                <w:szCs w:val="22"/>
                <w:rtl w:val="0"/>
              </w:rPr>
              <w:t xml:space="preserve">(piemēram, FOTOBA XLA 170 vai ekvivalents)</w:t>
            </w: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33">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34">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Marka, modelis</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5">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3A">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3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Ražotājs, valsts</w:t>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41">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42">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Atbilst rūpnīcas ražotajiem tehniskajiem nosacījumiem un komplektācijai, atbilst darba un drošības prasībām</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48">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49">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Pilnībā automatizēta ruļļu materiālu griešana</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A">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4F">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0">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Jābūt savienojamībai ar drukas iekārtu un programmatūru</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1">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6">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7">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Iespēja griezt vienlaikus vismaz 2 vai vairākas kopijas blakus</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8">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D">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5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Maksimālais ruļļu platums ≥ 1600 mm</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5F">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4">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5">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Griešanas precizitāte X ass: +/- 0.5mm. Y ass: +/- 0.1mm</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6">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B">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6C">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Maksimālais griešanas ātrums ≥ 15 m/min</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6D">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2">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3.10.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73">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Pašasinoši asmeņi</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4">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9">
            <w:pPr>
              <w:jc w:val="center"/>
              <w:rPr>
                <w:rFonts w:ascii="Calibri" w:cs="Calibri" w:eastAsia="Calibri" w:hAnsi="Calibri"/>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4.</w:t>
            </w:r>
            <w:r w:rsidDel="00000000" w:rsidR="00000000" w:rsidRPr="00000000">
              <w:rPr>
                <w:rtl w:val="0"/>
              </w:rPr>
            </w:r>
          </w:p>
        </w:tc>
        <w:tc>
          <w:tcPr>
            <w:gridSpan w:val="6"/>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7A">
            <w:pPr>
              <w:rPr>
                <w:rFonts w:ascii="Calibri" w:cs="Calibri" w:eastAsia="Calibri" w:hAnsi="Calibri"/>
                <w:sz w:val="22"/>
                <w:szCs w:val="22"/>
              </w:rPr>
            </w:pPr>
            <w:r w:rsidDel="00000000" w:rsidR="00000000" w:rsidRPr="00000000">
              <w:rPr>
                <w:rFonts w:ascii="Times New Roman" w:cs="Times New Roman" w:eastAsia="Times New Roman" w:hAnsi="Times New Roman"/>
                <w:b w:val="1"/>
                <w:bCs w:val="1"/>
                <w:sz w:val="22"/>
                <w:szCs w:val="22"/>
                <w:rtl w:val="0"/>
              </w:rPr>
              <w:t xml:space="preserve">Automatizēta kanvu rāmēšanas un skavošanas iekārta</w:t>
            </w:r>
            <w:r w:rsidDel="00000000" w:rsidR="00000000" w:rsidRPr="00000000">
              <w:rPr>
                <w:rFonts w:ascii="Times New Roman" w:cs="Times New Roman" w:eastAsia="Times New Roman" w:hAnsi="Times New Roman"/>
                <w:sz w:val="22"/>
                <w:szCs w:val="22"/>
                <w:rtl w:val="0"/>
              </w:rPr>
              <w:t xml:space="preserve"> (piemēram, MHP SPEEDFRAMER 160X200 vai ekvivalents)</w:t>
            </w: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0">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1">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Marka, modelis</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2">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7">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Ražotājs, valsts</w:t>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89">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E">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8F">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Atbilst rūpnīcas ražotajiem tehniskajiem nosacījumiem un komplektācijai, atbilst darba un drošības prasībām</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0">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5">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6">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Automatizēta iekārta audeklu skavošanai uz kanvu apakšrāmja, kas spēj secīgi apstrādāt šīs ražošanas līnijas 2. un 3. kompenentes visa saražotā materiāla apjomu (vismaz 200 kanvas stundā 20x20cm izmēram), nodrošinot stabilu caurlaidību atbilstoši iepriekšējo ražošanas posmu jaudai.</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7">
            <w:pPr>
              <w:rPr>
                <w:rFonts w:ascii="Calibri" w:cs="Calibri" w:eastAsia="Calibri" w:hAnsi="Calibri"/>
                <w:sz w:val="22"/>
                <w:szCs w:val="22"/>
              </w:rPr>
            </w:pPr>
            <w:r w:rsidDel="00000000" w:rsidR="00000000" w:rsidRPr="00000000">
              <w:rPr>
                <w:rtl w:val="0"/>
              </w:rPr>
            </w:r>
          </w:p>
        </w:tc>
      </w:tr>
      <w:tr>
        <w:trPr>
          <w:cantSplit w:val="0"/>
          <w:trHeight w:val="1005.1653543307087"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C">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9D">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Nepārtraukti maināmi malu attiecību formāti bez instrumentu izmantošanas, formātu maiņas laiks ne ilgāks kā 5 sekundes.</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9E">
            <w:pPr>
              <w:rPr>
                <w:rFonts w:ascii="Calibri" w:cs="Calibri" w:eastAsia="Calibri" w:hAnsi="Calibri"/>
                <w:sz w:val="22"/>
                <w:szCs w:val="22"/>
              </w:rPr>
            </w:pPr>
            <w:r w:rsidDel="00000000" w:rsidR="00000000" w:rsidRPr="00000000">
              <w:rPr>
                <w:rtl w:val="0"/>
              </w:rPr>
            </w:r>
          </w:p>
        </w:tc>
      </w:tr>
      <w:tr>
        <w:trPr>
          <w:cantSplit w:val="0"/>
          <w:trHeight w:val="1005.1653543307087"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3">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4.6.</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4">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Iespēja vienā ražošanas ciklā saskavot audeklu līdz 12 kanvu apakšrāmjiem.</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5">
            <w:pPr>
              <w:rPr>
                <w:rFonts w:ascii="Calibri" w:cs="Calibri" w:eastAsia="Calibri" w:hAnsi="Calibri"/>
                <w:sz w:val="22"/>
                <w:szCs w:val="22"/>
              </w:rPr>
            </w:pPr>
            <w:r w:rsidDel="00000000" w:rsidR="00000000" w:rsidRPr="00000000">
              <w:rPr>
                <w:rtl w:val="0"/>
              </w:rPr>
            </w:r>
          </w:p>
        </w:tc>
      </w:tr>
      <w:tr>
        <w:trPr>
          <w:cantSplit w:val="0"/>
          <w:trHeight w:val="1005.1653543307087"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A">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A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Jānodrošina audeklu uzvilkšana un skavošana uz kanvu apakšrāmjiem vismaz šādos izmēros:</w:t>
            </w:r>
          </w:p>
          <w:p w:rsidR="00000000" w:rsidDel="00000000" w:rsidP="00000000" w:rsidRDefault="00000000" w:rsidRPr="00000000" w14:paraId="000001A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minimālais izmērs: ne mazāks kā 20 × 20 cm,</w:t>
            </w:r>
          </w:p>
          <w:p w:rsidR="00000000" w:rsidDel="00000000" w:rsidP="00000000" w:rsidRDefault="00000000" w:rsidRPr="00000000" w14:paraId="000001A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maksimālais izmērs: ne mazāks kā 160 × 160cm no visām pusēm un ne mazāks kā 160 x 200cm garākajai kanvas pusei</w:t>
            </w:r>
          </w:p>
          <w:p w:rsidR="00000000" w:rsidDel="00000000" w:rsidP="00000000" w:rsidRDefault="00000000" w:rsidRPr="00000000" w14:paraId="000001AE">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(vai ekvivalents izmēru diapazons, kas nodrošina ne zemāku ražošanas elastību).</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AF">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4">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4.8.</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5">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Automatizēts rāmju biezuma identifikators 15-45mm diapazonā un virsmas pacelšana atbilstošā augstumā.</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6">
            <w:pPr>
              <w:rPr>
                <w:rFonts w:ascii="Calibri" w:cs="Calibri" w:eastAsia="Calibri" w:hAnsi="Calibri"/>
                <w:sz w:val="22"/>
                <w:szCs w:val="22"/>
              </w:rPr>
            </w:pPr>
            <w:r w:rsidDel="00000000" w:rsidR="00000000" w:rsidRPr="00000000">
              <w:rPr>
                <w:rtl w:val="0"/>
              </w:rPr>
            </w:r>
          </w:p>
        </w:tc>
      </w:tr>
      <w:tr>
        <w:trPr>
          <w:cantSplit w:val="0"/>
          <w:trHeight w:val="1005.1653543307087"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B">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BC">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Automatizēta kanvas nostiepšana, vienmērīgs spriegojums visā rāmja perimetrā, atkarībā kanvas audekla stiepšanās un kanvas lieluma. Pieejami vismaz 10 kanvas nostiepšanas stipruma regulējumi, kurus iespējams priekšiestatīt.</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BD">
            <w:pPr>
              <w:rPr>
                <w:rFonts w:ascii="Calibri" w:cs="Calibri" w:eastAsia="Calibri" w:hAnsi="Calibri"/>
                <w:sz w:val="22"/>
                <w:szCs w:val="22"/>
              </w:rPr>
            </w:pPr>
            <w:r w:rsidDel="00000000" w:rsidR="00000000" w:rsidRPr="00000000">
              <w:rPr>
                <w:rtl w:val="0"/>
              </w:rPr>
            </w:r>
          </w:p>
        </w:tc>
      </w:tr>
      <w:tr>
        <w:trPr>
          <w:cantSplit w:val="0"/>
          <w:trHeight w:val="850.3937007874016"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2">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4.10.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3">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Liela tilpuma magazīnas, ne mazāk kā 8000 skavas katrā.</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4">
            <w:pPr>
              <w:rPr>
                <w:rFonts w:ascii="Calibri" w:cs="Calibri" w:eastAsia="Calibri" w:hAnsi="Calibri"/>
                <w:sz w:val="22"/>
                <w:szCs w:val="22"/>
              </w:rPr>
            </w:pPr>
            <w:r w:rsidDel="00000000" w:rsidR="00000000" w:rsidRPr="00000000">
              <w:rPr>
                <w:rtl w:val="0"/>
              </w:rPr>
            </w:r>
          </w:p>
        </w:tc>
      </w:tr>
      <w:tr>
        <w:trPr>
          <w:cantSplit w:val="0"/>
          <w:trHeight w:val="1005.1653543307087"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9">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4.11.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CA">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Automatizēta skavu pozicionēšana atbilstoši rāmja izmēram.</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CB">
            <w:pPr>
              <w:rPr>
                <w:rFonts w:ascii="Calibri" w:cs="Calibri" w:eastAsia="Calibri" w:hAnsi="Calibri"/>
                <w:sz w:val="22"/>
                <w:szCs w:val="22"/>
              </w:rPr>
            </w:pPr>
            <w:r w:rsidDel="00000000" w:rsidR="00000000" w:rsidRPr="00000000">
              <w:rPr>
                <w:rtl w:val="0"/>
              </w:rPr>
            </w:r>
          </w:p>
        </w:tc>
      </w:tr>
      <w:tr>
        <w:trPr>
          <w:cantSplit w:val="0"/>
          <w:trHeight w:val="1005.1653543307087"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D0">
            <w:pPr>
              <w:jc w:val="cente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4.12.</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40.0" w:type="dxa"/>
              <w:bottom w:w="0.0" w:type="dxa"/>
              <w:right w:w="40.0" w:type="dxa"/>
            </w:tcMar>
            <w:vAlign w:val="center"/>
          </w:tcPr>
          <w:p w:rsidR="00000000" w:rsidDel="00000000" w:rsidP="00000000" w:rsidRDefault="00000000" w:rsidRPr="00000000" w14:paraId="000001D1">
            <w:pPr>
              <w:rPr>
                <w:rFonts w:ascii="Calibri" w:cs="Calibri" w:eastAsia="Calibri" w:hAnsi="Calibri"/>
                <w:sz w:val="22"/>
                <w:szCs w:val="22"/>
              </w:rPr>
            </w:pPr>
            <w:r w:rsidDel="00000000" w:rsidR="00000000" w:rsidRPr="00000000">
              <w:rPr>
                <w:rFonts w:ascii="Times New Roman" w:cs="Times New Roman" w:eastAsia="Times New Roman" w:hAnsi="Times New Roman"/>
                <w:sz w:val="22"/>
                <w:szCs w:val="22"/>
                <w:rtl w:val="0"/>
              </w:rPr>
              <w:t xml:space="preserve">Audeklu uzvilkšana uz dažādu formātu audeklu apakšrāmjiem - multi paneļu kanvu izgatavošanai. Vienā ciklā iekārtai jāspēj uzvilkt dažādu garumu, bet vienāda platuma kanvas.</w:t>
            </w:r>
            <w:r w:rsidDel="00000000" w:rsidR="00000000" w:rsidRPr="00000000">
              <w:rPr>
                <w:rtl w:val="0"/>
              </w:rPr>
            </w:r>
          </w:p>
        </w:tc>
        <w:tc>
          <w:tcPr>
            <w:gridSpan w:val="5"/>
            <w:tcBorders>
              <w:top w:color="000000" w:space="0" w:sz="0" w:val="nil"/>
              <w:left w:color="000000" w:space="0" w:sz="0" w:val="nil"/>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D2">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D7">
      <w:pPr>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D8">
      <w:pPr>
        <w:ind w:left="0" w:firstLine="0"/>
        <w:jc w:val="both"/>
        <w:rPr>
          <w:rFonts w:ascii="Times New Roman" w:cs="Times New Roman" w:eastAsia="Times New Roman" w:hAnsi="Times New Roman"/>
          <w:b w:val="1"/>
          <w:bCs w:val="1"/>
          <w:sz w:val="22"/>
          <w:szCs w:val="22"/>
          <w:highlight w:val="yellow"/>
        </w:rPr>
      </w:pPr>
      <w:r w:rsidDel="00000000" w:rsidR="00000000" w:rsidRPr="00000000">
        <w:rPr>
          <w:rFonts w:ascii="Times New Roman" w:cs="Times New Roman" w:eastAsia="Times New Roman" w:hAnsi="Times New Roman"/>
          <w:b w:val="1"/>
          <w:bCs w:val="1"/>
          <w:sz w:val="22"/>
          <w:szCs w:val="22"/>
          <w:rtl w:val="0"/>
        </w:rPr>
        <w:t xml:space="preserve">Kopā saņemtie punkti: </w:t>
      </w:r>
      <w:r w:rsidDel="00000000" w:rsidR="00000000" w:rsidRPr="00000000">
        <w:rPr>
          <w:rFonts w:ascii="Times New Roman" w:cs="Times New Roman" w:eastAsia="Times New Roman" w:hAnsi="Times New Roman"/>
          <w:b w:val="1"/>
          <w:bCs w:val="1"/>
          <w:sz w:val="22"/>
          <w:szCs w:val="22"/>
          <w:highlight w:val="yellow"/>
          <w:rtl w:val="0"/>
        </w:rPr>
        <w:t xml:space="preserve">[skaits]</w:t>
      </w:r>
    </w:p>
    <w:p w:rsidR="00000000" w:rsidDel="00000000" w:rsidP="00000000" w:rsidRDefault="00000000" w:rsidRPr="00000000" w14:paraId="000001D9">
      <w:pPr>
        <w:numPr>
          <w:ilvl w:val="0"/>
          <w:numId w:val="2"/>
        </w:numPr>
        <w:spacing w:after="0" w:afterAutospacing="0"/>
        <w:ind w:left="425.19685039370086" w:hanging="36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w:t>
      </w:r>
      <w:r w:rsidDel="00000000" w:rsidR="00000000" w:rsidRPr="00000000">
        <w:rPr>
          <w:rFonts w:ascii="Times New Roman" w:cs="Times New Roman" w:eastAsia="Times New Roman" w:hAnsi="Times New Roman"/>
          <w:b w:val="1"/>
          <w:bCs w:val="1"/>
          <w:sz w:val="22"/>
          <w:szCs w:val="22"/>
          <w:rtl w:val="0"/>
        </w:rPr>
        <w:t xml:space="preserve">tbilst tehniskās specifikācijas prasībām</w:t>
      </w:r>
    </w:p>
    <w:p w:rsidR="00000000" w:rsidDel="00000000" w:rsidP="00000000" w:rsidRDefault="00000000" w:rsidRPr="00000000" w14:paraId="000001DA">
      <w:pPr>
        <w:numPr>
          <w:ilvl w:val="0"/>
          <w:numId w:val="2"/>
        </w:numPr>
        <w:ind w:left="425.19685039370086" w:hanging="360"/>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Neatbilst tehniskās specifikācijas prasībām, tādējādi izslēgts no tālākā izvērtējuma</w:t>
      </w:r>
    </w:p>
    <w:p w:rsidR="00000000" w:rsidDel="00000000" w:rsidP="00000000" w:rsidRDefault="00000000" w:rsidRPr="00000000" w14:paraId="000001DB">
      <w:pPr>
        <w:ind w:left="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DC">
      <w:pPr>
        <w:ind w:left="0" w:firstLine="0"/>
        <w:jc w:val="both"/>
        <w:rPr>
          <w:rFonts w:ascii="Times New Roman" w:cs="Times New Roman" w:eastAsia="Times New Roman" w:hAnsi="Times New Roman"/>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DD">
      <w:pPr>
        <w:ind w:left="0" w:firstLine="0"/>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VĒRTĒJUMS</w:t>
      </w:r>
    </w:p>
    <w:p w:rsidR="00000000" w:rsidDel="00000000" w:rsidP="00000000" w:rsidRDefault="00000000" w:rsidRPr="00000000" w14:paraId="000001DE">
      <w:pPr>
        <w:ind w:left="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Pretendenta piedāvajums ir </w:t>
      </w:r>
      <w:r w:rsidDel="00000000" w:rsidR="00000000" w:rsidRPr="00000000">
        <w:rPr>
          <w:rFonts w:ascii="Times New Roman" w:cs="Times New Roman" w:eastAsia="Times New Roman" w:hAnsi="Times New Roman"/>
          <w:sz w:val="22"/>
          <w:szCs w:val="22"/>
          <w:highlight w:val="yellow"/>
          <w:rtl w:val="0"/>
        </w:rPr>
        <w:t xml:space="preserve">[atbilstošs / neatbilstošs]</w:t>
      </w:r>
      <w:r w:rsidDel="00000000" w:rsidR="00000000" w:rsidRPr="00000000">
        <w:rPr>
          <w:rFonts w:ascii="Times New Roman" w:cs="Times New Roman" w:eastAsia="Times New Roman" w:hAnsi="Times New Roman"/>
          <w:sz w:val="22"/>
          <w:szCs w:val="22"/>
          <w:rtl w:val="0"/>
        </w:rPr>
        <w:t xml:space="preserve"> nolikumam, atlases kritērijiem un tehniskajām prasībam. Pēc izvērtējuma kopa saņemti </w:t>
      </w:r>
      <w:r w:rsidDel="00000000" w:rsidR="00000000" w:rsidRPr="00000000">
        <w:rPr>
          <w:rFonts w:ascii="Times New Roman" w:cs="Times New Roman" w:eastAsia="Times New Roman" w:hAnsi="Times New Roman"/>
          <w:sz w:val="22"/>
          <w:szCs w:val="22"/>
          <w:highlight w:val="yellow"/>
          <w:rtl w:val="0"/>
        </w:rPr>
        <w:t xml:space="preserve">[skaits]</w:t>
      </w:r>
      <w:r w:rsidDel="00000000" w:rsidR="00000000" w:rsidRPr="00000000">
        <w:rPr>
          <w:rFonts w:ascii="Times New Roman" w:cs="Times New Roman" w:eastAsia="Times New Roman" w:hAnsi="Times New Roman"/>
          <w:sz w:val="22"/>
          <w:szCs w:val="22"/>
          <w:rtl w:val="0"/>
        </w:rPr>
        <w:t xml:space="preserve"> punkti (V=C+K).</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566" w:top="566" w:left="566" w:right="566"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Verdana"/>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ind w:left="720" w:firstLine="720"/>
      <w:jc w:val="center"/>
      <w:rPr>
        <w:rFonts w:ascii="Verdana" w:cs="Verdana" w:eastAsia="Verdana" w:hAnsi="Verdana"/>
        <w:i w:val="1"/>
        <w:iCs w:val="1"/>
        <w:color w:val="999999"/>
        <w:sz w:val="12"/>
        <w:szCs w:val="12"/>
      </w:rPr>
    </w:pPr>
    <w:r w:rsidDel="00000000" w:rsidR="00000000" w:rsidRPr="00000000">
      <w:rPr>
        <w:rtl w:val="0"/>
      </w:rPr>
    </w:r>
  </w:p>
  <w:p w:rsidR="00000000" w:rsidDel="00000000" w:rsidP="00000000" w:rsidRDefault="00000000" w:rsidRPr="00000000" w14:paraId="000001E2">
    <w:pPr>
      <w:ind w:left="720" w:firstLine="720"/>
      <w:jc w:val="center"/>
      <w:rPr>
        <w:i w:val="1"/>
        <w:iCs w:val="1"/>
        <w:color w:val="999999"/>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F">
    <w:pPr>
      <w:spacing w:after="300" w:before="150" w:lineRule="auto"/>
      <w:rPr/>
    </w:pPr>
    <w:bookmarkStart w:colFirst="0" w:colLast="0" w:name="_heading=h.1fob9te" w:id="1"/>
    <w:bookmarkEnd w:id="1"/>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0">
    <w:pPr>
      <w:spacing w:after="300" w:before="150" w:lineRule="auto"/>
      <w:jc w:val="left"/>
      <w:rPr>
        <w:rFonts w:ascii="Times New Roman" w:cs="Times New Roman" w:eastAsia="Times New Roman" w:hAnsi="Times New Roman"/>
        <w:b w:val="1"/>
        <w:bCs w:val="1"/>
        <w:color w:val="1155cc"/>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lv"/>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9B64C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B64C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B64C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9B64C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9B64C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9B64C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9B64C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9B64C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9B64C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B64C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B64C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B64C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B64C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B64C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B64C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B64C3"/>
    <w:rPr>
      <w:i w:val="1"/>
      <w:iCs w:val="1"/>
      <w:color w:val="404040" w:themeColor="text1" w:themeTint="0000BF"/>
    </w:rPr>
  </w:style>
  <w:style w:type="paragraph" w:styleId="ListParagraph">
    <w:name w:val="List Paragraph"/>
    <w:basedOn w:val="Normal"/>
    <w:uiPriority w:val="34"/>
    <w:qFormat w:val="1"/>
    <w:rsid w:val="009B64C3"/>
    <w:pPr>
      <w:ind w:left="720"/>
      <w:contextualSpacing w:val="1"/>
    </w:pPr>
  </w:style>
  <w:style w:type="character" w:styleId="IntenseEmphasis">
    <w:name w:val="Intense Emphasis"/>
    <w:basedOn w:val="DefaultParagraphFont"/>
    <w:uiPriority w:val="21"/>
    <w:qFormat w:val="1"/>
    <w:rsid w:val="009B64C3"/>
    <w:rPr>
      <w:i w:val="1"/>
      <w:iCs w:val="1"/>
      <w:color w:val="0f4761" w:themeColor="accent1" w:themeShade="0000BF"/>
    </w:rPr>
  </w:style>
  <w:style w:type="paragraph" w:styleId="IntenseQuote">
    <w:name w:val="Intense Quote"/>
    <w:basedOn w:val="Normal"/>
    <w:next w:val="Normal"/>
    <w:link w:val="IntenseQuoteChar"/>
    <w:uiPriority w:val="30"/>
    <w:qFormat w:val="1"/>
    <w:rsid w:val="009B64C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9B64C3"/>
    <w:rPr>
      <w:i w:val="1"/>
      <w:iCs w:val="1"/>
      <w:color w:val="0f4761" w:themeColor="accent1" w:themeShade="0000BF"/>
    </w:rPr>
  </w:style>
  <w:style w:type="character" w:styleId="IntenseReference">
    <w:name w:val="Intense Reference"/>
    <w:basedOn w:val="DefaultParagraphFont"/>
    <w:uiPriority w:val="32"/>
    <w:qFormat w:val="1"/>
    <w:rsid w:val="009B64C3"/>
    <w:rPr>
      <w:b w:val="1"/>
      <w:bCs w:val="1"/>
      <w:smallCaps w:val="1"/>
      <w:color w:val="0f4761" w:themeColor="accent1" w:themeShade="0000BF"/>
      <w:spacing w:val="5"/>
    </w:rPr>
  </w:style>
  <w:style w:type="paragraph" w:styleId="Header">
    <w:name w:val="header"/>
    <w:basedOn w:val="Normal"/>
    <w:link w:val="HeaderChar"/>
    <w:uiPriority w:val="99"/>
    <w:unhideWhenUsed w:val="1"/>
    <w:rsid w:val="0001778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17789"/>
  </w:style>
  <w:style w:type="paragraph" w:styleId="Footer">
    <w:name w:val="footer"/>
    <w:basedOn w:val="Normal"/>
    <w:link w:val="FooterChar"/>
    <w:uiPriority w:val="99"/>
    <w:unhideWhenUsed w:val="1"/>
    <w:rsid w:val="0001778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17789"/>
  </w:style>
  <w:style w:type="table" w:styleId="TableGrid">
    <w:name w:val="Table Grid"/>
    <w:basedOn w:val="TableNormal"/>
    <w:uiPriority w:val="59"/>
    <w:rsid w:val="00017789"/>
    <w:pPr>
      <w:spacing w:after="0" w:line="240" w:lineRule="auto"/>
    </w:pPr>
    <w:rPr>
      <w:rFonts w:eastAsiaTheme="minorEastAsia"/>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
    <w:basedOn w:val="Normal"/>
    <w:link w:val="FootnoteTextChar"/>
    <w:uiPriority w:val="99"/>
    <w:unhideWhenUsed w:val="1"/>
    <w:rsid w:val="00017789"/>
    <w:pPr>
      <w:spacing w:after="0" w:line="240" w:lineRule="auto"/>
    </w:pPr>
    <w:rPr>
      <w:sz w:val="20"/>
      <w:szCs w:val="20"/>
      <w:lang w:val="lv-LV"/>
    </w:rPr>
  </w:style>
  <w:style w:type="character" w:styleId="FootnoteTextChar" w:customStyle="1">
    <w:name w:val="Footnote Text Char"/>
    <w:aliases w:val=" 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017789"/>
    <w:rPr>
      <w:kern w:val="0"/>
      <w:sz w:val="20"/>
      <w:szCs w:val="20"/>
      <w:lang w:val="lv-LV"/>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basedOn w:val="DefaultParagraphFont"/>
    <w:uiPriority w:val="99"/>
    <w:unhideWhenUsed w:val="1"/>
    <w:qFormat w:val="1"/>
    <w:rsid w:val="00017789"/>
    <w:rPr>
      <w:vertAlign w:val="superscript"/>
    </w:rPr>
  </w:style>
  <w:style w:type="character" w:styleId="PlaceholderText">
    <w:name w:val="Placeholder Text"/>
    <w:basedOn w:val="DefaultParagraphFont"/>
    <w:uiPriority w:val="99"/>
    <w:semiHidden w:val="1"/>
    <w:rsid w:val="00017789"/>
    <w:rPr>
      <w:rFonts w:ascii="Segoe UI" w:cs="Segoe UI" w:hAnsi="Segoe UI"/>
      <w:i w:val="1"/>
      <w:color w:val="800000"/>
    </w:rPr>
  </w:style>
  <w:style w:type="character" w:styleId="DataStyle" w:customStyle="1">
    <w:name w:val="DataStyle"/>
    <w:basedOn w:val="DefaultParagraphFont"/>
    <w:qFormat w:val="1"/>
    <w:rsid w:val="00017789"/>
    <w:rPr>
      <w:color w:val="000080"/>
      <w:sz w:val="24"/>
      <w:szCs w:val="24"/>
      <w:u w:val="single"/>
    </w:rPr>
  </w:style>
  <w:style w:type="table" w:styleId="a" w:customStyle="1">
    <w:basedOn w:val="TableNormal"/>
    <w:pPr>
      <w:spacing w:after="0" w:line="240" w:lineRule="auto"/>
    </w:pPr>
    <w:rPr>
      <w:sz w:val="22"/>
      <w:szCs w:val="22"/>
    </w:rPr>
    <w:tblPr>
      <w:tblStyleRowBandSize w:val="1"/>
      <w:tblStyleColBandSize w:val="1"/>
    </w:tblPr>
  </w:style>
  <w:style w:type="table" w:styleId="a0" w:customStyle="1">
    <w:basedOn w:val="TableNormal"/>
    <w:pPr>
      <w:spacing w:after="0" w:line="240" w:lineRule="auto"/>
    </w:pPr>
    <w:rPr>
      <w:sz w:val="22"/>
      <w:szCs w:val="22"/>
    </w:rPr>
    <w:tblPr>
      <w:tblStyleRowBandSize w:val="1"/>
      <w:tblStyleColBandSize w:val="1"/>
    </w:tblPr>
  </w:style>
  <w:style w:type="table" w:styleId="a1" w:customStyle="1">
    <w:basedOn w:val="TableNormal"/>
    <w:pPr>
      <w:spacing w:after="0" w:line="240" w:lineRule="auto"/>
    </w:pPr>
    <w:rPr>
      <w:sz w:val="22"/>
      <w:szCs w:val="22"/>
    </w:rPr>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pPr>
      <w:spacing w:after="0" w:line="240" w:lineRule="auto"/>
    </w:pPr>
    <w:rPr>
      <w:sz w:val="22"/>
      <w:szCs w:val="22"/>
    </w:rPr>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pPr>
      <w:spacing w:after="0" w:line="240" w:lineRule="auto"/>
    </w:pPr>
    <w:rPr>
      <w:sz w:val="22"/>
      <w:szCs w:val="22"/>
    </w:rPr>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Pr>
  </w:style>
  <w:style w:type="table" w:styleId="aa" w:customStyle="1">
    <w:basedOn w:val="TableNormal"/>
    <w:pPr>
      <w:spacing w:after="0" w:line="240" w:lineRule="auto"/>
    </w:pPr>
    <w:rPr>
      <w:sz w:val="22"/>
      <w:szCs w:val="22"/>
    </w:rPr>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pPr>
      <w:spacing w:after="0" w:line="240" w:lineRule="auto"/>
    </w:pPr>
    <w:rPr>
      <w:sz w:val="22"/>
      <w:szCs w:val="22"/>
    </w:rPr>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pPr>
      <w:spacing w:after="0" w:line="240" w:lineRule="auto"/>
    </w:pPr>
    <w:rPr>
      <w:sz w:val="22"/>
      <w:szCs w:val="22"/>
    </w:rPr>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Pr>
  </w:style>
  <w:style w:type="table" w:styleId="af3" w:customStyle="1">
    <w:basedOn w:val="TableNormal"/>
    <w:pPr>
      <w:spacing w:after="0" w:line="240" w:lineRule="auto"/>
    </w:pPr>
    <w:rPr>
      <w:sz w:val="22"/>
      <w:szCs w:val="22"/>
    </w:rPr>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pPr>
      <w:spacing w:after="0" w:line="240" w:lineRule="auto"/>
    </w:pPr>
    <w:rPr>
      <w:sz w:val="22"/>
      <w:szCs w:val="22"/>
    </w:rPr>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pPr>
      <w:spacing w:after="0" w:line="240" w:lineRule="auto"/>
    </w:pPr>
    <w:rPr>
      <w:sz w:val="22"/>
      <w:szCs w:val="22"/>
    </w:rPr>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Pr>
  </w:style>
  <w:style w:type="table" w:styleId="afc" w:customStyle="1">
    <w:basedOn w:val="TableNormal"/>
    <w:pPr>
      <w:spacing w:after="0" w:line="240" w:lineRule="auto"/>
    </w:pPr>
    <w:rPr>
      <w:sz w:val="22"/>
      <w:szCs w:val="22"/>
    </w:rPr>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cDyzhyduq6mFO8gwtcdUqMWsWQ==">CgMxLjAaHwoBMBIaChgICVIUChJ0YWJsZS50cTAwZGh1d3ZhZ2gaHwoBMRIaChgICVIUChJ0YWJsZS5xam83NDljY2FxcXkaHwoBMhIaChgICVIUChJ0YWJsZS5neXc1Z2w1aGg3NzcyCGguZ2pkZ3hzMgloLjFmb2I5dGU4AHIhMXpNVUZnZW1qamtucDJiOWVHd2VnUnNBUFE1QTV0SFNi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2025-02-10T18:56:00Z</dcterms:created>
  <dc:creator>Inese Andersone</dc:creator>
</cp:coreProperties>
</file>