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6300" w:right="50" w:hanging="902.0000000000005"/>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APSTIPRINĀTS  </w:t>
      </w:r>
    </w:p>
    <w:p w:rsidR="00000000" w:rsidDel="00000000" w:rsidP="00000000" w:rsidRDefault="00000000" w:rsidRPr="00000000" w14:paraId="00000002">
      <w:pPr>
        <w:spacing w:after="0" w:lineRule="auto"/>
        <w:ind w:left="3960" w:right="50" w:hanging="901.999999999999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“NS ESTATE”</w:t>
      </w:r>
    </w:p>
    <w:p w:rsidR="00000000" w:rsidDel="00000000" w:rsidP="00000000" w:rsidRDefault="00000000" w:rsidRPr="00000000" w14:paraId="00000003">
      <w:pPr>
        <w:spacing w:after="0" w:lineRule="auto"/>
        <w:ind w:left="10" w:right="47"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2025.gada 21.novembrī iepirkuma komisijas sēdē  </w:t>
      </w:r>
    </w:p>
    <w:p w:rsidR="00000000" w:rsidDel="00000000" w:rsidP="00000000" w:rsidRDefault="00000000" w:rsidRPr="00000000" w14:paraId="00000004">
      <w:pPr>
        <w:spacing w:after="0" w:lineRule="auto"/>
        <w:ind w:left="10" w:right="47"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(Protokols Nr. 2025-1) </w:t>
      </w:r>
      <w:r w:rsidDel="00000000" w:rsidR="00000000" w:rsidRPr="00000000">
        <w:rPr>
          <w:rtl w:val="0"/>
        </w:rPr>
      </w:r>
    </w:p>
    <w:p w:rsidR="00000000" w:rsidDel="00000000" w:rsidP="00000000" w:rsidRDefault="00000000" w:rsidRPr="00000000" w14:paraId="00000005">
      <w:pPr>
        <w:spacing w:after="1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006">
      <w:pPr>
        <w:spacing w:after="17"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007">
      <w:pPr>
        <w:spacing w:after="61" w:lineRule="auto"/>
        <w:ind w:left="16" w:right="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Atklāts konkurss   </w:t>
      </w:r>
    </w:p>
    <w:p w:rsidR="00000000" w:rsidDel="00000000" w:rsidP="00000000" w:rsidRDefault="00000000" w:rsidRPr="00000000" w14:paraId="00000008">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“Inovatīva un augstvērtīga olbaltumvielu zivju produkta izstrāde ar optimizētu sastāvu enerģijas uzturēšanai un veselības stiprināšanai”</w:t>
      </w:r>
    </w:p>
    <w:p w:rsidR="00000000" w:rsidDel="00000000" w:rsidP="00000000" w:rsidRDefault="00000000" w:rsidRPr="00000000" w14:paraId="00000009">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Projekta Nr. 1.2.1.1/3/25/A/022</w:t>
      </w:r>
    </w:p>
    <w:p w:rsidR="00000000" w:rsidDel="00000000" w:rsidP="00000000" w:rsidRDefault="00000000" w:rsidRPr="00000000" w14:paraId="0000000A">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Iepirkuma ID Nr. NS 2025/1 ERAF</w:t>
      </w:r>
    </w:p>
    <w:p w:rsidR="00000000" w:rsidDel="00000000" w:rsidP="00000000" w:rsidRDefault="00000000" w:rsidRPr="00000000" w14:paraId="0000000B">
      <w:pPr>
        <w:spacing w:after="17" w:lineRule="auto"/>
        <w:ind w:right="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C">
      <w:pPr>
        <w:spacing w:after="16" w:lineRule="auto"/>
        <w:ind w:right="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D">
      <w:pPr>
        <w:pStyle w:val="Heading1"/>
        <w:spacing w:after="16" w:lineRule="auto"/>
        <w:rPr>
          <w:rFonts w:ascii="Times New Roman" w:cs="Times New Roman" w:eastAsia="Times New Roman" w:hAnsi="Times New Roman"/>
          <w:sz w:val="24"/>
          <w:szCs w:val="24"/>
        </w:rPr>
      </w:pPr>
      <w:r w:rsidDel="00000000" w:rsidR="00000000" w:rsidRPr="00000000">
        <w:rPr>
          <w:rtl w:val="0"/>
        </w:rPr>
        <w:t xml:space="preserve">NOLIKUMS </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0E">
      <w:pPr>
        <w:spacing w:after="61" w:lineRule="auto"/>
        <w:ind w:right="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Style w:val="Heading1"/>
        <w:numPr>
          <w:ilvl w:val="0"/>
          <w:numId w:val="2"/>
        </w:numPr>
        <w:ind w:left="720" w:right="264" w:hanging="360"/>
        <w:jc w:val="left"/>
        <w:rPr>
          <w:sz w:val="22"/>
          <w:szCs w:val="22"/>
        </w:rPr>
      </w:pPr>
      <w:r w:rsidDel="00000000" w:rsidR="00000000" w:rsidRPr="00000000">
        <w:rPr>
          <w:sz w:val="22"/>
          <w:szCs w:val="22"/>
          <w:rtl w:val="0"/>
        </w:rPr>
        <w:t xml:space="preserve">VISPĀRĪGĀ INFORMĀCIJA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Iepirkuma procedūras veids, nosaukums, identifikācijas numurs: </w:t>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procedūra ir atklāts konkurss (turpmāk – Atklāts konkurss) tiek rīkota saskaņā ar Publisko iepirkumu likumu (turpmāk – PIL), Ministru kabineta 2017.gada 28.februāra noteikumiem Nr. 107 “Iepirkuma procedūru un metu konkursa norises kārtība ( turpmāk  - MK noteikumi) un šo nolikumu. </w:t>
      </w:r>
    </w:p>
    <w:p w:rsidR="00000000" w:rsidDel="00000000" w:rsidP="00000000" w:rsidRDefault="00000000" w:rsidRPr="00000000" w14:paraId="00000013">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rtl w:val="0"/>
        </w:rPr>
        <w:t xml:space="preserve">Iepirkuma procedūras nosaukums un identifikācijas numurs: </w:t>
      </w:r>
      <w:r w:rsidDel="00000000" w:rsidR="00000000" w:rsidRPr="00000000">
        <w:rPr>
          <w:rFonts w:ascii="Times New Roman" w:cs="Times New Roman" w:eastAsia="Times New Roman" w:hAnsi="Times New Roman"/>
          <w:b w:val="1"/>
          <w:bCs w:val="1"/>
          <w:rtl w:val="0"/>
        </w:rPr>
        <w:t xml:space="preserve">“Inovatīva un augstvērtīga olbaltumvielu zivju produkta izstrāde ar optimizētu sastāvu enerģijas uzturēšanai un veselības stiprināšanai” ID Nr. NS 2025/1 ERAF</w:t>
      </w:r>
      <w:r w:rsidDel="00000000" w:rsidR="00000000" w:rsidRPr="00000000">
        <w:rPr>
          <w:rtl w:val="0"/>
        </w:rPr>
      </w:r>
    </w:p>
    <w:p w:rsidR="00000000" w:rsidDel="00000000" w:rsidP="00000000" w:rsidRDefault="00000000" w:rsidRPr="00000000" w14:paraId="00000014">
      <w:pPr>
        <w:spacing w:after="0" w:before="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Pasūtītājs:</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SIA “NS ESTATE”, reģistrācijas nr.</w:t>
      </w:r>
      <w:r w:rsidDel="00000000" w:rsidR="00000000" w:rsidRPr="00000000">
        <w:rPr>
          <w:rFonts w:ascii="Times New Roman" w:cs="Times New Roman" w:eastAsia="Times New Roman" w:hAnsi="Times New Roman"/>
          <w:b w:val="0"/>
          <w:bCs w:val="0"/>
          <w:i w:val="0"/>
          <w:iCs w:val="0"/>
          <w:smallCaps w:val="0"/>
          <w:strike w:val="0"/>
          <w:color w:val="191919"/>
          <w:sz w:val="22"/>
          <w:szCs w:val="22"/>
          <w:u w:val="none"/>
          <w:shd w:fill="auto" w:val="clear"/>
          <w:vertAlign w:val="baseline"/>
          <w:rtl w:val="0"/>
        </w:rPr>
        <w:t xml:space="preserve"> 40103845006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adrese: Dienvidkurzemes nov., Nīcas pag., Nīca, "Avoti", LV-3473 (turpmāka- Pasūtītājs)</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Kontaktpersona: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Olga Hārdinga, od@zalakaipsaulei.lv</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Iepirkuma priekšmets: </w:t>
      </w:r>
    </w:p>
    <w:p w:rsidR="00000000" w:rsidDel="00000000" w:rsidP="00000000" w:rsidRDefault="00000000" w:rsidRPr="00000000" w14:paraId="0000001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priekšmets ir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zejvielas projekta vajadzībām (saskaņā ar nolikuma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ID Nr. NS 2025/1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ERAF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Pielikumu Nr.2),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epirkuma priekšmets ir sadalīts 7 lotēs: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1 – Augu olbaltum</w:t>
      </w:r>
      <w:r w:rsidDel="00000000" w:rsidR="00000000" w:rsidRPr="00000000">
        <w:rPr>
          <w:rFonts w:ascii="Times New Roman" w:cs="Times New Roman" w:eastAsia="Times New Roman" w:hAnsi="Times New Roman"/>
          <w:rtl w:val="0"/>
        </w:rPr>
        <w:t xml:space="preserv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2 – Stabilizētāju sistēma (1)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3 – Stabilizētāju sistēma (2)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4 – Panēšanas sistēma (1)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5 – Panēšanas sistēma (2)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6 – Panēšanas sistēma (3)</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Lote 7 – Diētiskās šķiedrvielas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etalizētas prasības skatīt Nolikuma 2. pielikumā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Tehniskā specifikācija.”</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Iepirkums tiek daļēji finansēts līguma ar Latvijas Centrālās finanšu un līgumu aģentūru par atbalsta saņemšanu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ietvaros, projekta līguma Nr. 1.2.1.1/3/25/A/022.</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nomenklatūra: (CPV kodi)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24956000-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0</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var iesniegt tikai 1 (vienu) piedāvājuma variantu par vienu vai vairākām lotēm, vai par visām iepirkuma priekšmeta daļām. </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līguma izpildes laiks: ir saskaņā ar tehnisko specifikāciju, bet ne ilgāk kā 2 mēneši no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līguma parakstīšanas dienas.  </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Līguma izpildes vieta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piegāde): </w:t>
      </w:r>
      <w:r w:rsidDel="00000000" w:rsidR="00000000" w:rsidRPr="00000000">
        <w:rPr>
          <w:rFonts w:ascii="Times New Roman" w:cs="Times New Roman" w:eastAsia="Times New Roman" w:hAnsi="Times New Roman"/>
          <w:color w:val="222222"/>
          <w:rtl w:val="0"/>
        </w:rPr>
        <w:t xml:space="preserve">Dienvidkurzemes novads, Nīcas pagasts, Nīca, "Avoti", LV-3473</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Paredzamā līgumcena: </w:t>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Paredzamā līgumcena ir 86928 EUR bez PVN (astoņdesmit seši tūkstoši deviņi simti divdesmit astoņi eiro, 00 centi). </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Paredzamā līgumcena ir atbilstības prasība PIL 41.panta vienpadsmitās daļas 1.punkta izpratnē.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Informācijas apmaiņas kārtība:</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Pasūtītājs nodrošina brīvu un tiešu elektronisko pieeju visai aktuālajai informācijai par Iepirkumu, t.sk. nolikumam, nolikuma grozījumiem un atbildēm uz ieinteresēto piegādātāju jautājumiem, iepirkumu uzraudzības biroja mājas lapā. </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Ieinteresētais piegādātājs Iepirkuma nolikumu un ar to saistīto dokumentāciju var saņemt, to lejupielādējot elektroniskā formātā iepirkumu uzraudzības biroja mājas lapā. </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Saziņa starp pasūtītāju un ieinteresētajiem piegādātajiem iepirkuma procedūras ietvaros notiek latviešu valodā PIL noteiktajā kārtībā.</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Ieinteresētais piegādātājs jautājumus par nolikumu uzdod rakstiskā veidā, izmantojot iepirkumu uzraudzības biroja mājas lapu.</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Jebkura papildu informācija, kas tiks sniegta saistībā ar šo iepirkuma procedūru, tiks publicēta iepirkumu uzraudzības biroja mājas lapā. Ieinteresētajam piegādātājam ir pienākums sekot līdzi publicētajai informācijai. Iepirkuma komisija nav atbildīga par to, ja ka kāds ieinteresētais piegādātājs nav iepazinies ar informāciju, kurai nodrošināta brīva un elektroniska pieeja.</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ieinteresētais piegādātājs ir laikus pieprasījis papildu informāciju par iepirkuma procedūras dokumentos iekļautajām prasībām attiecībā uz piedāvājumu sagatavošanu un iesniegšanu vai pretendenta atlasi, pasūtītājs to sniedz 5 (piecu) darba dienu laikā, bet ne vēlāk kā 6 (sešas) dienas pirms piedāvājuma iesniegšanas beigām. </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Papildus informāciju pasūtītājs nosūta ieinteresētajam piegādātājam, kas uzdevis jautājumu, un vienlaikus ievieto šo informāciju iepirkumu uzraudzības biroja mājas lapā.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Piedāvājuma iesniegšana laiks un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kārtība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Ieinteresētais piegādātājs piedāvājumu iesniedz līdz </w:t>
      </w:r>
      <w:r w:rsidDel="00000000" w:rsidR="00000000" w:rsidRPr="00000000">
        <w:rPr>
          <w:rFonts w:ascii="Times New Roman" w:cs="Times New Roman" w:eastAsia="Times New Roman" w:hAnsi="Times New Roman"/>
          <w:b w:val="0"/>
          <w:bCs w:val="0"/>
          <w:i w:val="0"/>
          <w:iCs w:val="0"/>
          <w:smallCaps w:val="0"/>
          <w:strike w:val="0"/>
          <w:color w:val="ee0000"/>
          <w:sz w:val="22"/>
          <w:szCs w:val="22"/>
          <w:u w:val="none"/>
          <w:shd w:fill="auto" w:val="clear"/>
          <w:vertAlign w:val="baseline"/>
          <w:rtl w:val="0"/>
        </w:rPr>
        <w:t xml:space="preserve">2025.gada 28.decembrim plkst.10.00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sūtot e-pastā uz adresi od@zalakaipasaulei.lv.</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Pēc noteiktā termiņa iesniegtie piedāvājumi tiks atzīti par neatbilstošiem Iepirkuma Konkursa nolikuma prasībām un netiks vērtēti.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Piedāvājumu grozīšana un atsaukšana </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līdz piedāvājumu iesniegšanas termiņa beigām var atsaukt savu piedāvājumu, iesniedzot iepirkuma komisijai paziņojumu. Paziņojumu iesniedz, to sūtot uz e-pastu od@zalakaipasaulei.lv.</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līdz piedāvājumu iesniegšanas termiņa beigām var grozīt savu piedāvājumu, sūtot uz e-pastu od@zalakaipasaulei.lv grozīto piedāvājumu vai tā sastāvdaļu un parakstot grozījumus ar drošu elektronisko parakstu un laika zīmogu.</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Pretendents</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var būt fiziskā un juridiskā persona, šādu personu apvienība jebkura to kombinācijā, kas ir tiesīga sniegt pakalpojumu atbilstoši nolikumā noteiktajā prasībām un kas ir iesniegusi piedāvājumu atklātā konkursā.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79"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0"/>
          <w:numId w:val="2"/>
        </w:numPr>
        <w:spacing w:after="120" w:lineRule="auto"/>
        <w:ind w:left="720" w:right="264" w:hanging="360"/>
        <w:jc w:val="left"/>
        <w:rPr>
          <w:sz w:val="22"/>
          <w:szCs w:val="22"/>
        </w:rPr>
      </w:pPr>
      <w:r w:rsidDel="00000000" w:rsidR="00000000" w:rsidRPr="00000000">
        <w:rPr>
          <w:sz w:val="22"/>
          <w:szCs w:val="22"/>
          <w:rtl w:val="0"/>
        </w:rPr>
        <w:t xml:space="preserve">PRASĪBAS PIEDĀVĀJUMAM UN PERSONAS DATU APSTRĀDEI</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84"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Prasības piedāvājuma dokumentiem</w:t>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Piedāvājumam jābūt sagatavotam latviešu valodā. Svešvalodā sagatavotam piedāvājumam jāpievieno apliecināts tulkojums latviešu valodā saskaņā ar Ministru kabineta 2000.gada 22.augusta noteikumiem Nr.291 „Kārtība, kādā apliecināmi dokumentu tulkojumi valsts valodā”. Par dokumentu tulkojuma atbilstību oriģinālam atbild pretendents.</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Piedāvājumam ir jābūt skaidri salasāmam, bez labojumiem un dzēsumiem.</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Piedāvājumu paraksta elektroniski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piedāvājumu iesniedz personu apvienība jebkurā to kombinācijā, piedāvājumā norāda tās pilnvaroto pārstāvi ar tiesībām elektroniski parakstīt visus ar šo Iepirkumu saistītos dokumentus. Pilnvarojums pārstāvēt personu apvienību ir jāparaksta katras personas apvienībā iekļautās pārstāvēt tiesīgajam vai pilnvarotajam pārstāvim. </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Piedāvājuma sastāvs noteikts Iepirkuma nolikuma 3.punktā.</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Sagatavojot piedāvājumu pretendents ievēro, ka:</w:t>
      </w:r>
    </w:p>
    <w:p w:rsidR="00000000" w:rsidDel="00000000" w:rsidP="00000000" w:rsidRDefault="00000000" w:rsidRPr="00000000" w14:paraId="0000004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smallCaps w:val="0"/>
          <w:strike w:val="0"/>
          <w:sz w:val="22"/>
          <w:szCs w:val="22"/>
          <w:vertAlign w:val="baseline"/>
        </w:rPr>
      </w:pPr>
      <w:r w:rsidDel="00000000" w:rsidR="00000000" w:rsidRPr="00000000">
        <w:rPr>
          <w:rFonts w:ascii="Times New Roman" w:cs="Times New Roman" w:eastAsia="Times New Roman" w:hAnsi="Times New Roman"/>
          <w:rtl w:val="0"/>
        </w:rPr>
        <w:t xml:space="preserve">katrai lotai jābūt atsevišķam tehniskajam piedāvājumam;</w:t>
      </w:r>
    </w:p>
    <w:p w:rsidR="00000000" w:rsidDel="00000000" w:rsidP="00000000" w:rsidRDefault="00000000" w:rsidRPr="00000000" w14:paraId="0000004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Pieteikuma veidlapa, tehniskais un finanšu piedāvājums jāaizpilda tikai elektroniski ar standarta biroja programmatūras rīkiem nolasāmā formātā (piemēram, Microsoft Office 2010 (vai jaunākas programmatūras versijas) formātā vai pdf formātā). Tehniskais un finanšu piedāvājums jāaizpilda atsevišķā elektroniskā dokumentā ar Microsoft Office 2010 (vai jaunākas programmatūras versijas) rīkiem lasāmā formātā;</w:t>
      </w:r>
    </w:p>
    <w:p w:rsidR="00000000" w:rsidDel="00000000" w:rsidP="00000000" w:rsidRDefault="00000000" w:rsidRPr="00000000" w14:paraId="0000004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piedāvājuma dokumentus paraksta ar drošu elektronisko parakstu un laika zīmogu. </w:t>
      </w:r>
    </w:p>
    <w:p w:rsidR="00000000" w:rsidDel="00000000" w:rsidP="00000000" w:rsidRDefault="00000000" w:rsidRPr="00000000" w14:paraId="0000004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Piedāvājuma dokumentus paraksta pretendenta pārstāvis ar pārstāvības tiesībām vai tā pilnvarota persona, jāpievieno personas ar pārstāvības personām izdota pilnvara.</w:t>
      </w:r>
    </w:p>
    <w:p w:rsidR="00000000" w:rsidDel="00000000" w:rsidP="00000000" w:rsidRDefault="00000000" w:rsidRPr="00000000" w14:paraId="0000004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Piedāvājuma noformēšanā izmanto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Pretendents ir tiesīgs apliecināt visus piedāvājumā esošos atvasinātos dokumentus un tulkojumus, iesniedzot vienu kopēju apliecinājumu, kas attiecās uz visiem atvasinātajiem dokumentiem un tulkojumiem. </w:t>
      </w:r>
    </w:p>
    <w:p w:rsidR="00000000" w:rsidDel="00000000" w:rsidP="00000000" w:rsidRDefault="00000000" w:rsidRPr="00000000" w14:paraId="0000004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Iesniedzot piedāvājumu, pretendents pilnībā atzīst visus Iepirkuma nolikumā ietvertos nosacījumus. </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Piedāvājums jāsagatavo tā, lai nekādā veidā netiktu apdraudēta Pasūtītāja sistēmu un iekārtu darbība un nebūtu ierobežota piekļuve piedāvājumā ietvertajai informācijai, tostarp piedāvājums nedrīkst saturēt datorvīrusus un citas kaitīgas programmatūras vai to ģeneratorus. Tādā gadījumā piedāvājums netiks izskatīts.</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piedāvājumu iesniedz piegādātāju apvienība vai personālsabiedrība, piedāvājumā papildu norāda personu, kas Iepirkumā pārstāv attiecīgo piegādātāju apvienību vai personālsabiedrību, kā arī katras personas atbildības sadalījumu. Ja piedāvājumu iesniedz piegādātāju apvienība, tai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darbdienu laikā pēc dienas, kad Iepirkuma komisija pieņēma lēmumu par līguma slēgšanas tiesību piešķiršanu.</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360" w:right="5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Personas datu apstrāde</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5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Iesniedzot pieteikumu, Pasūtītājs kā pārzinis veiks pieteikumā norādīto datu subjektu personas datu apstrādi iesniegtā piedāvājuma izvērtēšanai atbilstoši nolikumā noteiktajā prasībām, iepirkuma procesa administrēšanai, uzvarētāja noteikšanai un lēmuma pieņemšanai, informācijas sniegšanai pretendentiem un trešajām personām par iepirkuma rezultātiem.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Citas prasības</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Pretendenta iesniegtais piedāvājums nozīmē pilnīgu Iepirkuma noteikumu pieņemšanu un atbildību par to izpildi.</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Pretendentam ir pilnībā jāapmaksā piedāvājuma sagatavošanas un iesniegšanas izmaksas. Pasūtītājs neuzņemas nekādas saistības par šīm izmaksām neatkarīgi no Iepirkuma rezultāta.</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Visi Iepirkuma nolikuma pielikumi ir tā neatņemama sastāvdaļa.</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informācijas apmaiņas, līguma izpildes darba valoda ir latviešu valoda.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59" w:lineRule="auto"/>
        <w:ind w:left="284" w:right="0" w:hanging="426"/>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Informācija pretendentiem par Eiropas vienoto iepirkuma procedūras dokumentu:</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Pasūtītājs pieņem Eiropas vienoto iepirkuma procedūras dokumentu kā sākotnējo pierādījumu atbilstībai paziņojumā par līgumu vai Iepirkuma nolikumā noteiktajām pretendentu atlases prasībām;</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piegādātājs izvēlējies iesniegt Eiropas vienoto iepirkuma procedūras dokumentu, lai apliecinātu, ka tas atbilst paziņojumā par līgumu vai Iepirkuma nolikumā noteiktajām pretendentu atlases prasībām, tas iesniedz šo dokumentu arī par katru personu, uz kuras iespējām tas balstās, lai apliecinātu, ka tā kvalifikācija atbilst paziņojumā par līgumu vai Iepirkuma nolikumā noteiktajām prasībām, kā arī par katru tā norādīto apakšuzņēmēju, kura veicamo darbu vērtība ir vismaz EUR 10000.00 (desmit tūkstoši eiro, 0 centi) no iepirkuma līguma vērtības;</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Piegādātāju apvienība iesniedz atsevišķu Eiropas vienoto iepirkuma procedūras dokumentu par katru tās dalībnieku;</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ir tiesīgs neiesniegt piedāvājumā sākotnēji visus pasūtītāja Iepirkuma nolikumā pieprasītos dokumentus, ja tas apliecina savu atbilstību ar Eiropas vienoto iepirkuma procedūru. </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Piegādātājs var pasūtītājam iesniegt Eiropas vienoto iepirkuma procedūras dokumentu, kas ir bijis iesniegts citā iepirkuma procedūrā, ja apliecina, ka tajā iekļautā informācija ir pareiza.</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Pasūtītājam jebkurā Iepirkuma stadijā ir tiesības prasīt, lai pretendents iesniedz visus vai daļu no dokumentiem, kas apliecina atbilstību paziņojumā par līgumu vai Iepirkuma nolikumā noteiktajām pretendentu atlases prasībām. Pasūtītājs nepieprasa tādus dokumentus un informāciju, kas ir tā rīcībā vai ir pieejama publiskās datubāzēs. </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Aizpildot ESPD dokumenta veidlapu, obligāti jāaizpilda EVIPD III sadaļa “Izslēgšanas iemesli” norādot, vai tas atbilst PIL 42. panta otrās daļas 2. un 3. punktā minētajam izslēgšanas nosacījumam. Savukārt personām, uz kuru spējām pretendents balstās, obligāti ir arī jāaizpilda EVIPD III sadaļa “Izslēgšanas iemesli”, kā arī jānorāda informācija attiecībā uz tiem atlases kritērijiem, par kuriem pretendents uz konkrēto personu ir balstījies (aizpildāma EVIPD IV sadaļa “Atlases kritēriji”). Pretendenta piedāvātajiem apakšuzņēmējiem obligāti ir jāaizpilda sadaļa, kas attiecas uz izslēgšanas noteikumiem (EVIPD III sadaļa “Izslēgšanas iemesli”). Pretendentam vai personālsabiedrības biedram, ja pretendents ir personālsabiedrība, EVIPD jānorāda, vai uz to neattiecas Starptautisko un Latvijas Republikas nacionālo sankciju likuma 11.1 panta pirmās daļas izslēgšanas nosacījums.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79" w:before="0" w:line="259"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0"/>
          <w:numId w:val="2"/>
        </w:numPr>
        <w:ind w:left="720" w:right="264" w:hanging="360"/>
        <w:jc w:val="left"/>
        <w:rPr>
          <w:sz w:val="22"/>
          <w:szCs w:val="22"/>
        </w:rPr>
      </w:pPr>
      <w:r w:rsidDel="00000000" w:rsidR="00000000" w:rsidRPr="00000000">
        <w:rPr>
          <w:sz w:val="22"/>
          <w:szCs w:val="22"/>
          <w:rtl w:val="0"/>
        </w:rPr>
        <w:t xml:space="preserve">ATLASES PRASĪBAS, APLIECINĀJUMI UN IESNIEDZAMIE PIEDĀVĀJUMA DOKUMENTI</w:t>
      </w:r>
    </w:p>
    <w:tbl>
      <w:tblPr>
        <w:tblStyle w:val="Table1"/>
        <w:tblW w:w="976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3690"/>
        <w:gridCol w:w="5250"/>
        <w:tblGridChange w:id="0">
          <w:tblGrid>
            <w:gridCol w:w="825"/>
            <w:gridCol w:w="3690"/>
            <w:gridCol w:w="5250"/>
          </w:tblGrid>
        </w:tblGridChange>
      </w:tblGrid>
      <w:tr>
        <w:trPr>
          <w:cantSplit w:val="0"/>
          <w:tblHeader w:val="0"/>
        </w:trPr>
        <w:tc>
          <w:tcPr/>
          <w:p w:rsidR="00000000" w:rsidDel="00000000" w:rsidP="00000000" w:rsidRDefault="00000000" w:rsidRPr="00000000" w14:paraId="0000006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N.p.k. </w:t>
            </w:r>
          </w:p>
        </w:tc>
        <w:tc>
          <w:tcPr/>
          <w:p w:rsidR="00000000" w:rsidDel="00000000" w:rsidP="00000000" w:rsidRDefault="00000000" w:rsidRPr="00000000" w14:paraId="0000006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Prasība</w:t>
            </w:r>
          </w:p>
        </w:tc>
        <w:tc>
          <w:tcPr/>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Iesniedzamie dokumentu, informācija</w:t>
            </w:r>
          </w:p>
        </w:tc>
      </w:tr>
      <w:tr>
        <w:trPr>
          <w:cantSplit w:val="0"/>
          <w:tblHeader w:val="0"/>
        </w:trPr>
        <w:tc>
          <w:tcPr/>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ind w:left="31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Pretendents (un tā norādītie apakšuzņēmēji) ir reģistrēts atbilstoši pretendenta reģistrācijas valsts normatīvo aktu prasībām (Latvijas Republikas Uzņēmumu reģistra Komercreģistrā, Latvijas republikas Valsts ieņēmumu dienesta (turpmāk VID) Nodokļu maksātāja reģistrā kā saimnieciskās darbība sveicējs vai līdzvērtīgā reģistrā ārvalstīs)</w:t>
            </w:r>
          </w:p>
          <w:p w:rsidR="00000000" w:rsidDel="00000000" w:rsidP="00000000" w:rsidRDefault="00000000" w:rsidRPr="00000000" w14:paraId="0000006B">
            <w:pPr>
              <w:ind w:left="31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318"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 piedāvājumu iesniedz piegādātāju apvienība, tad šī prasība attiecināma atsevišķi uz katru piegādātāju apvienības dalībnieku; ja piedāvājumu iesniedz personālsabiedrība, tad šī prasība attiecināma uz personālsabiedrību, kā arī atsevišķi uz katru personālsabiedrības biedru</w:t>
            </w:r>
          </w:p>
        </w:tc>
        <w:tc>
          <w:tcPr/>
          <w:p w:rsidR="00000000" w:rsidDel="00000000" w:rsidP="00000000" w:rsidRDefault="00000000" w:rsidRPr="00000000" w14:paraId="000000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Pretendenta parakstīts pieteikums dalībai Atklātā konkursā (nolikuma 1.pielikums) un apliecinājums par neatkarīgi izstrādātu piedāvājumu (nolikuma 1.pielikums). </w:t>
            </w:r>
          </w:p>
          <w:p w:rsidR="00000000" w:rsidDel="00000000" w:rsidP="00000000" w:rsidRDefault="00000000" w:rsidRPr="00000000" w14:paraId="0000006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Pretendenta pārstāvja ar pārstāvības tiesībām izdota pilnvara (apliecināta kopija) citai personai parakstīt pieteikumu un/vai iepirkuma līgumu, ja tā atšķiras no Latvijas Republikas Uzņēmumu reģistra Komercreģistrā norādītā.</w:t>
            </w:r>
          </w:p>
          <w:p w:rsidR="00000000" w:rsidDel="00000000" w:rsidP="00000000" w:rsidRDefault="00000000" w:rsidRPr="00000000" w14:paraId="000000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pretendents ir piegādātāju apvienība un sabiedrības līgumā nav atrunātas pārstāvības tiesības, pretendenta pieteikumu dalībai iepirkumā paraksta katras personas, kas iekļauta piegādātāju apvienībā, pārstāvis ar pārstāvības tiesībām.</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Informāciju par pretendentu, kas ir reģistrēts Latvijas Republikas Uzņēmuma reģistra Komercreģistrā, komisija pārbauda Uzņēmumu reģistra mājas lapā https://www.ur.gov.lv/lv/. Informāciju par pretendentu, kas ir fiziska persona un Latvijas Republikā ir reģistrēta kā saimnieciskās darbības veicēja VID nodokļu maksātāju reģistrā, komisija pārbauda VID mājaslapā sadaļā “Saimnieciskās darbības veicēji, VID reģistrētās juridiskās personas un citas personas” https://www6.vid.gov.lv/SDV.</w:t>
            </w:r>
          </w:p>
          <w:p w:rsidR="00000000" w:rsidDel="00000000" w:rsidP="00000000" w:rsidRDefault="00000000" w:rsidRPr="00000000" w14:paraId="000000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pretendents ir reģistrēts ārvalstīs, tad pretendents iesniedz līdzvērtīgas komercdarbību reģistrējošas iestādes ārvalstīs izsniegtu komersanta reģistrācijas apliecības kopiju vai citas ārvalstu institūcijas izsniegtu izziņas kopiju vai norāda publiski pieejamu reģistru, kur pasūtītājs var pārliecināties par pretendenta reģistrācijas faktu. Pretendents iesniedz arī kompetentas institūcijas izsniegtu izziņu par pretendenta amatpersonām (vai norāda publiski pieejamu reģistru, kur pasūtītājs var pārliecināties par pretendenta amatpersonas paraksta (pārstāvības) tiesībām), kurām ir pārstāvības tiesības, kā arī apliecinājumu, ka izziņā norādītā informācija joprojām ir aktuāla.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7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ind w:left="360" w:firstLine="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5">
            <w:pPr>
              <w:tabs>
                <w:tab w:val="left" w:leader="none" w:pos="771"/>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Pretendentam jānorāda visus apakšuzņēmējus, un apakšuzņēmēja apakšuzņēmējus, kurus piesaistīs iepirkuma līguma izpildē.</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Ar apakšuzņēmēju ir saprotama pretendenta nolīgta persona vai, savukārt, tās nolīgta persona, kura veic darbus iepirkuma līguma izpildei.</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Informācija par personām, uz kuru iespējām pretendents balstās (nolikuma 1.pielikums).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3.1.3.2.Personas, uz kuras iespējām pretendents balstās, rakstisks apliecinājums (nolikuma 1.pielikums) par piedalīšanos iepirkumā, kā arī apliecinājums par līguma izpildei nepieciešamo resursu nodošanu pretendenta rīcībā, gadījumā, ja ar pretendentu tiks noslēgts iepirkuma līgums, papildus pievienojot dokumentu, kas apliecina apliecinājumu parakstījušās personas tiesības pārstāvēt attiecīgo personu iepirkuma procedūras ietvaros, ja tā atšķiras no Latvijas Republikas Uzņēmumu reģistra Komercreģistrā norādītās.</w:t>
            </w:r>
          </w:p>
        </w:tc>
      </w:tr>
      <w:tr>
        <w:trPr>
          <w:cantSplit w:val="0"/>
          <w:tblHeader w:val="0"/>
        </w:trPr>
        <w:tc>
          <w:tcPr/>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tabs>
                <w:tab w:val="left" w:leader="none" w:pos="771"/>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Pretendentam jānorāda visus apakšuzņēmējus, un apakšuzņēmēja apakšuzņēmējus, kurus piesaistīs iepirkuma līguma izpildē.</w:t>
            </w:r>
          </w:p>
          <w:p w:rsidR="00000000" w:rsidDel="00000000" w:rsidP="00000000" w:rsidRDefault="00000000" w:rsidRPr="00000000" w14:paraId="0000007B">
            <w:pPr>
              <w:tabs>
                <w:tab w:val="left" w:leader="none" w:pos="771"/>
              </w:tabs>
              <w:spacing w:after="60" w:before="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Ar apakšuzņēmēju ir saprotama pretendenta nolīgta persona vai, savukārt, tās nolīgta persona, kura veic darbus iepirkuma līguma izpildei.</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Informācija par pretendenta apakšuzņēmējiem (nolikuma 1.pielikums), norādot katram apakšuzņēmējam izpildei nododamo līguma vērtību no kopējā līguma apjoma.</w:t>
            </w:r>
          </w:p>
          <w:p w:rsidR="00000000" w:rsidDel="00000000" w:rsidP="00000000" w:rsidRDefault="00000000" w:rsidRPr="00000000" w14:paraId="000000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Apakšuzņēmēja apliecinājums (nolikuma 1.pielikums) par tā gatavību veikt tam izpildei nododamo līguma daļu, papildus pievienojot dokumentu, kas apliecina apliecinājumu parakstījušās personas tiesības pārstāvēt attiecīgo personu iepirkuma procedūras ietvaros, ja tā atšķiras no Latvijas Republikas Uzņēmumu reģistra Komercreģistrā norādītās.</w:t>
            </w:r>
          </w:p>
        </w:tc>
      </w:tr>
      <w:tr>
        <w:trPr>
          <w:cantSplit w:val="0"/>
          <w:tblHeader w:val="0"/>
        </w:trPr>
        <w:tc>
          <w:tcPr>
            <w:gridSpan w:val="3"/>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04"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Saimnieciskais un finansiālais stāvoklis</w:t>
            </w:r>
          </w:p>
        </w:tc>
      </w:tr>
      <w:tr>
        <w:trPr>
          <w:cantSplit w:val="0"/>
          <w:tblHeader w:val="0"/>
        </w:trPr>
        <w:tc>
          <w:tcPr/>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Pretendentam saskaņā ar Valsts ieņēmumu dienesta administrēto nodokļu (nodevu) parādnieku publiskajā datubāzē pieejamo informāciju nav nodokļu vai nodevu parādu, tai skaitā valsts sociālās apdrošināšanas obligāto iemaksu parādu, kas kopsummā pārsniedz 150 eiro, izņemot nodokļu maksājumus, kuru maksāšanas termiņš saskaņā ar likuma "Par nodokļiem un nodevām" 24. panta pirmo, 1.3 un 1.7 daļu ir pagarināts, sadalīts termiņos, atlikts vai atkārtoti sadalīts termiņos</w:t>
            </w:r>
          </w:p>
        </w:tc>
        <w:tc>
          <w:tcPr/>
          <w:p w:rsidR="00000000" w:rsidDel="00000000" w:rsidP="00000000" w:rsidRDefault="00000000" w:rsidRPr="00000000" w14:paraId="0000008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31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Komisija attiecībā uz Latvijas Republikā reģistrētajiem pretendentiem nodokļu parāda faktu pārbaudīs publiskajās datubāzēs. Ārvalstīs reģistrētajiem pretendentiem jāiesniedz parāda neesamības faktu apliecinošs dokuments.</w:t>
            </w:r>
          </w:p>
        </w:tc>
      </w:tr>
    </w:tbl>
    <w:p w:rsidR="00000000" w:rsidDel="00000000" w:rsidP="00000000" w:rsidRDefault="00000000" w:rsidRPr="00000000" w14:paraId="00000084">
      <w:pPr>
        <w:pStyle w:val="Heading1"/>
        <w:numPr>
          <w:ilvl w:val="0"/>
          <w:numId w:val="2"/>
        </w:numPr>
        <w:spacing w:after="295" w:lineRule="auto"/>
        <w:ind w:left="720" w:hanging="360"/>
        <w:jc w:val="both"/>
        <w:rPr>
          <w:sz w:val="22"/>
          <w:szCs w:val="22"/>
        </w:rPr>
      </w:pPr>
      <w:r w:rsidDel="00000000" w:rsidR="00000000" w:rsidRPr="00000000">
        <w:rPr>
          <w:sz w:val="22"/>
          <w:szCs w:val="22"/>
          <w:rtl w:val="0"/>
        </w:rPr>
        <w:t xml:space="preserve">PIEDĀVĀJUMA IZVĒLES KRITĒRIJI, PIEDĀVĀJUMU VĒRTĒŠANA</w:t>
      </w:r>
    </w:p>
    <w:p w:rsidR="00000000" w:rsidDel="00000000" w:rsidP="00000000" w:rsidRDefault="00000000" w:rsidRPr="00000000" w14:paraId="00000085">
      <w:pPr>
        <w:pStyle w:val="Heading1"/>
        <w:numPr>
          <w:ilvl w:val="1"/>
          <w:numId w:val="2"/>
        </w:numPr>
        <w:spacing w:after="295" w:lineRule="auto"/>
        <w:ind w:left="284" w:hanging="384"/>
        <w:jc w:val="both"/>
        <w:rPr>
          <w:sz w:val="22"/>
          <w:szCs w:val="22"/>
        </w:rPr>
      </w:pPr>
      <w:r w:rsidDel="00000000" w:rsidR="00000000" w:rsidRPr="00000000">
        <w:rPr>
          <w:sz w:val="22"/>
          <w:szCs w:val="22"/>
          <w:rtl w:val="0"/>
        </w:rPr>
        <w:t xml:space="preserve"> Piedāvājuma izvēles kritērijs</w:t>
      </w:r>
    </w:p>
    <w:p w:rsidR="00000000" w:rsidDel="00000000" w:rsidP="00000000" w:rsidRDefault="00000000" w:rsidRPr="00000000" w14:paraId="00000086">
      <w:pPr>
        <w:pStyle w:val="Heading1"/>
        <w:numPr>
          <w:ilvl w:val="2"/>
          <w:numId w:val="2"/>
        </w:numPr>
        <w:spacing w:after="295" w:lineRule="auto"/>
        <w:ind w:left="1080" w:hanging="720"/>
        <w:jc w:val="both"/>
        <w:rPr>
          <w:sz w:val="22"/>
          <w:szCs w:val="22"/>
        </w:rPr>
      </w:pPr>
      <w:r w:rsidDel="00000000" w:rsidR="00000000" w:rsidRPr="00000000">
        <w:rPr>
          <w:b w:val="0"/>
          <w:bCs w:val="0"/>
          <w:sz w:val="22"/>
          <w:szCs w:val="22"/>
          <w:rtl w:val="0"/>
        </w:rPr>
        <w:t xml:space="preserve">Līguma slēgšanas tiesības tiek piešķirtas Pretendentam, kurš atbilst Nolikumā noteiktajām atlases prasībām, ir iesniedzis Tehniskās specifikācijas un Nolikuma prasībām atbilstošu saimnieciski visizdevīgāko piedāvājumu  un uz kuru nav attiecināmi izslēgšanas nosacījumi. </w:t>
      </w:r>
    </w:p>
    <w:p w:rsidR="00000000" w:rsidDel="00000000" w:rsidP="00000000" w:rsidRDefault="00000000" w:rsidRPr="00000000" w14:paraId="00000087">
      <w:pPr>
        <w:numPr>
          <w:ilvl w:val="2"/>
          <w:numId w:val="2"/>
        </w:numPr>
        <w:ind w:left="1080" w:hanging="720"/>
        <w:rPr/>
      </w:pPr>
      <w:r w:rsidDel="00000000" w:rsidR="00000000" w:rsidRPr="00000000">
        <w:rPr>
          <w:rFonts w:ascii="Times New Roman" w:cs="Times New Roman" w:eastAsia="Times New Roman" w:hAnsi="Times New Roman"/>
          <w:rtl w:val="0"/>
        </w:rPr>
        <w:t xml:space="preserve">Katra lote tiek vērtēta neatkarīgi un var būt vairāki uzvarētāji (pa lotēm).</w:t>
      </w:r>
      <w:r w:rsidDel="00000000" w:rsidR="00000000" w:rsidRPr="00000000">
        <w:rPr>
          <w:rtl w:val="0"/>
        </w:rPr>
      </w:r>
    </w:p>
    <w:p w:rsidR="00000000" w:rsidDel="00000000" w:rsidP="00000000" w:rsidRDefault="00000000" w:rsidRPr="00000000" w14:paraId="00000088">
      <w:pPr>
        <w:pStyle w:val="Heading1"/>
        <w:numPr>
          <w:ilvl w:val="2"/>
          <w:numId w:val="2"/>
        </w:numPr>
        <w:spacing w:after="295" w:lineRule="auto"/>
        <w:ind w:left="1080" w:hanging="720"/>
        <w:jc w:val="both"/>
        <w:rPr>
          <w:sz w:val="22"/>
          <w:szCs w:val="22"/>
        </w:rPr>
      </w:pPr>
      <w:r w:rsidDel="00000000" w:rsidR="00000000" w:rsidRPr="00000000">
        <w:rPr>
          <w:b w:val="0"/>
          <w:bCs w:val="0"/>
          <w:sz w:val="22"/>
          <w:szCs w:val="22"/>
          <w:rtl w:val="0"/>
        </w:rPr>
        <w:t xml:space="preserve">Iepirkuma komisija var pieņemt lēmumu par iepirkuma izbeigšanu bez rezultāta, </w:t>
      </w:r>
      <w:r w:rsidDel="00000000" w:rsidR="00000000" w:rsidRPr="00000000">
        <w:rPr>
          <w:b w:val="0"/>
          <w:bCs w:val="0"/>
          <w:sz w:val="22"/>
          <w:szCs w:val="22"/>
          <w:rtl w:val="0"/>
        </w:rPr>
        <w:t xml:space="preserve">vai tas izbeigšanu bez rezultāta, kādā no tā daļām (lotēm), ja nav saņemts neviens piedāvājums vai nav saņemts neviens Nolikumam un/vai iepirkuma Tehniskajai specifikācijai atbilstošs piedāvājums. Iepirkuma komisija jebkurā brīdī ir tiesīga pārtraukt iepirkuma procedūru, ja tam ir objektīvs pamatojums</w:t>
      </w:r>
      <w:r w:rsidDel="00000000" w:rsidR="00000000" w:rsidRPr="00000000">
        <w:rPr>
          <w:sz w:val="22"/>
          <w:szCs w:val="22"/>
          <w:rtl w:val="0"/>
        </w:rPr>
        <w:t xml:space="preserve">. </w:t>
      </w:r>
    </w:p>
    <w:p w:rsidR="00000000" w:rsidDel="00000000" w:rsidP="00000000" w:rsidRDefault="00000000" w:rsidRPr="00000000" w14:paraId="00000089">
      <w:pPr>
        <w:pStyle w:val="Heading1"/>
        <w:numPr>
          <w:ilvl w:val="1"/>
          <w:numId w:val="2"/>
        </w:numPr>
        <w:ind w:left="284" w:hanging="384"/>
        <w:jc w:val="both"/>
        <w:rPr>
          <w:b w:val="0"/>
          <w:bCs w:val="0"/>
          <w:sz w:val="22"/>
          <w:szCs w:val="22"/>
        </w:rPr>
      </w:pPr>
      <w:r w:rsidDel="00000000" w:rsidR="00000000" w:rsidRPr="00000000">
        <w:rPr>
          <w:sz w:val="22"/>
          <w:szCs w:val="22"/>
          <w:rtl w:val="0"/>
        </w:rPr>
        <w:t xml:space="preserve">Piedāvājumu vērtēšana </w:t>
      </w:r>
      <w:r w:rsidDel="00000000" w:rsidR="00000000" w:rsidRPr="00000000">
        <w:rPr>
          <w:b w:val="0"/>
          <w:bCs w:val="0"/>
          <w:sz w:val="22"/>
          <w:szCs w:val="22"/>
          <w:rtl w:val="0"/>
        </w:rPr>
        <w:t xml:space="preserve">tiek veikta saskaņā ar piedāvāto cenu: par uzvarētāju tiks noteikts pretendents, kurš piedāvā zemāku cenu no visiem piedāvājumiem. Vērtēšana notiek katrā no lotēm. </w:t>
      </w:r>
      <w:r w:rsidDel="00000000" w:rsidR="00000000" w:rsidRPr="00000000">
        <w:rPr>
          <w:rtl w:val="0"/>
        </w:rPr>
      </w:r>
    </w:p>
    <w:p w:rsidR="00000000" w:rsidDel="00000000" w:rsidP="00000000" w:rsidRDefault="00000000" w:rsidRPr="00000000" w14:paraId="0000008A">
      <w:pPr>
        <w:ind w:left="284" w:firstLine="0"/>
        <w:rPr/>
      </w:pPr>
      <w:r w:rsidDel="00000000" w:rsidR="00000000" w:rsidRPr="00000000">
        <w:rPr>
          <w:rtl w:val="0"/>
        </w:rPr>
      </w:r>
    </w:p>
    <w:p w:rsidR="00000000" w:rsidDel="00000000" w:rsidP="00000000" w:rsidRDefault="00000000" w:rsidRPr="00000000" w14:paraId="0000008B">
      <w:pPr>
        <w:pStyle w:val="Heading1"/>
        <w:numPr>
          <w:ilvl w:val="1"/>
          <w:numId w:val="2"/>
        </w:numPr>
        <w:spacing w:after="295" w:lineRule="auto"/>
        <w:ind w:left="284" w:hanging="384"/>
        <w:jc w:val="both"/>
        <w:rPr>
          <w:sz w:val="22"/>
          <w:szCs w:val="22"/>
        </w:rPr>
      </w:pPr>
      <w:r w:rsidDel="00000000" w:rsidR="00000000" w:rsidRPr="00000000">
        <w:rPr>
          <w:sz w:val="22"/>
          <w:szCs w:val="22"/>
          <w:rtl w:val="0"/>
        </w:rPr>
        <w:t xml:space="preserve">Piedāvājuma vērtēšanas soļi</w:t>
      </w:r>
    </w:p>
    <w:p w:rsidR="00000000" w:rsidDel="00000000" w:rsidP="00000000" w:rsidRDefault="00000000" w:rsidRPr="00000000" w14:paraId="000000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komisija piedāvājumu vērtēšanu veic šādā kārtībā:</w:t>
      </w:r>
    </w:p>
    <w:p w:rsidR="00000000" w:rsidDel="00000000" w:rsidP="00000000" w:rsidRDefault="00000000" w:rsidRPr="00000000" w14:paraId="0000008D">
      <w:pPr>
        <w:pStyle w:val="Heading1"/>
        <w:numPr>
          <w:ilvl w:val="3"/>
          <w:numId w:val="2"/>
        </w:numPr>
        <w:ind w:left="1080" w:right="50" w:hanging="720"/>
        <w:jc w:val="both"/>
        <w:rPr>
          <w:b w:val="0"/>
          <w:bCs w:val="0"/>
          <w:sz w:val="22"/>
          <w:szCs w:val="22"/>
        </w:rPr>
      </w:pPr>
      <w:r w:rsidDel="00000000" w:rsidR="00000000" w:rsidRPr="00000000">
        <w:rPr>
          <w:b w:val="0"/>
          <w:bCs w:val="0"/>
          <w:sz w:val="22"/>
          <w:szCs w:val="22"/>
          <w:rtl w:val="0"/>
        </w:rPr>
        <w:t xml:space="preserve">Piedāvājuma noformējuma pārbaude;</w:t>
      </w:r>
    </w:p>
    <w:p w:rsidR="00000000" w:rsidDel="00000000" w:rsidP="00000000" w:rsidRDefault="00000000" w:rsidRPr="00000000" w14:paraId="0000008E">
      <w:pPr>
        <w:pStyle w:val="Heading1"/>
        <w:numPr>
          <w:ilvl w:val="3"/>
          <w:numId w:val="2"/>
        </w:numPr>
        <w:ind w:left="1080" w:right="50" w:hanging="720"/>
        <w:jc w:val="both"/>
        <w:rPr>
          <w:b w:val="0"/>
          <w:bCs w:val="0"/>
          <w:sz w:val="22"/>
          <w:szCs w:val="22"/>
        </w:rPr>
      </w:pPr>
      <w:r w:rsidDel="00000000" w:rsidR="00000000" w:rsidRPr="00000000">
        <w:rPr>
          <w:b w:val="0"/>
          <w:bCs w:val="0"/>
          <w:sz w:val="22"/>
          <w:szCs w:val="22"/>
          <w:rtl w:val="0"/>
        </w:rPr>
        <w:t xml:space="preserve">Pretendentu atlase;</w:t>
      </w:r>
    </w:p>
    <w:p w:rsidR="00000000" w:rsidDel="00000000" w:rsidP="00000000" w:rsidRDefault="00000000" w:rsidRPr="00000000" w14:paraId="0000008F">
      <w:pPr>
        <w:pStyle w:val="Heading1"/>
        <w:numPr>
          <w:ilvl w:val="3"/>
          <w:numId w:val="2"/>
        </w:numPr>
        <w:ind w:left="1080" w:right="50" w:hanging="720"/>
        <w:jc w:val="both"/>
        <w:rPr>
          <w:b w:val="0"/>
          <w:bCs w:val="0"/>
          <w:sz w:val="22"/>
          <w:szCs w:val="22"/>
        </w:rPr>
      </w:pPr>
      <w:r w:rsidDel="00000000" w:rsidR="00000000" w:rsidRPr="00000000">
        <w:rPr>
          <w:b w:val="0"/>
          <w:bCs w:val="0"/>
          <w:sz w:val="22"/>
          <w:szCs w:val="22"/>
          <w:rtl w:val="0"/>
        </w:rPr>
        <w:t xml:space="preserve">Finanšu piedāvājuma atbilstības pārbaude;</w:t>
      </w:r>
    </w:p>
    <w:p w:rsidR="00000000" w:rsidDel="00000000" w:rsidP="00000000" w:rsidRDefault="00000000" w:rsidRPr="00000000" w14:paraId="00000090">
      <w:pPr>
        <w:pStyle w:val="Heading1"/>
        <w:numPr>
          <w:ilvl w:val="3"/>
          <w:numId w:val="2"/>
        </w:numPr>
        <w:ind w:left="1080" w:right="50" w:hanging="720"/>
        <w:jc w:val="both"/>
        <w:rPr>
          <w:b w:val="0"/>
          <w:bCs w:val="0"/>
          <w:sz w:val="22"/>
          <w:szCs w:val="22"/>
        </w:rPr>
      </w:pPr>
      <w:r w:rsidDel="00000000" w:rsidR="00000000" w:rsidRPr="00000000">
        <w:rPr>
          <w:b w:val="0"/>
          <w:bCs w:val="0"/>
          <w:sz w:val="22"/>
          <w:szCs w:val="22"/>
          <w:rtl w:val="0"/>
        </w:rPr>
        <w:t xml:space="preserve">Tehniskā piedāvājuma atbilstības pārbaude;</w:t>
      </w:r>
    </w:p>
    <w:p w:rsidR="00000000" w:rsidDel="00000000" w:rsidP="00000000" w:rsidRDefault="00000000" w:rsidRPr="00000000" w14:paraId="00000091">
      <w:pPr>
        <w:pStyle w:val="Heading1"/>
        <w:numPr>
          <w:ilvl w:val="3"/>
          <w:numId w:val="2"/>
        </w:numPr>
        <w:ind w:left="1080" w:right="50" w:hanging="720"/>
        <w:jc w:val="both"/>
        <w:rPr>
          <w:b w:val="0"/>
          <w:bCs w:val="0"/>
          <w:sz w:val="22"/>
          <w:szCs w:val="22"/>
        </w:rPr>
      </w:pPr>
      <w:r w:rsidDel="00000000" w:rsidR="00000000" w:rsidRPr="00000000">
        <w:rPr>
          <w:b w:val="0"/>
          <w:bCs w:val="0"/>
          <w:sz w:val="22"/>
          <w:szCs w:val="22"/>
          <w:rtl w:val="0"/>
        </w:rPr>
        <w:t xml:space="preserve">Pretendenta, kuram piešķiramas līguma slēgšanas tiesības, noteikšana.</w:t>
      </w:r>
    </w:p>
    <w:p w:rsidR="00000000" w:rsidDel="00000000" w:rsidP="00000000" w:rsidRDefault="00000000" w:rsidRPr="00000000" w14:paraId="00000092">
      <w:pPr>
        <w:pStyle w:val="Heading1"/>
        <w:numPr>
          <w:ilvl w:val="2"/>
          <w:numId w:val="2"/>
        </w:numPr>
        <w:ind w:left="1080" w:right="50" w:hanging="720"/>
        <w:jc w:val="both"/>
        <w:rPr>
          <w:b w:val="0"/>
          <w:bCs w:val="0"/>
          <w:sz w:val="22"/>
          <w:szCs w:val="22"/>
        </w:rPr>
      </w:pPr>
      <w:r w:rsidDel="00000000" w:rsidR="00000000" w:rsidRPr="00000000">
        <w:rPr>
          <w:b w:val="0"/>
          <w:bCs w:val="0"/>
          <w:sz w:val="22"/>
          <w:szCs w:val="22"/>
          <w:rtl w:val="0"/>
        </w:rPr>
        <w:t xml:space="preserve">Iepirkuma komisija ir tiesīga Pretendentu kvalifikācijas atbilstības pārbaudi veikt tikai tam Pretendentam, kuram būtu piešķiramas iepirkuma līguma slēgšanas tiesības. </w:t>
      </w:r>
    </w:p>
    <w:p w:rsidR="00000000" w:rsidDel="00000000" w:rsidP="00000000" w:rsidRDefault="00000000" w:rsidRPr="00000000" w14:paraId="0000009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Katrā vērtēšanas posmā vērtē tikai to pretendentu piedāvājumus, kuri nav noraidīti iepriekšējā vērtēšanas posmā. </w:t>
      </w:r>
      <w:r w:rsidDel="00000000" w:rsidR="00000000" w:rsidRPr="00000000">
        <w:rPr>
          <w:rtl w:val="0"/>
        </w:rPr>
      </w:r>
    </w:p>
    <w:p w:rsidR="00000000" w:rsidDel="00000000" w:rsidP="00000000" w:rsidRDefault="00000000" w:rsidRPr="00000000" w14:paraId="00000094">
      <w:pPr>
        <w:pStyle w:val="Heading1"/>
        <w:numPr>
          <w:ilvl w:val="1"/>
          <w:numId w:val="2"/>
        </w:numPr>
        <w:ind w:left="567" w:hanging="384"/>
        <w:jc w:val="both"/>
        <w:rPr>
          <w:b w:val="0"/>
          <w:bCs w:val="0"/>
          <w:sz w:val="22"/>
          <w:szCs w:val="22"/>
        </w:rPr>
      </w:pPr>
      <w:r w:rsidDel="00000000" w:rsidR="00000000" w:rsidRPr="00000000">
        <w:rPr>
          <w:sz w:val="22"/>
          <w:szCs w:val="22"/>
          <w:rtl w:val="0"/>
        </w:rPr>
        <w:t xml:space="preserve">Piedāvājuma noformējuma pārbaude</w:t>
      </w:r>
      <w:r w:rsidDel="00000000" w:rsidR="00000000" w:rsidRPr="00000000">
        <w:rPr>
          <w:rtl w:val="0"/>
        </w:rPr>
      </w:r>
    </w:p>
    <w:p w:rsidR="00000000" w:rsidDel="00000000" w:rsidP="00000000" w:rsidRDefault="00000000" w:rsidRPr="00000000" w14:paraId="00000095">
      <w:pPr>
        <w:pStyle w:val="Heading1"/>
        <w:numPr>
          <w:ilvl w:val="2"/>
          <w:numId w:val="2"/>
        </w:numPr>
        <w:ind w:left="1080" w:hanging="720"/>
        <w:jc w:val="both"/>
        <w:rPr>
          <w:b w:val="0"/>
          <w:bCs w:val="0"/>
          <w:sz w:val="22"/>
          <w:szCs w:val="22"/>
        </w:rPr>
      </w:pPr>
      <w:r w:rsidDel="00000000" w:rsidR="00000000" w:rsidRPr="00000000">
        <w:rPr>
          <w:b w:val="0"/>
          <w:bCs w:val="0"/>
          <w:sz w:val="22"/>
          <w:szCs w:val="22"/>
          <w:rtl w:val="0"/>
        </w:rPr>
        <w:t xml:space="preserve">Iepirkumu komisija novērtē katra piedāvājuma atbilstību Atklāta konkursa nolikumā noteiktajām prasībām;</w:t>
      </w:r>
    </w:p>
    <w:p w:rsidR="00000000" w:rsidDel="00000000" w:rsidP="00000000" w:rsidRDefault="00000000" w:rsidRPr="00000000" w14:paraId="00000096">
      <w:pPr>
        <w:pStyle w:val="Heading1"/>
        <w:numPr>
          <w:ilvl w:val="2"/>
          <w:numId w:val="2"/>
        </w:numPr>
        <w:spacing w:after="295" w:lineRule="auto"/>
        <w:ind w:left="1080" w:hanging="720"/>
        <w:jc w:val="both"/>
        <w:rPr>
          <w:b w:val="0"/>
          <w:bCs w:val="0"/>
          <w:sz w:val="22"/>
          <w:szCs w:val="22"/>
        </w:rPr>
      </w:pPr>
      <w:r w:rsidDel="00000000" w:rsidR="00000000" w:rsidRPr="00000000">
        <w:rPr>
          <w:b w:val="0"/>
          <w:bCs w:val="0"/>
          <w:sz w:val="22"/>
          <w:szCs w:val="22"/>
          <w:rtl w:val="0"/>
        </w:rPr>
        <w:t xml:space="preserve">Iepirkumu komisija noraida piedāvājumu, ja tiek konstatēta noformējuma būtiska neatbilstība nolikumā norādītajām prasībām.</w:t>
      </w:r>
    </w:p>
    <w:p w:rsidR="00000000" w:rsidDel="00000000" w:rsidP="00000000" w:rsidRDefault="00000000" w:rsidRPr="00000000" w14:paraId="00000097">
      <w:pPr>
        <w:pStyle w:val="Heading1"/>
        <w:numPr>
          <w:ilvl w:val="1"/>
          <w:numId w:val="2"/>
        </w:numPr>
        <w:ind w:left="567" w:hanging="384"/>
        <w:jc w:val="both"/>
        <w:rPr>
          <w:sz w:val="22"/>
          <w:szCs w:val="22"/>
        </w:rPr>
      </w:pPr>
      <w:r w:rsidDel="00000000" w:rsidR="00000000" w:rsidRPr="00000000">
        <w:rPr>
          <w:sz w:val="22"/>
          <w:szCs w:val="22"/>
          <w:rtl w:val="0"/>
        </w:rPr>
        <w:t xml:space="preserve">Pretendentu atlase</w:t>
      </w:r>
    </w:p>
    <w:p w:rsidR="00000000" w:rsidDel="00000000" w:rsidP="00000000" w:rsidRDefault="00000000" w:rsidRPr="00000000" w14:paraId="00000098">
      <w:pPr>
        <w:pStyle w:val="Heading1"/>
        <w:numPr>
          <w:ilvl w:val="2"/>
          <w:numId w:val="2"/>
        </w:numPr>
        <w:ind w:left="1080" w:hanging="720"/>
        <w:jc w:val="both"/>
        <w:rPr>
          <w:b w:val="0"/>
          <w:bCs w:val="0"/>
          <w:sz w:val="22"/>
          <w:szCs w:val="22"/>
        </w:rPr>
      </w:pPr>
      <w:r w:rsidDel="00000000" w:rsidR="00000000" w:rsidRPr="00000000">
        <w:rPr>
          <w:b w:val="0"/>
          <w:bCs w:val="0"/>
          <w:sz w:val="22"/>
          <w:szCs w:val="22"/>
          <w:rtl w:val="0"/>
        </w:rPr>
        <w:t xml:space="preserve">Iepirkumu komisija novērtē piedāvājumu noformējuma pārbaudi izturējušā pretendenta atbilstību Atklāta konkursa nolikumā noteiktajām pretendentu atlases prasībām.</w:t>
      </w:r>
    </w:p>
    <w:p w:rsidR="00000000" w:rsidDel="00000000" w:rsidP="00000000" w:rsidRDefault="00000000" w:rsidRPr="00000000" w14:paraId="00000099">
      <w:pPr>
        <w:pStyle w:val="Heading1"/>
        <w:numPr>
          <w:ilvl w:val="2"/>
          <w:numId w:val="2"/>
        </w:numPr>
        <w:spacing w:after="295" w:lineRule="auto"/>
        <w:ind w:left="1080" w:hanging="720"/>
        <w:jc w:val="both"/>
        <w:rPr>
          <w:b w:val="0"/>
          <w:bCs w:val="0"/>
          <w:sz w:val="22"/>
          <w:szCs w:val="22"/>
        </w:rPr>
      </w:pPr>
      <w:r w:rsidDel="00000000" w:rsidR="00000000" w:rsidRPr="00000000">
        <w:rPr>
          <w:b w:val="0"/>
          <w:bCs w:val="0"/>
          <w:sz w:val="22"/>
          <w:szCs w:val="22"/>
          <w:rtl w:val="0"/>
        </w:rPr>
        <w:t xml:space="preserve">Ja pretendents neatbilst kādai no Atklāta konkursa nolikumā noteiktajām pretendentu atlases prasībām, iepirkumu komisija izslēdz pretendentu no turpmākās dalības iepirkumā.</w:t>
      </w:r>
    </w:p>
    <w:p w:rsidR="00000000" w:rsidDel="00000000" w:rsidP="00000000" w:rsidRDefault="00000000" w:rsidRPr="00000000" w14:paraId="0000009A">
      <w:pPr>
        <w:pStyle w:val="Heading1"/>
        <w:numPr>
          <w:ilvl w:val="1"/>
          <w:numId w:val="2"/>
        </w:numPr>
        <w:ind w:left="567" w:hanging="384"/>
        <w:jc w:val="both"/>
        <w:rPr>
          <w:sz w:val="22"/>
          <w:szCs w:val="22"/>
        </w:rPr>
      </w:pPr>
      <w:r w:rsidDel="00000000" w:rsidR="00000000" w:rsidRPr="00000000">
        <w:rPr>
          <w:sz w:val="22"/>
          <w:szCs w:val="22"/>
          <w:rtl w:val="0"/>
        </w:rPr>
        <w:t xml:space="preserve">Finanšu piedāvājumu atbilstības pārbaude </w:t>
      </w:r>
    </w:p>
    <w:p w:rsidR="00000000" w:rsidDel="00000000" w:rsidP="00000000" w:rsidRDefault="00000000" w:rsidRPr="00000000" w14:paraId="0000009B">
      <w:pPr>
        <w:pStyle w:val="Heading1"/>
        <w:numPr>
          <w:ilvl w:val="2"/>
          <w:numId w:val="2"/>
        </w:numPr>
        <w:ind w:left="1080" w:hanging="720"/>
        <w:jc w:val="both"/>
        <w:rPr>
          <w:b w:val="0"/>
          <w:bCs w:val="0"/>
          <w:sz w:val="22"/>
          <w:szCs w:val="22"/>
        </w:rPr>
      </w:pPr>
      <w:r w:rsidDel="00000000" w:rsidR="00000000" w:rsidRPr="00000000">
        <w:rPr>
          <w:b w:val="0"/>
          <w:bCs w:val="0"/>
          <w:sz w:val="22"/>
          <w:szCs w:val="22"/>
          <w:rtl w:val="0"/>
        </w:rPr>
        <w:t xml:space="preserve">Ja Iepirkumu komisija finanšu piedāvājumā konstatē aritmētiskas kļūdas, tā šīs kļūdas izlabo. Par visiem aritmētisko kļūdu labojumiem paziņo pretendentam, kura piedāvājumā labojumi izdarīti. Vērtējot piedāvājumus, kuros bijušas aritmētiskās kļūdas, Iepirkumu komisija ņem vērā tikai iepriekš noteiktajā kārtībā labotās cenas.</w:t>
      </w:r>
    </w:p>
    <w:p w:rsidR="00000000" w:rsidDel="00000000" w:rsidP="00000000" w:rsidRDefault="00000000" w:rsidRPr="00000000" w14:paraId="0000009C">
      <w:pPr>
        <w:pStyle w:val="Heading1"/>
        <w:numPr>
          <w:ilvl w:val="2"/>
          <w:numId w:val="2"/>
        </w:numPr>
        <w:spacing w:after="295" w:lineRule="auto"/>
        <w:ind w:left="1080" w:hanging="720"/>
        <w:jc w:val="both"/>
        <w:rPr>
          <w:b w:val="0"/>
          <w:bCs w:val="0"/>
          <w:sz w:val="22"/>
          <w:szCs w:val="22"/>
        </w:rPr>
      </w:pPr>
      <w:r w:rsidDel="00000000" w:rsidR="00000000" w:rsidRPr="00000000">
        <w:rPr>
          <w:b w:val="0"/>
          <w:bCs w:val="0"/>
          <w:sz w:val="22"/>
          <w:szCs w:val="22"/>
          <w:rtl w:val="0"/>
        </w:rPr>
        <w:t xml:space="preserve">Ja finanšu piedāvājums neatbilst iepirkuma nolikuma prasībām, tad iepirkumu komisija izslēdz pretendentu no turpmākās dalības iepirkumā.</w:t>
      </w:r>
    </w:p>
    <w:p w:rsidR="00000000" w:rsidDel="00000000" w:rsidP="00000000" w:rsidRDefault="00000000" w:rsidRPr="00000000" w14:paraId="0000009D">
      <w:pPr>
        <w:pStyle w:val="Heading1"/>
        <w:numPr>
          <w:ilvl w:val="1"/>
          <w:numId w:val="2"/>
        </w:numPr>
        <w:ind w:left="567" w:hanging="384"/>
        <w:jc w:val="both"/>
        <w:rPr>
          <w:sz w:val="22"/>
          <w:szCs w:val="22"/>
        </w:rPr>
      </w:pPr>
      <w:r w:rsidDel="00000000" w:rsidR="00000000" w:rsidRPr="00000000">
        <w:rPr>
          <w:sz w:val="22"/>
          <w:szCs w:val="22"/>
          <w:rtl w:val="0"/>
        </w:rPr>
        <w:t xml:space="preserve">Tehniskā piedāvājuma atbilstības pārbaude</w:t>
      </w:r>
    </w:p>
    <w:p w:rsidR="00000000" w:rsidDel="00000000" w:rsidP="00000000" w:rsidRDefault="00000000" w:rsidRPr="00000000" w14:paraId="0000009E">
      <w:pPr>
        <w:pStyle w:val="Heading1"/>
        <w:numPr>
          <w:ilvl w:val="2"/>
          <w:numId w:val="2"/>
        </w:numPr>
        <w:ind w:left="1080" w:hanging="720"/>
        <w:jc w:val="both"/>
        <w:rPr>
          <w:b w:val="0"/>
          <w:bCs w:val="0"/>
          <w:sz w:val="22"/>
          <w:szCs w:val="22"/>
        </w:rPr>
      </w:pPr>
      <w:r w:rsidDel="00000000" w:rsidR="00000000" w:rsidRPr="00000000">
        <w:rPr>
          <w:b w:val="0"/>
          <w:bCs w:val="0"/>
          <w:sz w:val="22"/>
          <w:szCs w:val="22"/>
          <w:rtl w:val="0"/>
        </w:rPr>
        <w:t xml:space="preserve">Iepirkumu komisija pārbauda, vai tehniskais piedāvājums atbilst iepirkuma prasībām un Tehniskajai specifikācijai.</w:t>
      </w:r>
    </w:p>
    <w:p w:rsidR="00000000" w:rsidDel="00000000" w:rsidP="00000000" w:rsidRDefault="00000000" w:rsidRPr="00000000" w14:paraId="0000009F">
      <w:pPr>
        <w:pStyle w:val="Heading1"/>
        <w:numPr>
          <w:ilvl w:val="2"/>
          <w:numId w:val="2"/>
        </w:numPr>
        <w:spacing w:after="295" w:lineRule="auto"/>
        <w:ind w:left="1080" w:hanging="720"/>
        <w:jc w:val="both"/>
        <w:rPr>
          <w:b w:val="0"/>
          <w:bCs w:val="0"/>
          <w:sz w:val="22"/>
          <w:szCs w:val="22"/>
        </w:rPr>
      </w:pPr>
      <w:r w:rsidDel="00000000" w:rsidR="00000000" w:rsidRPr="00000000">
        <w:rPr>
          <w:b w:val="0"/>
          <w:bCs w:val="0"/>
          <w:sz w:val="22"/>
          <w:szCs w:val="22"/>
          <w:rtl w:val="0"/>
        </w:rPr>
        <w:t xml:space="preserve">Ja tehniskais piedāvājums neatbilst kādai no iepirkuma nolikuma prasībām un/vai Tehniskās specifikācijas prasībām, iepirkumu komisija izslēdz pretendentu no turpmākās dalības iepirkumā.</w:t>
      </w:r>
    </w:p>
    <w:p w:rsidR="00000000" w:rsidDel="00000000" w:rsidP="00000000" w:rsidRDefault="00000000" w:rsidRPr="00000000" w14:paraId="000000A0">
      <w:pPr>
        <w:pStyle w:val="Heading1"/>
        <w:numPr>
          <w:ilvl w:val="1"/>
          <w:numId w:val="2"/>
        </w:numPr>
        <w:ind w:left="567" w:hanging="384"/>
        <w:jc w:val="both"/>
        <w:rPr>
          <w:b w:val="0"/>
          <w:bCs w:val="0"/>
          <w:sz w:val="22"/>
          <w:szCs w:val="22"/>
        </w:rPr>
      </w:pPr>
      <w:r w:rsidDel="00000000" w:rsidR="00000000" w:rsidRPr="00000000">
        <w:rPr>
          <w:sz w:val="22"/>
          <w:szCs w:val="22"/>
          <w:rtl w:val="0"/>
        </w:rPr>
        <w:t xml:space="preserve">Piedāvājuma</w:t>
      </w:r>
      <w:r w:rsidDel="00000000" w:rsidR="00000000" w:rsidRPr="00000000">
        <w:rPr>
          <w:b w:val="0"/>
          <w:bCs w:val="0"/>
          <w:sz w:val="22"/>
          <w:szCs w:val="22"/>
          <w:rtl w:val="0"/>
        </w:rPr>
        <w:t xml:space="preserve"> </w:t>
      </w:r>
      <w:r w:rsidDel="00000000" w:rsidR="00000000" w:rsidRPr="00000000">
        <w:rPr>
          <w:sz w:val="22"/>
          <w:szCs w:val="22"/>
          <w:rtl w:val="0"/>
        </w:rPr>
        <w:t xml:space="preserve">vērtēšana</w:t>
      </w:r>
      <w:r w:rsidDel="00000000" w:rsidR="00000000" w:rsidRPr="00000000">
        <w:rPr>
          <w:rtl w:val="0"/>
        </w:rPr>
      </w:r>
    </w:p>
    <w:p w:rsidR="00000000" w:rsidDel="00000000" w:rsidP="00000000" w:rsidRDefault="00000000" w:rsidRPr="00000000" w14:paraId="000000A1">
      <w:pPr>
        <w:pStyle w:val="Heading1"/>
        <w:numPr>
          <w:ilvl w:val="2"/>
          <w:numId w:val="2"/>
        </w:numPr>
        <w:ind w:left="1080" w:hanging="720"/>
        <w:jc w:val="both"/>
        <w:rPr>
          <w:b w:val="0"/>
          <w:bCs w:val="0"/>
          <w:sz w:val="22"/>
          <w:szCs w:val="22"/>
        </w:rPr>
      </w:pPr>
      <w:r w:rsidDel="00000000" w:rsidR="00000000" w:rsidRPr="00000000">
        <w:rPr>
          <w:b w:val="0"/>
          <w:bCs w:val="0"/>
          <w:sz w:val="22"/>
          <w:szCs w:val="22"/>
          <w:rtl w:val="0"/>
        </w:rPr>
        <w:t xml:space="preserve">Iepirkumu komisija no piedāvājumiem, kuri atbilst Atklāta konkursa nolikuma prasībām, izvēlas saimnieciski visizdevīgāko piedāvājumu.</w:t>
      </w:r>
    </w:p>
    <w:p w:rsidR="00000000" w:rsidDel="00000000" w:rsidP="00000000" w:rsidRDefault="00000000" w:rsidRPr="00000000" w14:paraId="000000A2">
      <w:pPr>
        <w:pStyle w:val="Heading1"/>
        <w:numPr>
          <w:ilvl w:val="2"/>
          <w:numId w:val="2"/>
        </w:numPr>
        <w:ind w:left="1080" w:hanging="720"/>
        <w:jc w:val="both"/>
        <w:rPr>
          <w:b w:val="0"/>
          <w:bCs w:val="0"/>
          <w:sz w:val="22"/>
          <w:szCs w:val="22"/>
        </w:rPr>
      </w:pPr>
      <w:r w:rsidDel="00000000" w:rsidR="00000000" w:rsidRPr="00000000">
        <w:rPr>
          <w:b w:val="0"/>
          <w:bCs w:val="0"/>
          <w:sz w:val="22"/>
          <w:szCs w:val="22"/>
          <w:rtl w:val="0"/>
        </w:rPr>
        <w:t xml:space="preserve">Ja iepirkumu komisija, pēc savas kompetences un pieredzes, kā arī pēc pakalpojuma tirgus cenu salīdzināšanas principa, konstatē, ka konkrētais piedāvājums varētu būt nepamatoti lēts, iepirkumu komisija pirms šī piedāvājuma noraidīšanas rakstveidā pieprasa pretendentam detalizētu paskaidrojumu par būtiskajiem piedāvājuma nosacījumiem, kas ir par pamatu cenas veidošanās principam, atbilstoši PIL 53. pantam;</w:t>
      </w:r>
    </w:p>
    <w:p w:rsidR="00000000" w:rsidDel="00000000" w:rsidP="00000000" w:rsidRDefault="00000000" w:rsidRPr="00000000" w14:paraId="000000A3">
      <w:pPr>
        <w:pStyle w:val="Heading1"/>
        <w:numPr>
          <w:ilvl w:val="2"/>
          <w:numId w:val="2"/>
        </w:numPr>
        <w:spacing w:after="295" w:lineRule="auto"/>
        <w:ind w:left="1080" w:hanging="720"/>
        <w:jc w:val="both"/>
        <w:rPr>
          <w:b w:val="0"/>
          <w:bCs w:val="0"/>
          <w:sz w:val="22"/>
          <w:szCs w:val="22"/>
        </w:rPr>
      </w:pPr>
      <w:r w:rsidDel="00000000" w:rsidR="00000000" w:rsidRPr="00000000">
        <w:rPr>
          <w:b w:val="0"/>
          <w:bCs w:val="0"/>
          <w:sz w:val="22"/>
          <w:szCs w:val="22"/>
          <w:rtl w:val="0"/>
        </w:rPr>
        <w:t xml:space="preserve">Pēc tehnisko un finanšu piedāvājumu pārbaudes iepirkumu komisija izvēlās saimnieciski visizdevīgāko piedāvājumu, kas atbilst nolikuma prasībām un tehniskajai specifikācijai, saskaņā ar vērtēšanas kritērijiem (nolikuma 6.pielikums).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1"/>
        <w:numPr>
          <w:ilvl w:val="0"/>
          <w:numId w:val="2"/>
        </w:numPr>
        <w:spacing w:after="295" w:lineRule="auto"/>
        <w:ind w:left="720" w:hanging="360"/>
        <w:jc w:val="both"/>
        <w:rPr>
          <w:sz w:val="22"/>
          <w:szCs w:val="22"/>
        </w:rPr>
      </w:pPr>
      <w:r w:rsidDel="00000000" w:rsidR="00000000" w:rsidRPr="00000000">
        <w:rPr>
          <w:sz w:val="22"/>
          <w:szCs w:val="22"/>
          <w:rtl w:val="0"/>
        </w:rPr>
        <w:t xml:space="preserve">IEPIRKUMA UZVARĒTĀJA NOTEIKŠANA</w:t>
      </w:r>
    </w:p>
    <w:p w:rsidR="00000000" w:rsidDel="00000000" w:rsidP="00000000" w:rsidRDefault="00000000" w:rsidRPr="00000000" w14:paraId="000000A6">
      <w:pPr>
        <w:pStyle w:val="Heading1"/>
        <w:numPr>
          <w:ilvl w:val="1"/>
          <w:numId w:val="2"/>
        </w:numPr>
        <w:ind w:left="526" w:right="50" w:hanging="384"/>
        <w:jc w:val="both"/>
        <w:rPr>
          <w:sz w:val="22"/>
          <w:szCs w:val="22"/>
        </w:rPr>
      </w:pPr>
      <w:r w:rsidDel="00000000" w:rsidR="00000000" w:rsidRPr="00000000">
        <w:rPr>
          <w:sz w:val="22"/>
          <w:szCs w:val="22"/>
          <w:rtl w:val="0"/>
        </w:rPr>
        <w:t xml:space="preserve">Informācijas pārbaude pirms lēmuma par iepirkuma līguma slēgšanas tiesību piešķiršanu pieņemšanas</w:t>
      </w:r>
    </w:p>
    <w:p w:rsidR="00000000" w:rsidDel="00000000" w:rsidP="00000000" w:rsidRDefault="00000000" w:rsidRPr="00000000" w14:paraId="000000A7">
      <w:pPr>
        <w:pStyle w:val="Heading1"/>
        <w:numPr>
          <w:ilvl w:val="2"/>
          <w:numId w:val="2"/>
        </w:numPr>
        <w:ind w:left="1080" w:right="50" w:hanging="720"/>
        <w:jc w:val="both"/>
        <w:rPr>
          <w:b w:val="0"/>
          <w:bCs w:val="0"/>
          <w:sz w:val="22"/>
          <w:szCs w:val="22"/>
        </w:rPr>
      </w:pPr>
      <w:r w:rsidDel="00000000" w:rsidR="00000000" w:rsidRPr="00000000">
        <w:rPr>
          <w:b w:val="0"/>
          <w:bCs w:val="0"/>
          <w:sz w:val="22"/>
          <w:szCs w:val="22"/>
          <w:rtl w:val="0"/>
        </w:rPr>
        <w:t xml:space="preserve">Pasūtītājs pārbaudi saskaņā ar PIL 42. panta otrajā daļā (izņemot 8. un 9. apakšpunktu) noteikto pretendentu izslēgšanas gadījumu esamību un Starptautisko un Latvijas Republikas nacionālo sankciju likuma 11.1 panta pirmajā daļā noteikto pretendentu izslēgšanas gadījumu esamību Atklātā konkursā veic attiecībā uz katru pretendentu (arī uz personālsabiedrības biedru, ja pretendents ir personālsabiedrība), kuram būtu piešķiramas līguma slēgšanas tiesības Atklātā konkursā.</w:t>
      </w:r>
    </w:p>
    <w:p w:rsidR="00000000" w:rsidDel="00000000" w:rsidP="00000000" w:rsidRDefault="00000000" w:rsidRPr="00000000" w14:paraId="000000A8">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Ja pasūtītājs konstatē, ka uz pretendentu vai PIL 42. panta trešajā daļā minētajām personām attiecas kāds no PIL 42.panta otrajā daļā (izņemot 8. un 9. apakšpunktu) noteiktajiem izslēgšanas nosacījumiem vai Starptautisko un Latvijas Republikas nacionālo sankciju likuma 11.1 panta pirmajā daļā noteiktajiem izslēgšanas gadījumiem, pasūtītājs rīkojas saskaņā ar PIL 42. un 43.pantu. </w:t>
      </w:r>
    </w:p>
    <w:p w:rsidR="00000000" w:rsidDel="00000000" w:rsidP="00000000" w:rsidRDefault="00000000" w:rsidRPr="00000000" w14:paraId="000000A9">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Ja pasūtītājs izslēdz pretendentu no dalības Atklātā konkursā, tad pasūtītājs izvēlas nākamo Atklāta konkursa nolikuma prasībām atbilstošu saimnieciski visizdevīgāko piedāvājumu un veic pārbaudi atbilstoši Atklāta konkursa nolikuma 5.1.1.apakšpunktam.</w:t>
      </w:r>
    </w:p>
    <w:p w:rsidR="00000000" w:rsidDel="00000000" w:rsidP="00000000" w:rsidRDefault="00000000" w:rsidRPr="00000000" w14:paraId="000000AA">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Ja pasūtītājs jau pēc lēmuma par Atklāta konkursa rezultātiem pieņemšanas konstatē, ka uz pretendentu vai PIL 42. panta trešajā daļā minētajām personām attiecas kāds no PIL 42.panta otrajā daļā (izņemot 8. un 9. apakšpunktu) vai Latvijas Republikas nacionālo sankciju likuma 11.1 panta pirmajā daļā minētajiem izslēgšanas nosacījumiem, tad pasūtītājs nav tiesīgs slēgt iepirkuma līgumu ar konkrēto pretendentu un var pieņemt jaunu lēmumu par Atklāta konkursa rezultātiem, izvēloties nākamo Atklāta konkursa nolikuma prasībām atbilstošo saimnieciski visizdevīgāko piedāvājumu.</w:t>
      </w:r>
    </w:p>
    <w:p w:rsidR="00000000" w:rsidDel="00000000" w:rsidP="00000000" w:rsidRDefault="00000000" w:rsidRPr="00000000" w14:paraId="000000AB">
      <w:pPr>
        <w:pStyle w:val="Heading1"/>
        <w:numPr>
          <w:ilvl w:val="0"/>
          <w:numId w:val="2"/>
        </w:numPr>
        <w:spacing w:after="295" w:lineRule="auto"/>
        <w:ind w:left="720" w:hanging="360"/>
        <w:jc w:val="both"/>
        <w:rPr>
          <w:sz w:val="22"/>
          <w:szCs w:val="22"/>
        </w:rPr>
      </w:pPr>
      <w:r w:rsidDel="00000000" w:rsidR="00000000" w:rsidRPr="00000000">
        <w:rPr>
          <w:sz w:val="22"/>
          <w:szCs w:val="22"/>
          <w:rtl w:val="0"/>
        </w:rPr>
        <w:t xml:space="preserve">IEPIRKUMA LĪGUMS</w:t>
      </w:r>
    </w:p>
    <w:p w:rsidR="00000000" w:rsidDel="00000000" w:rsidP="00000000" w:rsidRDefault="00000000" w:rsidRPr="00000000" w14:paraId="000000A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4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Pasūtītājs slēdz iepirkuma līgumu ar Atklātā konkursā uzvarējušo pretendentu, kura piedāvājums atzīts par atbilstošu un ir saimnieciski visizdevīgākais, pamatojoties uz pretendenta piedāvājumu, saskaņā ar Atklāta konkursa nolikuma noteikumiem un līguma projektu (nolikuma 6.pielikums).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pretendents, kura piedāvājums atzīts par saimnieciski visizdevīgāko piedāvājumu, atsakās slēgt iepirkuma līgumu vai atkārtotā uzaicinājumā norādītajā termiņā nav noslēdzis iepirkuma līgumu, iepirkumu komisija nolemj par iepirkuma līguma slēgšanu ar pretendentu, kura piedāvājums atzīts par nākamo saimnieciski visizdevīgāko piedāvājumu, vai pārtraukt Atklātu konkursu, neizvēloties nevienu piedāvājumu</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Iepirkuma līgumu slēdz ne agrāk kā nākamajā darbdienā pēc nogaidīšanas termiņa beigām, ja Iepirkumu uzraudzības birojam nav PIL 68. pantā noteiktajā kārtībā iesniegts iesniegums par iepirkuma procedūras pārkāpumiem.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526" w:right="0" w:hanging="3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Pretendentam, kuram piešķirtas līguma slēgšanas tiesības Atklātā konkursā, iepirkuma līgums jāparaksta 5 (piecu) darbdienu laikā no iepirkumu komisijas nosūtītā uzaicinājuma parakstīt iepirkuma līgumu (e-pasta veidā) nosūtīšanas dienas. Ja norādītajā termiņā minētais pretendents neparaksta iepirkuma līgumu, tas tiek uzskatīts par atteikumu slēgt iepirkuma līgumu.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526" w:right="0" w:hanging="3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Pēc iepirkumu komisijas pieprasījuma piegādātāju apvienība, attiecībā uz kuru pieņemts lēmums par līguma slēgšanas tiesību piešķiršanu reģistrē personālsabiedrību Latvijas Republikas Uzņēmumu reģistra Komercreģistrā 10 (desmit) darbadienu laikā pēc dienas, kad iepirkumu komisijas lēmums par llīguma slēgšanas tiesību piešķiršanu kļuvis nepārsūdzams Iepirkumu uzraudzības birojā vai arī noslēdz sabiedrības līgumu</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5">
      <w:pPr>
        <w:pStyle w:val="Heading1"/>
        <w:spacing w:after="295" w:lineRule="auto"/>
        <w:jc w:val="both"/>
        <w:rPr>
          <w:sz w:val="22"/>
          <w:szCs w:val="22"/>
        </w:rPr>
      </w:pPr>
      <w:r w:rsidDel="00000000" w:rsidR="00000000" w:rsidRPr="00000000">
        <w:rPr>
          <w:rtl w:val="0"/>
        </w:rPr>
      </w:r>
    </w:p>
    <w:p w:rsidR="00000000" w:rsidDel="00000000" w:rsidP="00000000" w:rsidRDefault="00000000" w:rsidRPr="00000000" w14:paraId="000000B6">
      <w:pPr>
        <w:pStyle w:val="Heading1"/>
        <w:numPr>
          <w:ilvl w:val="0"/>
          <w:numId w:val="2"/>
        </w:numPr>
        <w:spacing w:after="295" w:lineRule="auto"/>
        <w:ind w:left="720" w:hanging="360"/>
        <w:jc w:val="both"/>
        <w:rPr>
          <w:sz w:val="22"/>
          <w:szCs w:val="22"/>
        </w:rPr>
      </w:pPr>
      <w:r w:rsidDel="00000000" w:rsidR="00000000" w:rsidRPr="00000000">
        <w:rPr>
          <w:sz w:val="22"/>
          <w:szCs w:val="22"/>
          <w:rtl w:val="0"/>
        </w:rPr>
        <w:t xml:space="preserve">IEPIRKUMA KOMISIJAS TIESĪBAS UN PIENĀKUMI</w:t>
      </w:r>
    </w:p>
    <w:p w:rsidR="00000000" w:rsidDel="00000000" w:rsidP="00000000" w:rsidRDefault="00000000" w:rsidRPr="00000000" w14:paraId="000000B7">
      <w:pPr>
        <w:pStyle w:val="Heading1"/>
        <w:numPr>
          <w:ilvl w:val="1"/>
          <w:numId w:val="2"/>
        </w:numPr>
        <w:spacing w:after="295" w:lineRule="auto"/>
        <w:ind w:left="526" w:right="50" w:hanging="384"/>
        <w:jc w:val="both"/>
        <w:rPr>
          <w:b w:val="0"/>
          <w:bCs w:val="0"/>
          <w:sz w:val="22"/>
          <w:szCs w:val="22"/>
        </w:rPr>
      </w:pPr>
      <w:r w:rsidDel="00000000" w:rsidR="00000000" w:rsidRPr="00000000">
        <w:rPr>
          <w:sz w:val="22"/>
          <w:szCs w:val="22"/>
          <w:rtl w:val="0"/>
        </w:rPr>
        <w:t xml:space="preserve">Iepirkumu komisijai ir tiesības:</w:t>
      </w:r>
      <w:r w:rsidDel="00000000" w:rsidR="00000000" w:rsidRPr="00000000">
        <w:rPr>
          <w:rtl w:val="0"/>
        </w:rPr>
      </w:r>
    </w:p>
    <w:p w:rsidR="00000000" w:rsidDel="00000000" w:rsidP="00000000" w:rsidRDefault="00000000" w:rsidRPr="00000000" w14:paraId="000000B8">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Izdarīt grozījumus Atklāta konkursa nolikumā PIL 35. panta trešajā daļā noteiktajā kārtībā;</w:t>
      </w:r>
    </w:p>
    <w:p w:rsidR="00000000" w:rsidDel="00000000" w:rsidP="00000000" w:rsidRDefault="00000000" w:rsidRPr="00000000" w14:paraId="000000B9">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Izslēgt pretendentu no turpmākās dalības Atklātā konkursā un neizskatīt pretendenta piedāvājumu, PIL 42.panta otrajā daļā (izņemot 8. un 9. apakšpunktu) vai Latvijas Republikas nacionālo sankciju likuma 11.1 panta pirmajā daļā noteiktajos gadījumos;</w:t>
      </w:r>
    </w:p>
    <w:p w:rsidR="00000000" w:rsidDel="00000000" w:rsidP="00000000" w:rsidRDefault="00000000" w:rsidRPr="00000000" w14:paraId="000000BA">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Piedāvājumu noformējuma pārbaudē, piedāvājumu atbilstības pārbaudē, pretendentu kvalifikācijas pārbaudē un piedāvājumu vērtēšanā nepieciešamības gadījumā pieaicināt ekspertu ar padomdevēja tiesībām. Eksperta vērtējumam ir ieteikuma raksturs;</w:t>
      </w:r>
    </w:p>
    <w:p w:rsidR="00000000" w:rsidDel="00000000" w:rsidP="00000000" w:rsidRDefault="00000000" w:rsidRPr="00000000" w14:paraId="000000BB">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Pieprasīt, lai pretendents precizē informāciju par savu piedāvājumu, ja tas nepieciešams piedāvājumu noformējuma pārbaudei, piedāvājumu atbilstības pārbaudei, pretendentu kvalifikācijas pārbaudei, kā arī piedāvājumu vērtēšanai un salīdzināšanai;</w:t>
      </w:r>
    </w:p>
    <w:p w:rsidR="00000000" w:rsidDel="00000000" w:rsidP="00000000" w:rsidRDefault="00000000" w:rsidRPr="00000000" w14:paraId="000000BC">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Pieprasīt pretendentam iesniegt dokumenta oriģinālu vai apliecinātu dokumenta kopiju, ja iepirkumu komisijai rodas šaubas par iesniegtās dokumenta kopijas autentiskumu;</w:t>
      </w:r>
    </w:p>
    <w:p w:rsidR="00000000" w:rsidDel="00000000" w:rsidP="00000000" w:rsidRDefault="00000000" w:rsidRPr="00000000" w14:paraId="000000BD">
      <w:pPr>
        <w:pStyle w:val="Heading1"/>
        <w:numPr>
          <w:ilvl w:val="2"/>
          <w:numId w:val="2"/>
        </w:numPr>
        <w:spacing w:after="295" w:lineRule="auto"/>
        <w:ind w:left="1080" w:right="50" w:hanging="720"/>
        <w:jc w:val="both"/>
        <w:rPr>
          <w:sz w:val="22"/>
          <w:szCs w:val="22"/>
        </w:rPr>
      </w:pPr>
      <w:r w:rsidDel="00000000" w:rsidR="00000000" w:rsidRPr="00000000">
        <w:rPr>
          <w:b w:val="0"/>
          <w:bCs w:val="0"/>
          <w:sz w:val="22"/>
          <w:szCs w:val="22"/>
          <w:rtl w:val="0"/>
        </w:rPr>
        <w:t xml:space="preserve">Jebkurā brīdī pārtraukt Atklātu konkursu, ja tam ir objektīvs pamatojums. Iepirkumu komisija 3 (trīs) darbdienu laikā pēc lēmuma pieņemšanas vienlaikus informē visus pretendentus par visiem iemesliem, kuru dēļ Atklāts konkurss tiek pārtraukts.</w:t>
      </w:r>
      <w:r w:rsidDel="00000000" w:rsidR="00000000" w:rsidRPr="00000000">
        <w:rPr>
          <w:rtl w:val="0"/>
        </w:rPr>
      </w:r>
    </w:p>
    <w:p w:rsidR="00000000" w:rsidDel="00000000" w:rsidP="00000000" w:rsidRDefault="00000000" w:rsidRPr="00000000" w14:paraId="000000BE">
      <w:pPr>
        <w:pStyle w:val="Heading1"/>
        <w:numPr>
          <w:ilvl w:val="1"/>
          <w:numId w:val="2"/>
        </w:numPr>
        <w:spacing w:after="295" w:lineRule="auto"/>
        <w:ind w:left="526" w:right="50" w:hanging="384"/>
        <w:jc w:val="both"/>
        <w:rPr>
          <w:b w:val="0"/>
          <w:bCs w:val="0"/>
          <w:sz w:val="22"/>
          <w:szCs w:val="22"/>
        </w:rPr>
      </w:pPr>
      <w:r w:rsidDel="00000000" w:rsidR="00000000" w:rsidRPr="00000000">
        <w:rPr>
          <w:sz w:val="22"/>
          <w:szCs w:val="22"/>
          <w:rtl w:val="0"/>
        </w:rPr>
        <w:t xml:space="preserve">Iepirkumu komisijai ir pienākumi</w:t>
      </w:r>
      <w:r w:rsidDel="00000000" w:rsidR="00000000" w:rsidRPr="00000000">
        <w:rPr>
          <w:rtl w:val="0"/>
        </w:rPr>
      </w:r>
    </w:p>
    <w:p w:rsidR="00000000" w:rsidDel="00000000" w:rsidP="00000000" w:rsidRDefault="00000000" w:rsidRPr="00000000" w14:paraId="000000BF">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Nodrošināt visiem ieinteresētajiem piegādātājiem pieejamību informācijai par izdarītajiem grozījumiem nolikumā un sniegto papildu informāciju par nolikumu;</w:t>
      </w:r>
    </w:p>
    <w:p w:rsidR="00000000" w:rsidDel="00000000" w:rsidP="00000000" w:rsidRDefault="00000000" w:rsidRPr="00000000" w14:paraId="000000C0">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Pēc ieinteresētā piegādātāja pieprasījuma sniegt papildu informāciju par Atklāta konkursa nolikumu;</w:t>
      </w:r>
    </w:p>
    <w:p w:rsidR="00000000" w:rsidDel="00000000" w:rsidP="00000000" w:rsidRDefault="00000000" w:rsidRPr="00000000" w14:paraId="000000C1">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Vērtēt pretendentus un to iesniegtos piedāvājumus saskaņā ar PIL un nolikumu;</w:t>
      </w:r>
    </w:p>
    <w:p w:rsidR="00000000" w:rsidDel="00000000" w:rsidP="00000000" w:rsidRDefault="00000000" w:rsidRPr="00000000" w14:paraId="000000C2">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Piedāvājumu izvērtēšanas laikā līdz Atklāta konkursa rezultātu  paziņošanai  nesniegt  informāciju par piedāvājumu vērtēšanas procesu;</w:t>
      </w:r>
    </w:p>
    <w:p w:rsidR="00000000" w:rsidDel="00000000" w:rsidP="00000000" w:rsidRDefault="00000000" w:rsidRPr="00000000" w14:paraId="000000C3">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3 (triju) darba dienu laikā vienlaikus informēt visus pretendentus par iepirkumu komisijas pieņemto lēmumu attiecībā uz iepirkuma līgumu slēgšanu atbilstoši PIL noteiktajām prasībām.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1"/>
        <w:numPr>
          <w:ilvl w:val="0"/>
          <w:numId w:val="2"/>
        </w:numPr>
        <w:spacing w:after="295" w:lineRule="auto"/>
        <w:ind w:left="720" w:hanging="360"/>
        <w:jc w:val="both"/>
        <w:rPr>
          <w:sz w:val="22"/>
          <w:szCs w:val="22"/>
          <w:u w:val="none"/>
        </w:rPr>
      </w:pPr>
      <w:r w:rsidDel="00000000" w:rsidR="00000000" w:rsidRPr="00000000">
        <w:rPr>
          <w:sz w:val="22"/>
          <w:szCs w:val="22"/>
          <w:u w:val="none"/>
          <w:rtl w:val="0"/>
        </w:rPr>
        <w:t xml:space="preserve">PRETENDENTA TIESĪBAS UN PIENĀKUMI</w:t>
      </w:r>
    </w:p>
    <w:p w:rsidR="00000000" w:rsidDel="00000000" w:rsidP="00000000" w:rsidRDefault="00000000" w:rsidRPr="00000000" w14:paraId="000000C6">
      <w:pPr>
        <w:pStyle w:val="Heading1"/>
        <w:numPr>
          <w:ilvl w:val="1"/>
          <w:numId w:val="2"/>
        </w:numPr>
        <w:spacing w:after="295" w:lineRule="auto"/>
        <w:ind w:left="526" w:right="50" w:hanging="384"/>
        <w:jc w:val="both"/>
        <w:rPr>
          <w:b w:val="0"/>
          <w:bCs w:val="0"/>
          <w:sz w:val="22"/>
          <w:szCs w:val="22"/>
          <w:u w:val="none"/>
        </w:rPr>
      </w:pPr>
      <w:r w:rsidDel="00000000" w:rsidR="00000000" w:rsidRPr="00000000">
        <w:rPr>
          <w:sz w:val="22"/>
          <w:szCs w:val="22"/>
          <w:u w:val="none"/>
          <w:rtl w:val="0"/>
        </w:rPr>
        <w:t xml:space="preserve">Pretendentam </w:t>
      </w:r>
      <w:r w:rsidDel="00000000" w:rsidR="00000000" w:rsidRPr="00000000">
        <w:rPr>
          <w:sz w:val="22"/>
          <w:szCs w:val="22"/>
          <w:rtl w:val="0"/>
        </w:rPr>
        <w:t xml:space="preserve">ir</w:t>
      </w:r>
      <w:r w:rsidDel="00000000" w:rsidR="00000000" w:rsidRPr="00000000">
        <w:rPr>
          <w:sz w:val="22"/>
          <w:szCs w:val="22"/>
          <w:u w:val="none"/>
          <w:rtl w:val="0"/>
        </w:rPr>
        <w:t xml:space="preserve"> tiesības </w:t>
      </w:r>
      <w:r w:rsidDel="00000000" w:rsidR="00000000" w:rsidRPr="00000000">
        <w:rPr>
          <w:rtl w:val="0"/>
        </w:rPr>
      </w:r>
    </w:p>
    <w:p w:rsidR="00000000" w:rsidDel="00000000" w:rsidP="00000000" w:rsidRDefault="00000000" w:rsidRPr="00000000" w14:paraId="000000C7">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Pieprasīt papildu informāciju par Atklāta konkursa nolikumu, ievērojot Atklāta konkursa nolikuma noteikumus;</w:t>
      </w:r>
    </w:p>
    <w:p w:rsidR="00000000" w:rsidDel="00000000" w:rsidP="00000000" w:rsidRDefault="00000000" w:rsidRPr="00000000" w14:paraId="000000C8">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Veidot piegādātāju apvienības un iesniegt vienu kopēju piedāvājumu Atklātā konkursā;</w:t>
      </w:r>
    </w:p>
    <w:p w:rsidR="00000000" w:rsidDel="00000000" w:rsidP="00000000" w:rsidRDefault="00000000" w:rsidRPr="00000000" w14:paraId="000000C9">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Piedāvājumā noteikt, kura no piedāvājumā ietvertās informācijas ir komercnoslēpums vai konfidenciāla informācija, pamatojoties uz PIL 14. panta otro daļu. </w:t>
      </w:r>
    </w:p>
    <w:p w:rsidR="00000000" w:rsidDel="00000000" w:rsidP="00000000" w:rsidRDefault="00000000" w:rsidRPr="00000000" w14:paraId="000000CA">
      <w:pPr>
        <w:pStyle w:val="Heading1"/>
        <w:numPr>
          <w:ilvl w:val="1"/>
          <w:numId w:val="2"/>
        </w:numPr>
        <w:spacing w:after="295" w:lineRule="auto"/>
        <w:ind w:left="526" w:right="50" w:hanging="384"/>
        <w:jc w:val="both"/>
        <w:rPr>
          <w:b w:val="0"/>
          <w:bCs w:val="0"/>
          <w:sz w:val="22"/>
          <w:szCs w:val="22"/>
          <w:u w:val="none"/>
        </w:rPr>
      </w:pPr>
      <w:r w:rsidDel="00000000" w:rsidR="00000000" w:rsidRPr="00000000">
        <w:rPr>
          <w:sz w:val="22"/>
          <w:szCs w:val="22"/>
          <w:u w:val="none"/>
          <w:rtl w:val="0"/>
        </w:rPr>
        <w:t xml:space="preserve">Pretendentam ir pienākumi</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Lejupielādējot Iepirkuma nolikumu, ieinteresētais piegādātājs apņemas sekot līdzi turpmākajām izmaiņām Iepirkuma nolikumā, kā arī Iepirkuma komisijas sniegtajām atbildēm uz ieinteresēto piegādātāju jautājumiem, kas tiks publicētas iepirkumu uzraudzības biroja mājas lapā;</w:t>
      </w:r>
    </w:p>
    <w:p w:rsidR="00000000" w:rsidDel="00000000" w:rsidP="00000000" w:rsidRDefault="00000000" w:rsidRPr="00000000" w14:paraId="000000CC">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Sniegt patiesu informāciju;</w:t>
      </w:r>
    </w:p>
    <w:p w:rsidR="00000000" w:rsidDel="00000000" w:rsidP="00000000" w:rsidRDefault="00000000" w:rsidRPr="00000000" w14:paraId="000000CD">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Iepirkumu komisijas norādītajā termiņā rakstveidā sniegt atbildes un paskaidrojumus uz Iepirkumu komisijas uzdotajiem jautājumiem par piedāvājumu;</w:t>
      </w:r>
    </w:p>
    <w:p w:rsidR="00000000" w:rsidDel="00000000" w:rsidP="00000000" w:rsidRDefault="00000000" w:rsidRPr="00000000" w14:paraId="000000CE">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Pēc iepirkumu komisijas pieprasījuma, iepirkumu komisijas norādītajā termiņā                                                                                                                                                                                                                                                                                                                                                rakstveidā sniegt informāciju par pretendenta piedāvājuma tehniskajā - finanšu piedāvājumā norādītās cenas veidošanās mehānismu;</w:t>
      </w:r>
    </w:p>
    <w:p w:rsidR="00000000" w:rsidDel="00000000" w:rsidP="00000000" w:rsidRDefault="00000000" w:rsidRPr="00000000" w14:paraId="000000CF">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Katrs pretendents līdz ar piedāvājuma iesniegšanu apņemas ievērot visus Atklāta konkursa nolikumā minētos noteikumus kā pamatu Atklāta konkursa izpildei;</w:t>
      </w:r>
    </w:p>
    <w:p w:rsidR="00000000" w:rsidDel="00000000" w:rsidP="00000000" w:rsidRDefault="00000000" w:rsidRPr="00000000" w14:paraId="000000D0">
      <w:pPr>
        <w:pStyle w:val="Heading1"/>
        <w:numPr>
          <w:ilvl w:val="2"/>
          <w:numId w:val="2"/>
        </w:numPr>
        <w:spacing w:after="295" w:lineRule="auto"/>
        <w:ind w:left="1080" w:right="50" w:hanging="720"/>
        <w:jc w:val="both"/>
        <w:rPr>
          <w:b w:val="0"/>
          <w:bCs w:val="0"/>
          <w:sz w:val="22"/>
          <w:szCs w:val="22"/>
        </w:rPr>
      </w:pPr>
      <w:r w:rsidDel="00000000" w:rsidR="00000000" w:rsidRPr="00000000">
        <w:rPr>
          <w:b w:val="0"/>
          <w:bCs w:val="0"/>
          <w:sz w:val="22"/>
          <w:szCs w:val="22"/>
          <w:rtl w:val="0"/>
        </w:rPr>
        <w:t xml:space="preserve">Veikt citas darbības saskaņā ar PIL, citiem normatīvajiem aktiem un Atklāta konkursa nolikumu.</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tab/>
        <w:t xml:space="preserve">PIELIKUMU SARAKSTS</w:t>
      </w:r>
    </w:p>
    <w:p w:rsidR="00000000" w:rsidDel="00000000" w:rsidP="00000000" w:rsidRDefault="00000000" w:rsidRPr="00000000" w14:paraId="000000D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1.pielikums -  Pieteikums ( t.sk. apliecinājums par neatkarīgi izstrādātu piedāvājumu)</w:t>
      </w:r>
    </w:p>
    <w:p w:rsidR="00000000" w:rsidDel="00000000" w:rsidP="00000000" w:rsidRDefault="00000000" w:rsidRPr="00000000" w14:paraId="000000D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2.pielikums - Tehniskā specifikācija </w:t>
      </w:r>
    </w:p>
    <w:p w:rsidR="00000000" w:rsidDel="00000000" w:rsidP="00000000" w:rsidRDefault="00000000" w:rsidRPr="00000000" w14:paraId="000000D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3.pielikums – Tehniskais piedāvājums</w:t>
      </w:r>
    </w:p>
    <w:p w:rsidR="00000000" w:rsidDel="00000000" w:rsidP="00000000" w:rsidRDefault="00000000" w:rsidRPr="00000000" w14:paraId="000000D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4.pielikums - Finanšu piedāvājums</w:t>
      </w:r>
    </w:p>
    <w:p w:rsidR="00000000" w:rsidDel="00000000" w:rsidP="00000000" w:rsidRDefault="00000000" w:rsidRPr="00000000" w14:paraId="000000D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5.pielikums – Iepirkuma līgums (projekts)</w:t>
      </w:r>
    </w:p>
    <w:p w:rsidR="00000000" w:rsidDel="00000000" w:rsidP="00000000" w:rsidRDefault="00000000" w:rsidRPr="00000000" w14:paraId="000000D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6.pielikums - Tehniskā piedāvājuma vērtēšanas lapa (paraugs)</w:t>
      </w:r>
    </w:p>
    <w:p w:rsidR="00000000" w:rsidDel="00000000" w:rsidP="00000000" w:rsidRDefault="00000000" w:rsidRPr="00000000" w14:paraId="000000D9">
      <w:pPr>
        <w:ind w:left="720" w:firstLine="0"/>
        <w:rPr>
          <w:rFonts w:ascii="Times New Roman" w:cs="Times New Roman" w:eastAsia="Times New Roman" w:hAnsi="Times New Roman"/>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center"/>
      <w:rPr>
        <w:rFonts w:ascii="Arial" w:cs="Arial" w:eastAsia="Arial" w:hAnsi="Arial"/>
        <w:b w:val="1"/>
        <w:bCs w:val="1"/>
        <w:color w:val="191919"/>
        <w:sz w:val="18"/>
        <w:szCs w:val="18"/>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SIA “NS ESTATE”</w:t>
    </w:r>
    <w:r w:rsidDel="00000000" w:rsidR="00000000" w:rsidRPr="00000000">
      <w:rPr>
        <w:rFonts w:ascii="Times New Roman" w:cs="Times New Roman" w:eastAsia="Times New Roman" w:hAnsi="Times New Roman"/>
        <w:color w:val="191919"/>
        <w:sz w:val="20"/>
        <w:szCs w:val="20"/>
        <w:rtl w:val="0"/>
      </w:rPr>
      <w:t xml:space="preserve">, Reģ. Nr.</w:t>
    </w:r>
    <w:r w:rsidDel="00000000" w:rsidR="00000000" w:rsidRPr="00000000">
      <w:rPr>
        <w:rFonts w:ascii="Times New Roman" w:cs="Times New Roman" w:eastAsia="Times New Roman" w:hAnsi="Times New Roman"/>
        <w:sz w:val="20"/>
        <w:szCs w:val="20"/>
        <w:rtl w:val="0"/>
      </w:rPr>
      <w:t xml:space="preserve"> 40103845006,</w:t>
    </w:r>
    <w:r w:rsidDel="00000000" w:rsidR="00000000" w:rsidRPr="00000000">
      <w:rPr>
        <w:rFonts w:ascii="Times New Roman" w:cs="Times New Roman" w:eastAsia="Times New Roman" w:hAnsi="Times New Roman"/>
        <w:color w:val="191919"/>
        <w:sz w:val="20"/>
        <w:szCs w:val="20"/>
        <w:rtl w:val="0"/>
      </w:rPr>
      <w:t xml:space="preserve"> PVN Nr. LV</w:t>
    </w:r>
    <w:r w:rsidDel="00000000" w:rsidR="00000000" w:rsidRPr="00000000">
      <w:rPr>
        <w:rFonts w:ascii="Times New Roman" w:cs="Times New Roman" w:eastAsia="Times New Roman" w:hAnsi="Times New Roman"/>
        <w:sz w:val="20"/>
        <w:szCs w:val="20"/>
        <w:rtl w:val="0"/>
      </w:rPr>
      <w:t xml:space="preserve">. 40103845006</w:t>
    </w:r>
    <w:r w:rsidDel="00000000" w:rsidR="00000000" w:rsidRPr="00000000">
      <w:rPr>
        <w:rFonts w:ascii="Times New Roman" w:cs="Times New Roman" w:eastAsia="Times New Roman" w:hAnsi="Times New Roman"/>
        <w:color w:val="191919"/>
        <w:sz w:val="20"/>
        <w:szCs w:val="20"/>
        <w:rtl w:val="0"/>
      </w:rPr>
      <w:t xml:space="preserve">, Juridiskā adrese: </w:t>
    </w:r>
    <w:r w:rsidDel="00000000" w:rsidR="00000000" w:rsidRPr="00000000">
      <w:rPr>
        <w:rFonts w:ascii="Times New Roman" w:cs="Times New Roman" w:eastAsia="Times New Roman" w:hAnsi="Times New Roman"/>
        <w:sz w:val="20"/>
        <w:szCs w:val="20"/>
        <w:rtl w:val="0"/>
      </w:rPr>
      <w:t xml:space="preserve">Dienvidkurzemes nov., Nīcas pag., Nīca, "Avoti", LV-3473</w:t>
    </w:r>
    <w:r w:rsidDel="00000000" w:rsidR="00000000" w:rsidRPr="00000000">
      <w:rPr>
        <w:rFonts w:ascii="Times New Roman" w:cs="Times New Roman" w:eastAsia="Times New Roman" w:hAnsi="Times New Roman"/>
        <w:color w:val="191919"/>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od@zalakaipasaulei.lv</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jc w:val="center"/>
      <w:rPr>
        <w:rFonts w:ascii="Arial" w:cs="Arial" w:eastAsia="Arial" w:hAnsi="Arial"/>
        <w:b w:val="1"/>
        <w:bCs w:val="1"/>
        <w:color w:val="191919"/>
        <w:sz w:val="18"/>
        <w:szCs w:val="18"/>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SIA “NS ESTATE”</w:t>
    </w:r>
    <w:r w:rsidDel="00000000" w:rsidR="00000000" w:rsidRPr="00000000">
      <w:rPr>
        <w:rFonts w:ascii="Times New Roman" w:cs="Times New Roman" w:eastAsia="Times New Roman" w:hAnsi="Times New Roman"/>
        <w:color w:val="191919"/>
        <w:sz w:val="20"/>
        <w:szCs w:val="20"/>
        <w:rtl w:val="0"/>
      </w:rPr>
      <w:t xml:space="preserve">, Reģ. Nr.</w:t>
    </w:r>
    <w:r w:rsidDel="00000000" w:rsidR="00000000" w:rsidRPr="00000000">
      <w:rPr>
        <w:rFonts w:ascii="Times New Roman" w:cs="Times New Roman" w:eastAsia="Times New Roman" w:hAnsi="Times New Roman"/>
        <w:sz w:val="20"/>
        <w:szCs w:val="20"/>
        <w:rtl w:val="0"/>
      </w:rPr>
      <w:t xml:space="preserve"> 40103845006,</w:t>
    </w:r>
    <w:r w:rsidDel="00000000" w:rsidR="00000000" w:rsidRPr="00000000">
      <w:rPr>
        <w:rFonts w:ascii="Times New Roman" w:cs="Times New Roman" w:eastAsia="Times New Roman" w:hAnsi="Times New Roman"/>
        <w:color w:val="191919"/>
        <w:sz w:val="20"/>
        <w:szCs w:val="20"/>
        <w:rtl w:val="0"/>
      </w:rPr>
      <w:t xml:space="preserve"> PVN Nr. LV</w:t>
    </w:r>
    <w:r w:rsidDel="00000000" w:rsidR="00000000" w:rsidRPr="00000000">
      <w:rPr>
        <w:rFonts w:ascii="Times New Roman" w:cs="Times New Roman" w:eastAsia="Times New Roman" w:hAnsi="Times New Roman"/>
        <w:sz w:val="20"/>
        <w:szCs w:val="20"/>
        <w:rtl w:val="0"/>
      </w:rPr>
      <w:t xml:space="preserve">. 40103845006</w:t>
    </w:r>
    <w:r w:rsidDel="00000000" w:rsidR="00000000" w:rsidRPr="00000000">
      <w:rPr>
        <w:rFonts w:ascii="Times New Roman" w:cs="Times New Roman" w:eastAsia="Times New Roman" w:hAnsi="Times New Roman"/>
        <w:color w:val="191919"/>
        <w:sz w:val="20"/>
        <w:szCs w:val="20"/>
        <w:rtl w:val="0"/>
      </w:rPr>
      <w:t xml:space="preserve">, Juridiskā adrese: </w:t>
    </w:r>
    <w:r w:rsidDel="00000000" w:rsidR="00000000" w:rsidRPr="00000000">
      <w:rPr>
        <w:rFonts w:ascii="Times New Roman" w:cs="Times New Roman" w:eastAsia="Times New Roman" w:hAnsi="Times New Roman"/>
        <w:sz w:val="20"/>
        <w:szCs w:val="20"/>
        <w:rtl w:val="0"/>
      </w:rPr>
      <w:t xml:space="preserve">Dienvidkurzemes nov., Nīcas pag., Nīca, "Avoti", LV-3473</w:t>
    </w:r>
    <w:r w:rsidDel="00000000" w:rsidR="00000000" w:rsidRPr="00000000">
      <w:rPr>
        <w:rFonts w:ascii="Times New Roman" w:cs="Times New Roman" w:eastAsia="Times New Roman" w:hAnsi="Times New Roman"/>
        <w:color w:val="191919"/>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od@zalakaipasaulei.lv</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 “NS ESTATE”</w:t>
    </w:r>
  </w:p>
  <w:p w:rsidR="00000000" w:rsidDel="00000000" w:rsidP="00000000" w:rsidRDefault="00000000" w:rsidRPr="00000000" w14:paraId="000000DB">
    <w:pPr>
      <w:spacing w:after="0" w:line="240" w:lineRule="auto"/>
      <w:jc w:val="right"/>
      <w:rPr>
        <w:rFonts w:ascii="Arial" w:cs="Arial" w:eastAsia="Arial" w:hAnsi="Arial"/>
        <w:b w:val="1"/>
        <w:bCs w:val="1"/>
        <w:color w:val="3b3838"/>
        <w:sz w:val="18"/>
        <w:szCs w:val="18"/>
      </w:rPr>
    </w:pPr>
    <w:r w:rsidDel="00000000" w:rsidR="00000000" w:rsidRPr="00000000">
      <w:rPr>
        <w:rFonts w:ascii="Times New Roman" w:cs="Times New Roman" w:eastAsia="Times New Roman" w:hAnsi="Times New Roman"/>
        <w:sz w:val="18"/>
        <w:szCs w:val="18"/>
        <w:rtl w:val="0"/>
      </w:rPr>
      <w:t xml:space="preserve">Reģ..Nr. 40103845006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SIA “NS ESTATE”</w:t>
    </w:r>
  </w:p>
  <w:p w:rsidR="00000000" w:rsidDel="00000000" w:rsidP="00000000" w:rsidRDefault="00000000" w:rsidRPr="00000000" w14:paraId="000000DD">
    <w:pPr>
      <w:spacing w:after="0" w:line="240" w:lineRule="auto"/>
      <w:jc w:val="right"/>
      <w:rPr>
        <w:rFonts w:ascii="Arial" w:cs="Arial" w:eastAsia="Arial" w:hAnsi="Arial"/>
        <w:b w:val="1"/>
        <w:bCs w:val="1"/>
        <w:color w:val="3b3838"/>
        <w:sz w:val="18"/>
        <w:szCs w:val="18"/>
      </w:rPr>
    </w:pPr>
    <w:r w:rsidDel="00000000" w:rsidR="00000000" w:rsidRPr="00000000">
      <w:rPr>
        <w:rFonts w:ascii="Times New Roman" w:cs="Times New Roman" w:eastAsia="Times New Roman" w:hAnsi="Times New Roman"/>
        <w:sz w:val="18"/>
        <w:szCs w:val="18"/>
        <w:rtl w:val="0"/>
      </w:rPr>
      <w:t xml:space="preserve">Reģ..Nr. 40103845006</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526" w:hanging="384"/>
      </w:pPr>
      <w:rPr>
        <w:b w:val="1"/>
        <w:bCs w:val="1"/>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spacing w:after="0" w:line="240" w:lineRule="auto"/>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E08EA"/>
    <w:pPr>
      <w:tabs>
        <w:tab w:val="center" w:pos="4153"/>
        <w:tab w:val="right" w:pos="8306"/>
      </w:tabs>
      <w:spacing w:after="0" w:line="240" w:lineRule="auto"/>
    </w:pPr>
  </w:style>
  <w:style w:type="character" w:styleId="HeaderChar" w:customStyle="1">
    <w:name w:val="Header Char"/>
    <w:basedOn w:val="DefaultParagraphFont"/>
    <w:link w:val="Header"/>
    <w:uiPriority w:val="99"/>
    <w:rsid w:val="00FE08EA"/>
  </w:style>
  <w:style w:type="paragraph" w:styleId="Footer">
    <w:name w:val="footer"/>
    <w:basedOn w:val="Normal"/>
    <w:link w:val="FooterChar"/>
    <w:uiPriority w:val="99"/>
    <w:unhideWhenUsed w:val="1"/>
    <w:rsid w:val="00FE08EA"/>
    <w:pPr>
      <w:tabs>
        <w:tab w:val="center" w:pos="4153"/>
        <w:tab w:val="right" w:pos="8306"/>
      </w:tabs>
      <w:spacing w:after="0" w:line="240" w:lineRule="auto"/>
    </w:pPr>
  </w:style>
  <w:style w:type="character" w:styleId="FooterChar" w:customStyle="1">
    <w:name w:val="Footer Char"/>
    <w:basedOn w:val="DefaultParagraphFont"/>
    <w:link w:val="Footer"/>
    <w:uiPriority w:val="99"/>
    <w:rsid w:val="00FE08EA"/>
  </w:style>
  <w:style w:type="character" w:styleId="Heading1Char" w:customStyle="1">
    <w:name w:val="Heading 1 Char"/>
    <w:basedOn w:val="DefaultParagraphFont"/>
    <w:link w:val="Heading1"/>
    <w:rsid w:val="00F601AE"/>
    <w:rPr>
      <w:rFonts w:ascii="Times New Roman" w:cs="Times New Roman" w:eastAsia="Times New Roman" w:hAnsi="Times New Roman"/>
      <w:b w:val="1"/>
      <w:bCs w:val="1"/>
      <w:sz w:val="24"/>
      <w:szCs w:val="24"/>
    </w:rPr>
  </w:style>
  <w:style w:type="character" w:styleId="Heading2Char" w:customStyle="1">
    <w:name w:val="Heading 2 Char"/>
    <w:basedOn w:val="DefaultParagraphFont"/>
    <w:link w:val="Heading2"/>
    <w:rsid w:val="00F601AE"/>
    <w:rPr>
      <w:rFonts w:ascii="Times New Roman" w:cs="Times New Roman" w:eastAsia="Times New Roman" w:hAnsi="Times New Roman"/>
      <w:b w:val="1"/>
      <w:bCs w:val="1"/>
      <w:sz w:val="24"/>
      <w:szCs w:val="24"/>
    </w:rPr>
  </w:style>
  <w:style w:type="character" w:styleId="CommentReference">
    <w:name w:val="annotation reference"/>
    <w:uiPriority w:val="99"/>
    <w:unhideWhenUsed w:val="1"/>
    <w:qFormat w:val="1"/>
    <w:rsid w:val="00F601AE"/>
    <w:rPr>
      <w:sz w:val="16"/>
      <w:szCs w:val="16"/>
    </w:rPr>
  </w:style>
  <w:style w:type="paragraph" w:styleId="CommentText">
    <w:name w:val="annotation text"/>
    <w:basedOn w:val="Normal"/>
    <w:link w:val="CommentTextChar"/>
    <w:uiPriority w:val="99"/>
    <w:unhideWhenUsed w:val="1"/>
    <w:rsid w:val="00F601AE"/>
    <w:rPr>
      <w:rFonts w:ascii="Calibri" w:cs="Times New Roman" w:eastAsia="Calibri" w:hAnsi="Calibri"/>
      <w:sz w:val="20"/>
      <w:szCs w:val="20"/>
    </w:rPr>
  </w:style>
  <w:style w:type="character" w:styleId="CommentTextChar" w:customStyle="1">
    <w:name w:val="Comment Text Char"/>
    <w:basedOn w:val="DefaultParagraphFont"/>
    <w:link w:val="CommentText"/>
    <w:uiPriority w:val="99"/>
    <w:rsid w:val="00F601AE"/>
    <w:rPr>
      <w:rFonts w:ascii="Calibri" w:cs="Times New Roman" w:eastAsia="Calibri" w:hAnsi="Calibri"/>
      <w:sz w:val="20"/>
      <w:szCs w:val="20"/>
    </w:rPr>
  </w:style>
  <w:style w:type="table" w:styleId="TableGrid" w:customStyle="1">
    <w:name w:val="TableGrid"/>
    <w:rsid w:val="00F601AE"/>
    <w:pPr>
      <w:spacing w:after="0" w:line="240" w:lineRule="auto"/>
    </w:pPr>
    <w:rPr>
      <w:rFonts w:eastAsiaTheme="minorEastAsia"/>
      <w:lang w:eastAsia="lv-LV"/>
    </w:rPr>
    <w:tblPr>
      <w:tblCellMar>
        <w:top w:w="0.0" w:type="dxa"/>
        <w:left w:w="0.0" w:type="dxa"/>
        <w:bottom w:w="0.0" w:type="dxa"/>
        <w:right w:w="0.0" w:type="dxa"/>
      </w:tblCellMar>
    </w:tblPr>
  </w:style>
  <w:style w:type="paragraph" w:styleId="ListParagraph">
    <w:name w:val="List Paragraph"/>
    <w:basedOn w:val="Normal"/>
    <w:uiPriority w:val="34"/>
    <w:qFormat w:val="1"/>
    <w:rsid w:val="0015620C"/>
    <w:pPr>
      <w:ind w:left="720"/>
      <w:contextualSpacing w:val="1"/>
    </w:pPr>
  </w:style>
  <w:style w:type="character" w:styleId="Hyperlink">
    <w:name w:val="Hyperlink"/>
    <w:basedOn w:val="DefaultParagraphFont"/>
    <w:uiPriority w:val="99"/>
    <w:unhideWhenUsed w:val="1"/>
    <w:rsid w:val="00DC559D"/>
    <w:rPr>
      <w:color w:val="0563c1" w:themeColor="hyperlink"/>
      <w:u w:val="single"/>
    </w:rPr>
  </w:style>
  <w:style w:type="character" w:styleId="UnresolvedMention">
    <w:name w:val="Unresolved Mention"/>
    <w:basedOn w:val="DefaultParagraphFont"/>
    <w:uiPriority w:val="99"/>
    <w:semiHidden w:val="1"/>
    <w:unhideWhenUsed w:val="1"/>
    <w:rsid w:val="00DC559D"/>
    <w:rPr>
      <w:color w:val="605e5c"/>
      <w:shd w:color="auto" w:fill="e1dfdd" w:val="clear"/>
    </w:rPr>
  </w:style>
  <w:style w:type="table" w:styleId="TableGrid0">
    <w:name w:val="Table Grid"/>
    <w:basedOn w:val="TableNormal"/>
    <w:uiPriority w:val="39"/>
    <w:rsid w:val="00587DB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5668BF"/>
    <w:pPr>
      <w:spacing w:after="0" w:line="240" w:lineRule="auto"/>
    </w:pPr>
    <w:rPr>
      <w:rFonts w:ascii="Times New Roman" w:cs="Times New Roman" w:eastAsia="Times New Roman" w:hAnsi="Times New Roman"/>
      <w:sz w:val="20"/>
      <w:szCs w:val="20"/>
      <w:lang w:bidi="lo-LA" w:eastAsia="lv-LV"/>
    </w:rPr>
  </w:style>
  <w:style w:type="character" w:styleId="FootnoteTextChar" w:customStyle="1">
    <w:name w:val="Footnote Text Char"/>
    <w:basedOn w:val="DefaultParagraphFont"/>
    <w:link w:val="FootnoteText"/>
    <w:uiPriority w:val="99"/>
    <w:semiHidden w:val="1"/>
    <w:rsid w:val="005668BF"/>
    <w:rPr>
      <w:rFonts w:ascii="Times New Roman" w:cs="Times New Roman" w:eastAsia="Times New Roman" w:hAnsi="Times New Roman"/>
      <w:sz w:val="20"/>
      <w:szCs w:val="20"/>
      <w:lang w:bidi="lo-LA" w:eastAsia="lv-LV"/>
    </w:rPr>
  </w:style>
  <w:style w:type="paragraph" w:styleId="Stils1" w:customStyle="1">
    <w:name w:val="Stils1"/>
    <w:basedOn w:val="Normal"/>
    <w:rsid w:val="005668BF"/>
    <w:pPr>
      <w:numPr>
        <w:numId w:val="6"/>
      </w:numPr>
      <w:spacing w:after="0" w:line="240" w:lineRule="auto"/>
      <w:jc w:val="both"/>
    </w:pPr>
    <w:rPr>
      <w:rFonts w:ascii="Times New Roman" w:cs="Times New Roman" w:eastAsia="Times New Roman" w:hAnsi="Times New Roman"/>
      <w:b w:val="1"/>
      <w:i w:val="1"/>
      <w:color w:val="000000"/>
      <w:sz w:val="20"/>
      <w:szCs w:val="20"/>
      <w:lang w:bidi="lo-LA" w:eastAsia="lv-LV"/>
    </w:rPr>
  </w:style>
  <w:style w:type="paragraph" w:styleId="Stils2" w:customStyle="1">
    <w:name w:val="Stils2"/>
    <w:basedOn w:val="Normal"/>
    <w:rsid w:val="005668BF"/>
    <w:pPr>
      <w:numPr>
        <w:ilvl w:val="1"/>
        <w:numId w:val="6"/>
      </w:numPr>
      <w:spacing w:after="0" w:line="240" w:lineRule="auto"/>
      <w:jc w:val="both"/>
    </w:pPr>
    <w:rPr>
      <w:rFonts w:ascii="Times New Roman" w:cs="Times New Roman" w:eastAsia="Times New Roman" w:hAnsi="Times New Roman"/>
      <w:color w:val="000000"/>
      <w:sz w:val="20"/>
      <w:szCs w:val="20"/>
      <w:lang w:bidi="lo-LA" w:eastAsia="lv-LV"/>
    </w:rPr>
  </w:style>
  <w:style w:type="paragraph" w:styleId="Stils3" w:customStyle="1">
    <w:name w:val="Stils3"/>
    <w:basedOn w:val="Normal"/>
    <w:rsid w:val="005668BF"/>
    <w:pPr>
      <w:numPr>
        <w:ilvl w:val="2"/>
        <w:numId w:val="6"/>
      </w:numPr>
      <w:spacing w:after="0" w:line="240" w:lineRule="auto"/>
      <w:jc w:val="both"/>
    </w:pPr>
    <w:rPr>
      <w:rFonts w:ascii="Times New Roman" w:cs="Times New Roman" w:eastAsia="Times New Roman" w:hAnsi="Times New Roman"/>
      <w:sz w:val="20"/>
      <w:szCs w:val="20"/>
      <w:lang w:bidi="lo-LA" w:eastAsia="lv-LV"/>
    </w:rPr>
  </w:style>
  <w:style w:type="paragraph" w:styleId="Stils4" w:customStyle="1">
    <w:name w:val="Stils4"/>
    <w:basedOn w:val="Normal"/>
    <w:rsid w:val="005668BF"/>
    <w:pPr>
      <w:numPr>
        <w:ilvl w:val="3"/>
        <w:numId w:val="6"/>
      </w:numPr>
      <w:spacing w:after="0" w:line="240" w:lineRule="auto"/>
      <w:jc w:val="both"/>
    </w:pPr>
    <w:rPr>
      <w:rFonts w:ascii="Times New Roman" w:cs="Times New Roman" w:eastAsia="Times New Roman" w:hAnsi="Times New Roman"/>
      <w:sz w:val="20"/>
      <w:szCs w:val="20"/>
      <w:lang w:bidi="lo-LA" w:eastAsia="lv-LV"/>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semiHidden w:val="1"/>
    <w:unhideWhenUsed w:val="1"/>
    <w:rsid w:val="005668BF"/>
    <w:rPr>
      <w:vertAlign w:val="superscript"/>
    </w:rPr>
  </w:style>
  <w:style w:type="paragraph" w:styleId="CommentSubject">
    <w:name w:val="annotation subject"/>
    <w:basedOn w:val="CommentText"/>
    <w:next w:val="CommentText"/>
    <w:link w:val="CommentSubjectChar"/>
    <w:uiPriority w:val="99"/>
    <w:semiHidden w:val="1"/>
    <w:unhideWhenUsed w:val="1"/>
    <w:rsid w:val="00FE00EC"/>
    <w:pPr>
      <w:spacing w:line="240" w:lineRule="auto"/>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FE00EC"/>
    <w:rPr>
      <w:rFonts w:ascii="Calibri" w:cs="Times New Roman" w:eastAsia="Calibri" w:hAnsi="Calibri"/>
      <w:b w:val="1"/>
      <w:bCs w:val="1"/>
      <w:sz w:val="20"/>
      <w:szCs w:val="20"/>
    </w:rPr>
  </w:style>
  <w:style w:type="numbering" w:styleId="WWOutlineListStyle511" w:customStyle="1">
    <w:name w:val="WW_OutlineListStyle_511"/>
    <w:rsid w:val="00E56878"/>
    <w:pPr>
      <w:numPr>
        <w:numId w:val="19"/>
      </w:numPr>
    </w:pPr>
  </w:style>
  <w:style w:type="paragraph" w:styleId="BodyText">
    <w:name w:val="Body Text"/>
    <w:aliases w:val="Body Text1"/>
    <w:basedOn w:val="Normal"/>
    <w:link w:val="BodyTextChar"/>
    <w:rsid w:val="002B3005"/>
    <w:pPr>
      <w:spacing w:after="0" w:line="360" w:lineRule="auto"/>
      <w:jc w:val="both"/>
    </w:pPr>
    <w:rPr>
      <w:rFonts w:ascii="Times New Roman" w:cs="Times New Roman" w:eastAsia="Times New Roman" w:hAnsi="Times New Roman"/>
      <w:sz w:val="24"/>
      <w:szCs w:val="20"/>
    </w:rPr>
  </w:style>
  <w:style w:type="character" w:styleId="BodyTextChar" w:customStyle="1">
    <w:name w:val="Body Text Char"/>
    <w:aliases w:val="Body Text1 Char"/>
    <w:basedOn w:val="DefaultParagraphFont"/>
    <w:link w:val="BodyText"/>
    <w:rsid w:val="002B3005"/>
    <w:rPr>
      <w:rFonts w:ascii="Times New Roman" w:cs="Times New Roman" w:eastAsia="Times New Roman" w:hAnsi="Times New Roman"/>
      <w:sz w:val="24"/>
      <w:szCs w:val="20"/>
    </w:rPr>
  </w:style>
  <w:style w:type="character" w:styleId="Hyperlink2" w:customStyle="1">
    <w:name w:val="Hyperlink.2"/>
    <w:basedOn w:val="DefaultParagraphFont"/>
    <w:rsid w:val="0083670E"/>
  </w:style>
  <w:style w:type="paragraph" w:styleId="BodyTextIndent">
    <w:name w:val="Body Text Indent"/>
    <w:basedOn w:val="Normal"/>
    <w:link w:val="BodyTextIndentChar"/>
    <w:rsid w:val="00E25662"/>
    <w:pPr>
      <w:spacing w:after="120" w:line="240" w:lineRule="auto"/>
      <w:ind w:left="283"/>
    </w:pPr>
    <w:rPr>
      <w:rFonts w:ascii="Times New Roman" w:cs="Times New Roman" w:eastAsia="Times New Roman" w:hAnsi="Times New Roman"/>
      <w:sz w:val="24"/>
      <w:szCs w:val="24"/>
      <w:lang w:val="ru-RU"/>
    </w:rPr>
  </w:style>
  <w:style w:type="character" w:styleId="BodyTextIndentChar" w:customStyle="1">
    <w:name w:val="Body Text Indent Char"/>
    <w:basedOn w:val="DefaultParagraphFont"/>
    <w:link w:val="BodyTextIndent"/>
    <w:rsid w:val="00E25662"/>
    <w:rPr>
      <w:rFonts w:ascii="Times New Roman" w:cs="Times New Roman" w:eastAsia="Times New Roman" w:hAnsi="Times New Roman"/>
      <w:sz w:val="24"/>
      <w:szCs w:val="24"/>
      <w:lang w:val="ru-RU"/>
    </w:rPr>
  </w:style>
  <w:style w:type="character" w:styleId="Heading4Char" w:customStyle="1">
    <w:name w:val="Heading 4 Char"/>
    <w:basedOn w:val="DefaultParagraphFont"/>
    <w:link w:val="Heading4"/>
    <w:uiPriority w:val="9"/>
    <w:semiHidden w:val="1"/>
    <w:rsid w:val="00902BA1"/>
    <w:rPr>
      <w:rFonts w:asciiTheme="majorHAnsi" w:cstheme="majorBidi" w:eastAsiaTheme="majorEastAsia" w:hAnsiTheme="majorHAnsi"/>
      <w:i w:val="1"/>
      <w:iCs w:val="1"/>
      <w:color w:val="2e74b5" w:themeColor="accent1" w:themeShade="0000BF"/>
    </w:rPr>
  </w:style>
  <w:style w:type="character" w:styleId="PlaceholderText">
    <w:name w:val="Placeholder Text"/>
    <w:basedOn w:val="DefaultParagraphFont"/>
    <w:uiPriority w:val="99"/>
    <w:semiHidden w:val="1"/>
    <w:rsid w:val="00CB2266"/>
    <w:rPr>
      <w:color w:val="666666"/>
    </w:rPr>
  </w:style>
  <w:style w:type="paragraph" w:styleId="tv213" w:customStyle="1">
    <w:name w:val="tv213"/>
    <w:basedOn w:val="Normal"/>
    <w:rsid w:val="00187C46"/>
    <w:pPr>
      <w:spacing w:after="100" w:afterAutospacing="1" w:before="100" w:beforeAutospacing="1" w:line="240" w:lineRule="auto"/>
    </w:pPr>
    <w:rPr>
      <w:rFonts w:ascii="Times New Roman" w:cs="Times New Roman" w:eastAsia="Times New Roman" w:hAnsi="Times New Roman"/>
      <w:sz w:val="24"/>
      <w:szCs w:val="24"/>
      <w:lang w:eastAsia="lv-LV"/>
    </w:rPr>
  </w:style>
  <w:style w:type="paragraph" w:styleId="Revision">
    <w:name w:val="Revision"/>
    <w:hidden w:val="1"/>
    <w:uiPriority w:val="99"/>
    <w:semiHidden w:val="1"/>
    <w:rsid w:val="00512E6E"/>
    <w:pPr>
      <w:spacing w:after="0" w:line="240" w:lineRule="auto"/>
    </w:pPr>
  </w:style>
  <w:style w:type="character" w:styleId="Strong">
    <w:name w:val="Strong"/>
    <w:basedOn w:val="DefaultParagraphFont"/>
    <w:uiPriority w:val="22"/>
    <w:qFormat w:val="1"/>
    <w:rsid w:val="0068007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vKzoQYhPqxYTZ1cvIipRvL+TQ==">CgMxLjA4AHIhMVI1dUdOVFNBQ1ZJV3VMTFAzVlRmWGFUalVQRkRtSVZf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2025-11-20T19:27:00Z</dcterms:created>
  <dc:creator>Brigita Zarina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0x010100C1C1950359A2B04797684F18216E44B0</vt:lpwstr>
  </property>
</Properties>
</file>