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Atklāta konkursa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Projekta Nr. 1.2.1.1/3/25/A/022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Iepirkuma ID Nr. NS 2025/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ERAF</w:t>
      </w:r>
    </w:p>
    <w:p w:rsidR="00000000" w:rsidDel="00000000" w:rsidP="00000000" w:rsidRDefault="00000000" w:rsidRPr="00000000" w14:paraId="0000000C">
      <w:pPr>
        <w:spacing w:after="17" w:lineRule="auto"/>
        <w:ind w:left="16" w:right="68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Nolikuma 2.Pielikums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62650" cy="393954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74200" y="3592548"/>
                          <a:ext cx="5943600" cy="374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b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62650" cy="393954"/>
                <wp:effectExtent b="0" l="0" r="0" t="0"/>
                <wp:wrapNone/>
                <wp:docPr id="9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939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Tehniskā Specifikācija. Lote 1 “I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epakošanas iekārta "skin" tipa iepakojumam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2673985</wp:posOffset>
                </wp:positionH>
                <wp:positionV relativeFrom="paragraph">
                  <wp:posOffset>1233806</wp:posOffset>
                </wp:positionV>
                <wp:extent cx="3518535" cy="1423670"/>
                <wp:effectExtent b="0" l="0" r="0" t="0"/>
                <wp:wrapSquare wrapText="bothSides" distB="45720" distT="45720" distL="114300" distR="114300"/>
                <wp:docPr id="9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596258" y="3077690"/>
                          <a:ext cx="3499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2673985</wp:posOffset>
                </wp:positionH>
                <wp:positionV relativeFrom="paragraph">
                  <wp:posOffset>1233806</wp:posOffset>
                </wp:positionV>
                <wp:extent cx="3518535" cy="1423670"/>
                <wp:effectExtent b="0" l="0" r="0" t="0"/>
                <wp:wrapSquare wrapText="bothSides" distB="45720" distT="45720" distL="114300" distR="114300"/>
                <wp:docPr id="9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8535" cy="142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a40u0s5rc1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Mērķis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Tehniskajā specifikācijā ir skaidri noteiktas prasības attiecībā uz nepieciešam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o iekārtu.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Šī specifikācija kalpo kā pamats Pretendenta iesniegtā piedāvājuma novērtēšanai.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Balstoties uz specifikāciju Pasūtītājs novērtē vai Pretendenta piedāvājums atbilst visiem noteikumiem un prasībām, pirms tas tiek pieņemts izmantošanai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Lote 1 — Iepakošanas iekārta "skin" tipa iepakojumam”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Iepirkuma priekšmeta apraksts: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Pusautomātiska vai automātiska skin iepakošanas iekārta ar MAP funkciju (gāzes iepildes iespēju), kas piemērota pārtikas produktu augstas kvalitātes iepakošanai uz plastmasas paliktņiem: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Piemērota “skin” iepakošanai uz cietajiem APET/PE vai PP paliktņiem;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Vakuuma pakāpe: ≥ 99%, ar MAP iespēju (gāzes padeve pirms plēves piekausēšanas);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Gāzes padeves regulācija un iespēja strādāt ar dažādiem gāzes maisījumiem (CO₂, N₂ u.c.);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Iespēja mainīt formas dažādiem paliktņu izmēriem (vismaz 2 dažādi izmēri);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Caurspīdīgas plēves precīza piekausēšana bez burbuļiem;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Iekārtas jauda: ne mazāk kā 6 cikli/;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Vadības panelis ar skārienjutīgu ekrānu, iespēja saglabāt iepakošanas programmas;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Komplektā: vakuumsūknis, gāzes dozēšanas sistēma;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Piegāde: Dienvidkurzemes nov., Nīcas pag., Nīca, "Avoti", LV-3473; </w:t>
      </w:r>
    </w:p>
    <w:p w:rsidR="00000000" w:rsidDel="00000000" w:rsidP="00000000" w:rsidRDefault="00000000" w:rsidRPr="00000000" w14:paraId="00000024">
      <w:pPr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Piegādes termiņš — 2026.gada aprīlis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4153"/>
          <w:tab w:val="right" w:leader="none" w:pos="830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4153"/>
          <w:tab w:val="right" w:leader="none" w:pos="830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leader="none" w:pos="4153"/>
          <w:tab w:val="right" w:leader="none" w:pos="830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Atklāta konkursa</w:t>
      </w:r>
    </w:p>
    <w:p w:rsidR="00000000" w:rsidDel="00000000" w:rsidP="00000000" w:rsidRDefault="00000000" w:rsidRPr="00000000" w14:paraId="00000035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Projekta Nr. 1.2.1.1/3/25/A/022</w:t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Iepirkuma ID Nr. NS 2025/2 ERAF</w:t>
      </w:r>
    </w:p>
    <w:p w:rsidR="00000000" w:rsidDel="00000000" w:rsidP="00000000" w:rsidRDefault="00000000" w:rsidRPr="00000000" w14:paraId="0000003A">
      <w:pPr>
        <w:spacing w:after="17" w:lineRule="auto"/>
        <w:ind w:left="16" w:right="68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Nolikuma 2.Pielikums</w:t>
      </w:r>
    </w:p>
    <w:p w:rsidR="00000000" w:rsidDel="00000000" w:rsidP="00000000" w:rsidRDefault="00000000" w:rsidRPr="00000000" w14:paraId="0000003D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62650" cy="393954"/>
                <wp:effectExtent b="0" l="0" r="0" t="0"/>
                <wp:wrapNone/>
                <wp:docPr id="9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74200" y="3592548"/>
                          <a:ext cx="5943600" cy="374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b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62650" cy="393954"/>
                <wp:effectExtent b="0" l="0" r="0" t="0"/>
                <wp:wrapNone/>
                <wp:docPr id="9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939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Tehniskā Specifikācija. Lote 2 “Dozators lieliem beramajiem produktiem (multihead weigher)”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2673985</wp:posOffset>
                </wp:positionH>
                <wp:positionV relativeFrom="paragraph">
                  <wp:posOffset>1233806</wp:posOffset>
                </wp:positionV>
                <wp:extent cx="3518535" cy="1423670"/>
                <wp:effectExtent b="0" l="0" r="0" t="0"/>
                <wp:wrapSquare wrapText="bothSides" distB="45720" distT="45720" distL="114300" distR="114300"/>
                <wp:docPr id="9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596258" y="3077690"/>
                          <a:ext cx="3499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2673985</wp:posOffset>
                </wp:positionH>
                <wp:positionV relativeFrom="paragraph">
                  <wp:posOffset>1233806</wp:posOffset>
                </wp:positionV>
                <wp:extent cx="3518535" cy="1423670"/>
                <wp:effectExtent b="0" l="0" r="0" t="0"/>
                <wp:wrapSquare wrapText="bothSides" distB="45720" distT="45720" distL="114300" distR="114300"/>
                <wp:docPr id="9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8535" cy="142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Mērķis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Tehniskajā specifikācijā ir skaidri noteiktas prasības attiecībā uz nepieciešamo iekārtu.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Šī specifikācija kalpo kā pamats Pretendenta iesniegtā piedāvājuma novērtēšanai. 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Balstoties uz specifikāciju Pasūtītājs novērtē vai Pretendenta piedāvājums atbilst visiem noteikumiem un prasībām, pirms tas tiek pieņemts izmantošanai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Lote 2 — Dozators lieliem beramajiem produktiem (multihead weigher)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7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Iepirkuma priekšmeta apraksts: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Automātisks daudzgalvu dozators (multihead weigher) lielgabarīta beramajiem pārtikas produktiem ar šādām īpašībām: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Aprīkots ar ne mazāk kā 8 svariem/galvām;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Piemērots liela izmēra un nelīdzenas formas beramajiem produktiem (piemēram, gaļas gabaliņiem, dārzeņu maisījumiem u.c.);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Porciju svars – no 50 g līdz 5 kg;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Precizitāte: ± 1–2 g atkarībā no produkta un porcijas svara;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Nerūsējošā tērauda konstrukcija, pārtikas kontaktmateriālu atbilstība;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Saderīgs ar esošo iepakošanas līniju vai ar pieslēgšanas iespēju pie ārējām iekārtām;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Vadības panelis ar pieskārienjūtīgu ekrānu un programmējamiem iestatījumiem;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Viegli tīrāms dizains ar noņemamām daļām.</w:t>
      </w:r>
    </w:p>
    <w:p w:rsidR="00000000" w:rsidDel="00000000" w:rsidP="00000000" w:rsidRDefault="00000000" w:rsidRPr="00000000" w14:paraId="00000051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Piegāde: Dienvidkurzemes nov., Nīcas pag., Nīca, "Avoti", LV-3473; </w:t>
      </w:r>
    </w:p>
    <w:p w:rsidR="00000000" w:rsidDel="00000000" w:rsidP="00000000" w:rsidRDefault="00000000" w:rsidRPr="00000000" w14:paraId="0000005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Termiņš — 14 darba dienas no līguma parakstīšanas.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Atklāta konkursa</w:t>
      </w:r>
    </w:p>
    <w:p w:rsidR="00000000" w:rsidDel="00000000" w:rsidP="00000000" w:rsidRDefault="00000000" w:rsidRPr="00000000" w14:paraId="0000005C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Projekta Nr. 1.2.1.1/3/25/A/022</w:t>
      </w:r>
    </w:p>
    <w:p w:rsidR="00000000" w:rsidDel="00000000" w:rsidP="00000000" w:rsidRDefault="00000000" w:rsidRPr="00000000" w14:paraId="00000060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Iepirkuma ID Nr. NS 2025/3 ERAF</w:t>
      </w:r>
    </w:p>
    <w:p w:rsidR="00000000" w:rsidDel="00000000" w:rsidP="00000000" w:rsidRDefault="00000000" w:rsidRPr="00000000" w14:paraId="00000061">
      <w:pPr>
        <w:spacing w:after="17" w:lineRule="auto"/>
        <w:ind w:left="16" w:right="68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Nolikuma 2.Pielikums</w:t>
      </w:r>
    </w:p>
    <w:p w:rsidR="00000000" w:rsidDel="00000000" w:rsidP="00000000" w:rsidRDefault="00000000" w:rsidRPr="00000000" w14:paraId="00000064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62650" cy="393954"/>
                <wp:effectExtent b="0" l="0" r="0" t="0"/>
                <wp:wrapNone/>
                <wp:docPr id="9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592548"/>
                          <a:ext cx="5943600" cy="374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b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62650" cy="393954"/>
                <wp:effectExtent b="0" l="0" r="0" t="0"/>
                <wp:wrapNone/>
                <wp:docPr id="9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939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Tehniskā Specifikācija. Lote 3 ““Vemag” koekstrūzijas iekārtu darba režīmu izstrādes un pielāgošanas pakalpojums”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2673985</wp:posOffset>
                </wp:positionH>
                <wp:positionV relativeFrom="paragraph">
                  <wp:posOffset>1233806</wp:posOffset>
                </wp:positionV>
                <wp:extent cx="3518535" cy="1423670"/>
                <wp:effectExtent b="0" l="0" r="0" t="0"/>
                <wp:wrapSquare wrapText="bothSides" distB="45720" distT="45720" distL="114300" distR="114300"/>
                <wp:docPr id="9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6258" y="3077690"/>
                          <a:ext cx="3499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2673985</wp:posOffset>
                </wp:positionH>
                <wp:positionV relativeFrom="paragraph">
                  <wp:posOffset>1233806</wp:posOffset>
                </wp:positionV>
                <wp:extent cx="3518535" cy="1423670"/>
                <wp:effectExtent b="0" l="0" r="0" t="0"/>
                <wp:wrapSquare wrapText="bothSides" distB="45720" distT="45720" distL="114300" distR="114300"/>
                <wp:docPr id="9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8535" cy="142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keepLines w:val="1"/>
        <w:spacing w:after="40" w:before="40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Mērķis</w:t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Tehniskajā specifikācijā ir skaidri noteiktas prasības attiecībā uz nepieciešamo pakalpojumu.</w:t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Šī specifikācija kalpo kā pamats Pretendenta iesniegtā piedāvājuma novērtēšanai. </w:t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Balstoties uz specifikāciju Pasūtītājs novērtē vai Pretendenta piedāvājums atbilst visiem noteikumiem un prasībām, pirms tas tiek pieņemts izmantošanai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Lote 3 — ““Vemag” koekstrūzijas iekārtu darba režīmu izstrādes un pielāgošanas pakalpojums”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Iepirkuma priekšmeta apraksts: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Pakalpojums – “Vemag” koekstrūderu darba režīmu (formulu) izstrāde un pielāgošana jaunu eksperimentālo produktu ražošanai. Pakalpojums ietver: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Koekstrūzijas procesa tehnisko parametru definēšanu un pielāgošanu konkrētiem izejmateriāliem un produktu specifikai;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Eksperimentu veikšanu uz vietas ražotnē (Nīcā) kopā ar pasūtītāja tehnoloģisko komandu;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Darba režīmu pārnesi un pielāgošanai industriālajiem ražošanas apstākļiem;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Procesa testēšanu un optimizāciju līdz stabilai ražošanas atkārtojamībai;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Tehniskās dokumentācijas sagatavošanu – ieteicamie režīmi, receptūras ievades parametri, iekārtas iestatījumi u.c.;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Klātienes atbalstu – vismaz 6 komandējumi uz rūpnīcu Nīcā ar praktisku darbu pie iekārtām;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Garantēts tehniskais atbalsts 3 mēneši pēc nodošanas ekspluatācijā.</w:t>
      </w:r>
    </w:p>
    <w:p w:rsidR="00000000" w:rsidDel="00000000" w:rsidP="00000000" w:rsidRDefault="00000000" w:rsidRPr="00000000" w14:paraId="00000076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Pakalpojuma sniegšanas vieta: Dienvidkurzemes nov., Nīcas pag., Nīca, "Avoti", LV-3473</w:t>
      </w:r>
    </w:p>
    <w:p w:rsidR="00000000" w:rsidDel="00000000" w:rsidP="00000000" w:rsidRDefault="00000000" w:rsidRPr="00000000" w14:paraId="00000077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Termiņš — Aprīlis, 2026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center" w:leader="none" w:pos="4153"/>
          <w:tab w:val="right" w:leader="none" w:pos="830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center" w:leader="none" w:pos="4153"/>
          <w:tab w:val="right" w:leader="none" w:pos="830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440" w:top="1440" w:left="1440" w:right="1440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SIA “NS ESTATE”</w:t>
    </w:r>
    <w:r w:rsidDel="00000000" w:rsidR="00000000" w:rsidRPr="00000000">
      <w:rPr>
        <w:rFonts w:ascii="Times New Roman" w:cs="Times New Roman" w:eastAsia="Times New Roman" w:hAnsi="Times New Roman"/>
        <w:color w:val="191919"/>
        <w:sz w:val="20"/>
        <w:szCs w:val="20"/>
        <w:rtl w:val="0"/>
      </w:rPr>
      <w:t xml:space="preserve">, Reģ. Nr.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40103845006,</w:t>
    </w:r>
    <w:r w:rsidDel="00000000" w:rsidR="00000000" w:rsidRPr="00000000">
      <w:rPr>
        <w:rFonts w:ascii="Times New Roman" w:cs="Times New Roman" w:eastAsia="Times New Roman" w:hAnsi="Times New Roman"/>
        <w:color w:val="191919"/>
        <w:sz w:val="20"/>
        <w:szCs w:val="20"/>
        <w:rtl w:val="0"/>
      </w:rPr>
      <w:t xml:space="preserve"> PVN Nr. LV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. 40103845006</w:t>
    </w:r>
    <w:r w:rsidDel="00000000" w:rsidR="00000000" w:rsidRPr="00000000">
      <w:rPr>
        <w:rFonts w:ascii="Times New Roman" w:cs="Times New Roman" w:eastAsia="Times New Roman" w:hAnsi="Times New Roman"/>
        <w:color w:val="191919"/>
        <w:sz w:val="20"/>
        <w:szCs w:val="20"/>
        <w:rtl w:val="0"/>
      </w:rPr>
      <w:t xml:space="preserve">, Juridiskā adrese: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Dienvidkurzemes nov., Nīcas pag., Nīca, "Avoti", LV-3473</w:t>
    </w:r>
    <w:r w:rsidDel="00000000" w:rsidR="00000000" w:rsidRPr="00000000">
      <w:rPr>
        <w:rFonts w:ascii="Times New Roman" w:cs="Times New Roman" w:eastAsia="Times New Roman" w:hAnsi="Times New Roman"/>
        <w:color w:val="191919"/>
        <w:sz w:val="20"/>
        <w:szCs w:val="20"/>
        <w:rtl w:val="0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od@zalakaipasaulei.lv</w:t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tabs>
        <w:tab w:val="center" w:leader="none" w:pos="4153"/>
        <w:tab w:val="right" w:leader="none" w:pos="8306"/>
      </w:tabs>
      <w:spacing w:after="0" w:line="240" w:lineRule="auto"/>
      <w:jc w:val="center"/>
      <w:rPr>
        <w:rFonts w:ascii="Times New Roman" w:cs="Times New Roman" w:eastAsia="Times New Roman" w:hAnsi="Times New Roman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spacing w:after="0" w:line="240" w:lineRule="auto"/>
      <w:jc w:val="right"/>
      <w:rPr>
        <w:rFonts w:ascii="Arial" w:cs="Arial" w:eastAsia="Arial" w:hAnsi="Arial"/>
        <w:b w:val="1"/>
        <w:bCs w:val="1"/>
        <w:color w:val="072b62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&lt;Vieta uzņēmuma logo&gt;</w:t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374c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374c8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mallCaps w:val="1"/>
      <w:color w:val="374c8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smallCaps w:val="1"/>
      <w:color w:val="253356"/>
    </w:rPr>
  </w:style>
  <w:style w:type="paragraph" w:styleId="Title">
    <w:name w:val="Title"/>
    <w:basedOn w:val="Normal"/>
    <w:next w:val="Normal"/>
    <w:pPr>
      <w:spacing w:after="0" w:line="204" w:lineRule="auto"/>
    </w:pPr>
    <w:rPr>
      <w:rFonts w:ascii="Calibri" w:cs="Calibri" w:eastAsia="Calibri" w:hAnsi="Calibri"/>
      <w:smallCaps w:val="1"/>
      <w:color w:val="242852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47012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b w:val="1"/>
      <w:bCs w:val="1"/>
      <w:color w:val="253356" w:themeColor="accent1" w:themeShade="00008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47012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b w:val="1"/>
      <w:bCs w:val="1"/>
      <w:i w:val="1"/>
      <w:iCs w:val="1"/>
      <w:color w:val="253356" w:themeColor="accent1" w:themeShade="00008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47012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53356" w:themeColor="accent1" w:themeShade="00008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link w:val="NoSpacingChar"/>
    <w:uiPriority w:val="1"/>
    <w:qFormat w:val="1"/>
    <w:rsid w:val="00F47012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F47012"/>
  </w:style>
  <w:style w:type="character" w:styleId="Heading1Char" w:customStyle="1">
    <w:name w:val="Heading 1 Char"/>
    <w:basedOn w:val="DefaultParagraphFont"/>
    <w:link w:val="Heading1"/>
    <w:uiPriority w:val="9"/>
    <w:rsid w:val="009146DD"/>
    <w:rPr>
      <w:rFonts w:ascii="Times New Roman" w:cs="Times New Roman" w:hAnsi="Times New Roman" w:eastAsiaTheme="majorEastAsia"/>
      <w:b w:val="1"/>
      <w:bCs w:val="1"/>
      <w:sz w:val="28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F8346C"/>
    <w:rPr>
      <w:rFonts w:ascii="Times New Roman" w:cs="Times New Roman" w:hAnsi="Times New Roman" w:eastAsiaTheme="majorEastAsia"/>
      <w:b w:val="1"/>
      <w:bCs w:val="1"/>
      <w:sz w:val="28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47012"/>
    <w:rPr>
      <w:rFonts w:asciiTheme="majorHAnsi" w:cstheme="majorBidi" w:eastAsiaTheme="majorEastAsia" w:hAnsiTheme="majorHAnsi"/>
      <w:color w:val="374c80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47012"/>
    <w:rPr>
      <w:rFonts w:asciiTheme="majorHAnsi" w:cstheme="majorBidi" w:eastAsiaTheme="majorEastAsia" w:hAnsiTheme="majorHAnsi"/>
      <w:color w:val="374c80" w:themeColor="accent1" w:themeShade="0000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47012"/>
    <w:rPr>
      <w:rFonts w:asciiTheme="majorHAnsi" w:cstheme="majorBidi" w:eastAsiaTheme="majorEastAsia" w:hAnsiTheme="majorHAnsi"/>
      <w:caps w:val="1"/>
      <w:color w:val="374c80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47012"/>
    <w:rPr>
      <w:rFonts w:asciiTheme="majorHAnsi" w:cstheme="majorBidi" w:eastAsiaTheme="majorEastAsia" w:hAnsiTheme="majorHAnsi"/>
      <w:i w:val="1"/>
      <w:iCs w:val="1"/>
      <w:caps w:val="1"/>
      <w:color w:val="253356" w:themeColor="accent1" w:themeShade="00008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47012"/>
    <w:rPr>
      <w:rFonts w:asciiTheme="majorHAnsi" w:cstheme="majorBidi" w:eastAsiaTheme="majorEastAsia" w:hAnsiTheme="majorHAnsi"/>
      <w:b w:val="1"/>
      <w:bCs w:val="1"/>
      <w:color w:val="253356" w:themeColor="accent1" w:themeShade="00008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47012"/>
    <w:rPr>
      <w:rFonts w:asciiTheme="majorHAnsi" w:cstheme="majorBidi" w:eastAsiaTheme="majorEastAsia" w:hAnsiTheme="majorHAnsi"/>
      <w:b w:val="1"/>
      <w:bCs w:val="1"/>
      <w:i w:val="1"/>
      <w:iCs w:val="1"/>
      <w:color w:val="253356" w:themeColor="accent1" w:themeShade="00008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47012"/>
    <w:rPr>
      <w:rFonts w:asciiTheme="majorHAnsi" w:cstheme="majorBidi" w:eastAsiaTheme="majorEastAsia" w:hAnsiTheme="majorHAnsi"/>
      <w:i w:val="1"/>
      <w:iCs w:val="1"/>
      <w:color w:val="253356" w:themeColor="accent1" w:themeShade="00008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47012"/>
    <w:pPr>
      <w:spacing w:line="240" w:lineRule="auto"/>
    </w:pPr>
    <w:rPr>
      <w:b w:val="1"/>
      <w:bCs w:val="1"/>
      <w:smallCaps w:val="1"/>
      <w:color w:val="242852" w:themeColor="text2"/>
    </w:rPr>
  </w:style>
  <w:style w:type="character" w:styleId="TitleChar" w:customStyle="1">
    <w:name w:val="Title Char"/>
    <w:basedOn w:val="DefaultParagraphFont"/>
    <w:link w:val="Title"/>
    <w:uiPriority w:val="10"/>
    <w:rsid w:val="00F47012"/>
    <w:rPr>
      <w:rFonts w:asciiTheme="majorHAnsi" w:cstheme="majorBidi" w:eastAsiaTheme="majorEastAsia" w:hAnsiTheme="majorHAnsi"/>
      <w:caps w:val="1"/>
      <w:color w:val="242852" w:themeColor="text2"/>
      <w:spacing w:val="-15"/>
      <w:sz w:val="72"/>
      <w:szCs w:val="72"/>
    </w:rPr>
  </w:style>
  <w:style w:type="character" w:styleId="SubtitleChar" w:customStyle="1">
    <w:name w:val="Subtitle Char"/>
    <w:basedOn w:val="DefaultParagraphFont"/>
    <w:link w:val="Subtitle"/>
    <w:uiPriority w:val="11"/>
    <w:rsid w:val="00F47012"/>
    <w:rPr>
      <w:rFonts w:asciiTheme="majorHAnsi" w:cstheme="majorBidi" w:eastAsiaTheme="majorEastAsia" w:hAnsiTheme="majorHAnsi"/>
      <w:color w:val="4a66ac" w:themeColor="accent1"/>
      <w:sz w:val="28"/>
      <w:szCs w:val="28"/>
    </w:rPr>
  </w:style>
  <w:style w:type="character" w:styleId="Strong">
    <w:name w:val="Strong"/>
    <w:basedOn w:val="DefaultParagraphFont"/>
    <w:uiPriority w:val="22"/>
    <w:qFormat w:val="1"/>
    <w:rsid w:val="00F47012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47012"/>
    <w:rPr>
      <w:i w:val="1"/>
      <w:iCs w:val="1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47012"/>
    <w:pPr>
      <w:spacing w:after="120" w:before="120"/>
      <w:ind w:left="720"/>
    </w:pPr>
    <w:rPr>
      <w:color w:val="242852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F47012"/>
    <w:rPr>
      <w:color w:val="24285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47012"/>
    <w:pPr>
      <w:spacing w:after="240" w:before="100" w:beforeAutospacing="1" w:line="240" w:lineRule="auto"/>
      <w:ind w:left="720"/>
      <w:jc w:val="center"/>
    </w:pPr>
    <w:rPr>
      <w:rFonts w:asciiTheme="majorHAnsi" w:cstheme="majorBidi" w:eastAsiaTheme="majorEastAsia" w:hAnsiTheme="majorHAnsi"/>
      <w:color w:val="242852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7012"/>
    <w:rPr>
      <w:rFonts w:asciiTheme="majorHAnsi" w:cstheme="majorBidi" w:eastAsiaTheme="majorEastAsia" w:hAnsiTheme="majorHAnsi"/>
      <w:color w:val="24285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 w:val="1"/>
    <w:rsid w:val="00F47012"/>
    <w:rPr>
      <w:i w:val="1"/>
      <w:iCs w:val="1"/>
      <w:color w:val="595959" w:themeColor="text1" w:themeTint="0000A6"/>
    </w:rPr>
  </w:style>
  <w:style w:type="character" w:styleId="IntenseEmphasis">
    <w:name w:val="Intense Emphasis"/>
    <w:basedOn w:val="DefaultParagraphFont"/>
    <w:uiPriority w:val="21"/>
    <w:qFormat w:val="1"/>
    <w:rsid w:val="00F47012"/>
    <w:rPr>
      <w:b w:val="1"/>
      <w:bCs w:val="1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F47012"/>
    <w:rPr>
      <w:smallCaps w:val="1"/>
      <w:color w:val="595959" w:themeColor="text1" w:themeTint="0000A6"/>
      <w:u w:color="7f7f7f" w:themeColor="text1" w:themeTint="000080" w:val="none"/>
      <w:bdr w:color="auto" w:space="0" w:sz="0" w:val="none"/>
    </w:rPr>
  </w:style>
  <w:style w:type="character" w:styleId="IntenseReference">
    <w:name w:val="Intense Reference"/>
    <w:basedOn w:val="DefaultParagraphFont"/>
    <w:uiPriority w:val="32"/>
    <w:qFormat w:val="1"/>
    <w:rsid w:val="00F47012"/>
    <w:rPr>
      <w:b w:val="1"/>
      <w:bCs w:val="1"/>
      <w:smallCaps w:val="1"/>
      <w:color w:val="242852" w:themeColor="text2"/>
      <w:u w:val="single"/>
    </w:rPr>
  </w:style>
  <w:style w:type="character" w:styleId="BookTitle">
    <w:name w:val="Book Title"/>
    <w:basedOn w:val="DefaultParagraphFont"/>
    <w:uiPriority w:val="33"/>
    <w:qFormat w:val="1"/>
    <w:rsid w:val="00F47012"/>
    <w:rPr>
      <w:b w:val="1"/>
      <w:bCs w:val="1"/>
      <w:smallCaps w:val="1"/>
      <w:spacing w:val="10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F47012"/>
    <w:pPr>
      <w:outlineLvl w:val="9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596B24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596B2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 w:val="1"/>
    <w:rsid w:val="00596B24"/>
    <w:rPr>
      <w:color w:val="9454c3" w:themeColor="hyperlink"/>
      <w:u w:val="single"/>
    </w:rPr>
  </w:style>
  <w:style w:type="table" w:styleId="TableGrid">
    <w:name w:val="Table Grid"/>
    <w:basedOn w:val="TableNormal"/>
    <w:uiPriority w:val="39"/>
    <w:rsid w:val="00596B2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96B24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6B24"/>
  </w:style>
  <w:style w:type="paragraph" w:styleId="Footer">
    <w:name w:val="footer"/>
    <w:basedOn w:val="Normal"/>
    <w:link w:val="FooterChar"/>
    <w:uiPriority w:val="99"/>
    <w:unhideWhenUsed w:val="1"/>
    <w:rsid w:val="00596B24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6B24"/>
  </w:style>
  <w:style w:type="paragraph" w:styleId="ListParagraph">
    <w:name w:val="List Paragraph"/>
    <w:aliases w:val="Lista vi–etas,Lista viÐetas,Lista viñetas,Viñetas (Inicio Parrafo),3 Txt tabla,Zerrenda-paragrafoa,Task Body,Paragrafo elenco,Bullet List,Liste à puces retrait droite,1st level - Bullet List Paragraph,Lettre d'introduction"/>
    <w:basedOn w:val="Normal"/>
    <w:link w:val="ListParagraphChar"/>
    <w:uiPriority w:val="34"/>
    <w:qFormat w:val="1"/>
    <w:rsid w:val="00D32860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FB2F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C15B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C15B0"/>
    <w:rPr>
      <w:color w:val="3ebbf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A3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CA386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A3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A386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A386D"/>
    <w:rPr>
      <w:b w:val="1"/>
      <w:bCs w:val="1"/>
      <w:sz w:val="20"/>
      <w:szCs w:val="20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D96096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A6CB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A6CB7"/>
    <w:rPr>
      <w:rFonts w:ascii="Segoe UI" w:cs="Segoe UI" w:hAnsi="Segoe UI"/>
      <w:sz w:val="18"/>
      <w:szCs w:val="18"/>
    </w:rPr>
  </w:style>
  <w:style w:type="character" w:styleId="cf01" w:customStyle="1">
    <w:name w:val="cf01"/>
    <w:basedOn w:val="DefaultParagraphFont"/>
    <w:rsid w:val="00BE765B"/>
    <w:rPr>
      <w:rFonts w:ascii="Segoe UI" w:cs="Segoe UI" w:hAnsi="Segoe UI" w:hint="default"/>
      <w:sz w:val="18"/>
      <w:szCs w:val="18"/>
    </w:rPr>
  </w:style>
  <w:style w:type="character" w:styleId="ListParagraphChar" w:customStyle="1">
    <w:name w:val="List Paragraph Char"/>
    <w:aliases w:val="Lista vi–etas Char,Lista viÐetas Char,Lista viñetas Char,Viñetas (Inicio Parrafo) Char,3 Txt tabla Char,Zerrenda-paragrafoa Char,Task Body Char,Paragrafo elenco Char,Bullet List Char,Liste à puces retrait droite Char"/>
    <w:basedOn w:val="DefaultParagraphFont"/>
    <w:link w:val="ListParagraph"/>
    <w:uiPriority w:val="34"/>
    <w:qFormat w:val="1"/>
    <w:rsid w:val="00020CE0"/>
  </w:style>
  <w:style w:type="table" w:styleId="GridTable1Light">
    <w:name w:val="Grid Table 1 Light"/>
    <w:basedOn w:val="TableNormal"/>
    <w:uiPriority w:val="46"/>
    <w:rsid w:val="00F81446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PlaceholderText">
    <w:name w:val="Placeholder Text"/>
    <w:basedOn w:val="DefaultParagraphFont"/>
    <w:uiPriority w:val="99"/>
    <w:semiHidden w:val="1"/>
    <w:rsid w:val="00936E49"/>
    <w:rPr>
      <w:rFonts w:ascii="Segoe UI" w:cs="Segoe UI" w:hAnsi="Segoe UI"/>
      <w:i w:val="1"/>
      <w:color w:val="800000"/>
    </w:rPr>
  </w:style>
  <w:style w:type="character" w:styleId="DataStyle" w:customStyle="1">
    <w:name w:val="DataStyle"/>
    <w:basedOn w:val="DefaultParagraphFont"/>
    <w:qFormat w:val="1"/>
    <w:rsid w:val="00CE48BC"/>
    <w:rPr>
      <w:color w:val="000080"/>
      <w:sz w:val="24"/>
      <w:szCs w:val="24"/>
      <w:u w:val="single"/>
    </w:rPr>
  </w:style>
  <w:style w:type="paragraph" w:styleId="Revision">
    <w:name w:val="Revision"/>
    <w:hidden w:val="1"/>
    <w:uiPriority w:val="99"/>
    <w:semiHidden w:val="1"/>
    <w:rsid w:val="00254A3D"/>
    <w:pPr>
      <w:spacing w:after="0" w:line="240" w:lineRule="auto"/>
    </w:p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4a66ac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EF0yyq0E4AWpOvrF/VaNJuWaXg==">CgMxLjAyDmguYTQwdTBzNXJjMTltOAByITFwY0VBLXFJTm5nLThwcVJsMkJmS1JXSFo0VW44RHBMQw==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2025-11-20T15:12:00Z</dcterms:created>
  <dc:creator>Diāna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0x010100C1C1950359A2B04797684F18216E44B0</vt:lpwstr>
  </property>
  <property fmtid="{D5CDD505-2E9C-101B-9397-08002B2CF9AE}" pid="3" name="MediaServiceImageTags">
    <vt:lpwstr/>
  </property>
</Properties>
</file>