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DCD47A" w14:textId="77777777" w:rsidR="00CE502C" w:rsidRPr="00CE502C" w:rsidRDefault="00CE502C" w:rsidP="00CE502C">
      <w:pPr>
        <w:spacing w:before="100" w:beforeAutospacing="1" w:after="100" w:afterAutospacing="1" w:line="240" w:lineRule="auto"/>
        <w:outlineLvl w:val="0"/>
        <w:rPr>
          <w:rFonts w:ascii="Times New Roman" w:eastAsia="Times New Roman" w:hAnsi="Times New Roman" w:cs="Times New Roman"/>
          <w:b/>
          <w:bCs/>
          <w:kern w:val="36"/>
          <w:sz w:val="48"/>
          <w:szCs w:val="48"/>
          <w:lang w:eastAsia="en-GB"/>
          <w14:ligatures w14:val="none"/>
        </w:rPr>
      </w:pPr>
      <w:r w:rsidRPr="00CE502C">
        <w:rPr>
          <w:rFonts w:ascii="Times New Roman" w:eastAsia="Times New Roman" w:hAnsi="Times New Roman" w:cs="Times New Roman"/>
          <w:b/>
          <w:bCs/>
          <w:kern w:val="36"/>
          <w:sz w:val="48"/>
          <w:szCs w:val="48"/>
          <w:lang w:eastAsia="en-GB"/>
          <w14:ligatures w14:val="none"/>
        </w:rPr>
        <w:t>2. pielikums</w:t>
      </w:r>
    </w:p>
    <w:p w14:paraId="78D04F4B" w14:textId="77777777" w:rsidR="00CE502C" w:rsidRPr="00CE502C" w:rsidRDefault="00CE502C" w:rsidP="00CE502C">
      <w:pPr>
        <w:spacing w:before="100" w:beforeAutospacing="1" w:after="100" w:afterAutospacing="1" w:line="240" w:lineRule="auto"/>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TEHNISKĀ SPECIFIKĀCIJA</w:t>
      </w:r>
    </w:p>
    <w:p w14:paraId="79A82565" w14:textId="77777777" w:rsidR="00D52A15" w:rsidRDefault="00D52A15" w:rsidP="00CE502C">
      <w:pPr>
        <w:spacing w:after="0" w:line="240" w:lineRule="auto"/>
        <w:rPr>
          <w:rFonts w:ascii="Times New Roman" w:eastAsia="Times New Roman" w:hAnsi="Times New Roman" w:cs="Times New Roman"/>
          <w:b/>
          <w:bCs/>
          <w:kern w:val="0"/>
          <w:lang w:val="lv-LV" w:eastAsia="en-GB"/>
          <w14:ligatures w14:val="none"/>
        </w:rPr>
      </w:pPr>
      <w:r w:rsidRPr="00D52A15">
        <w:rPr>
          <w:rFonts w:ascii="Times New Roman" w:eastAsia="Times New Roman" w:hAnsi="Times New Roman" w:cs="Times New Roman"/>
          <w:b/>
          <w:bCs/>
          <w:kern w:val="0"/>
          <w:lang w:eastAsia="en-GB"/>
          <w14:ligatures w14:val="none"/>
        </w:rPr>
        <w:t>KOMPAKTA SPIRĀLES VEIDA SALDĒTAVA</w:t>
      </w:r>
    </w:p>
    <w:p w14:paraId="64B56AC4" w14:textId="77777777" w:rsidR="00D52A15" w:rsidRDefault="00D52A15" w:rsidP="00CE502C">
      <w:pPr>
        <w:spacing w:after="0" w:line="240" w:lineRule="auto"/>
        <w:rPr>
          <w:rFonts w:ascii="Times New Roman" w:eastAsia="Times New Roman" w:hAnsi="Times New Roman" w:cs="Times New Roman"/>
          <w:b/>
          <w:bCs/>
          <w:kern w:val="0"/>
          <w:lang w:val="lv-LV" w:eastAsia="en-GB"/>
          <w14:ligatures w14:val="none"/>
        </w:rPr>
      </w:pPr>
    </w:p>
    <w:p w14:paraId="2006DE1E" w14:textId="42AF935F" w:rsidR="00CE502C" w:rsidRPr="00CE502C" w:rsidRDefault="00000000" w:rsidP="00CE502C">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4CBFC71A">
          <v:rect id="_x0000_i1025" alt="" style="width:451.3pt;height:.05pt;mso-width-percent:0;mso-height-percent:0;mso-width-percent:0;mso-height-percent:0" o:hralign="center" o:hrstd="t" o:hr="t" fillcolor="#a0a0a0" stroked="f"/>
        </w:pict>
      </w:r>
    </w:p>
    <w:p w14:paraId="4283E197" w14:textId="77777777" w:rsidR="00CE502C" w:rsidRPr="00CE502C" w:rsidRDefault="00CE502C" w:rsidP="00CE502C">
      <w:pPr>
        <w:spacing w:before="100" w:beforeAutospacing="1" w:after="100" w:afterAutospacing="1" w:line="240" w:lineRule="auto"/>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vieta, datums</w:t>
      </w:r>
    </w:p>
    <w:tbl>
      <w:tblPr>
        <w:tblStyle w:val="TableGridLight"/>
        <w:tblW w:w="0" w:type="auto"/>
        <w:tblLook w:val="04A0" w:firstRow="1" w:lastRow="0" w:firstColumn="1" w:lastColumn="0" w:noHBand="0" w:noVBand="1"/>
      </w:tblPr>
      <w:tblGrid>
        <w:gridCol w:w="2644"/>
        <w:gridCol w:w="6372"/>
      </w:tblGrid>
      <w:tr w:rsidR="00CE502C" w:rsidRPr="00CE502C" w14:paraId="1095FE6B" w14:textId="77777777" w:rsidTr="008A40E1">
        <w:tc>
          <w:tcPr>
            <w:tcW w:w="0" w:type="auto"/>
            <w:hideMark/>
          </w:tcPr>
          <w:p w14:paraId="58723CA3" w14:textId="77777777" w:rsidR="00CE502C" w:rsidRPr="00CE502C" w:rsidRDefault="00CE502C" w:rsidP="00CE502C">
            <w:pPr>
              <w:jc w:val="center"/>
              <w:rPr>
                <w:rFonts w:ascii="Times New Roman" w:eastAsia="Times New Roman" w:hAnsi="Times New Roman" w:cs="Times New Roman"/>
                <w:b/>
                <w:bCs/>
                <w:kern w:val="0"/>
                <w:lang w:eastAsia="en-GB"/>
                <w14:ligatures w14:val="none"/>
              </w:rPr>
            </w:pPr>
            <w:r w:rsidRPr="00CE502C">
              <w:rPr>
                <w:rFonts w:ascii="Times New Roman" w:eastAsia="Times New Roman" w:hAnsi="Times New Roman" w:cs="Times New Roman"/>
                <w:b/>
                <w:bCs/>
                <w:kern w:val="0"/>
                <w:lang w:eastAsia="en-GB"/>
                <w14:ligatures w14:val="none"/>
              </w:rPr>
              <w:t>Parametrs</w:t>
            </w:r>
          </w:p>
        </w:tc>
        <w:tc>
          <w:tcPr>
            <w:tcW w:w="0" w:type="auto"/>
            <w:hideMark/>
          </w:tcPr>
          <w:p w14:paraId="318D30CD" w14:textId="77777777" w:rsidR="00CE502C" w:rsidRPr="00CE502C" w:rsidRDefault="00CE502C" w:rsidP="00CE502C">
            <w:pPr>
              <w:jc w:val="center"/>
              <w:rPr>
                <w:rFonts w:ascii="Times New Roman" w:eastAsia="Times New Roman" w:hAnsi="Times New Roman" w:cs="Times New Roman"/>
                <w:b/>
                <w:bCs/>
                <w:kern w:val="0"/>
                <w:lang w:eastAsia="en-GB"/>
                <w14:ligatures w14:val="none"/>
              </w:rPr>
            </w:pPr>
            <w:r w:rsidRPr="00CE502C">
              <w:rPr>
                <w:rFonts w:ascii="Times New Roman" w:eastAsia="Times New Roman" w:hAnsi="Times New Roman" w:cs="Times New Roman"/>
                <w:b/>
                <w:bCs/>
                <w:kern w:val="0"/>
                <w:lang w:eastAsia="en-GB"/>
                <w14:ligatures w14:val="none"/>
              </w:rPr>
              <w:t>Prasība</w:t>
            </w:r>
          </w:p>
        </w:tc>
      </w:tr>
      <w:tr w:rsidR="00CE502C" w:rsidRPr="00CE502C" w14:paraId="57597C9E" w14:textId="77777777" w:rsidTr="008A40E1">
        <w:tc>
          <w:tcPr>
            <w:tcW w:w="0" w:type="auto"/>
            <w:hideMark/>
          </w:tcPr>
          <w:p w14:paraId="654E0F75"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DALĪBNIEKS sniedz informāciju vai pierādījumus par katru prasību.</w:t>
            </w:r>
          </w:p>
        </w:tc>
        <w:tc>
          <w:tcPr>
            <w:tcW w:w="0" w:type="auto"/>
            <w:hideMark/>
          </w:tcPr>
          <w:p w14:paraId="7EB3EB5E" w14:textId="77777777" w:rsidR="00CE502C" w:rsidRPr="00CE502C" w:rsidRDefault="00CE502C" w:rsidP="00CE502C">
            <w:pPr>
              <w:rPr>
                <w:rFonts w:ascii="Times New Roman" w:eastAsia="Times New Roman" w:hAnsi="Times New Roman" w:cs="Times New Roman"/>
                <w:kern w:val="0"/>
                <w:lang w:eastAsia="en-GB"/>
                <w14:ligatures w14:val="none"/>
              </w:rPr>
            </w:pPr>
          </w:p>
        </w:tc>
      </w:tr>
      <w:tr w:rsidR="00CE502C" w:rsidRPr="00CE502C" w14:paraId="1FB33A07" w14:textId="77777777" w:rsidTr="008A40E1">
        <w:tc>
          <w:tcPr>
            <w:tcW w:w="0" w:type="auto"/>
            <w:hideMark/>
          </w:tcPr>
          <w:p w14:paraId="1F0EA2D3"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Daudzums</w:t>
            </w:r>
          </w:p>
        </w:tc>
        <w:tc>
          <w:tcPr>
            <w:tcW w:w="0" w:type="auto"/>
            <w:hideMark/>
          </w:tcPr>
          <w:p w14:paraId="0F8941EF"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1 gab. – Kompakta spirālveida saldētava iepriekš atdzesētu (+5°C) pārtikas produktu nepārtrauktai sasaldēšanai C-PET paplātēs, ar produkta porcijas svaru 200–450 g uz paplāti.</w:t>
            </w:r>
          </w:p>
        </w:tc>
      </w:tr>
      <w:tr w:rsidR="00CE502C" w:rsidRPr="00CE502C" w14:paraId="35876D05" w14:textId="77777777" w:rsidTr="008A40E1">
        <w:tc>
          <w:tcPr>
            <w:tcW w:w="0" w:type="auto"/>
            <w:hideMark/>
          </w:tcPr>
          <w:p w14:paraId="39C5EDF8"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Piedāvātais zīmols, modelis</w:t>
            </w:r>
          </w:p>
        </w:tc>
        <w:tc>
          <w:tcPr>
            <w:tcW w:w="0" w:type="auto"/>
            <w:hideMark/>
          </w:tcPr>
          <w:p w14:paraId="79470B3F"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Zīmola nosaukums (identifikācijas nolūkos) un modeļa nosaukums (identifikācijas nolūkos).</w:t>
            </w:r>
          </w:p>
        </w:tc>
      </w:tr>
      <w:tr w:rsidR="00CE502C" w:rsidRPr="00CE502C" w14:paraId="7DAD5F84" w14:textId="77777777" w:rsidTr="008A40E1">
        <w:tc>
          <w:tcPr>
            <w:tcW w:w="0" w:type="auto"/>
            <w:hideMark/>
          </w:tcPr>
          <w:p w14:paraId="276E197B"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Mērķis un produkts</w:t>
            </w:r>
          </w:p>
        </w:tc>
        <w:tc>
          <w:tcPr>
            <w:tcW w:w="0" w:type="auto"/>
            <w:hideMark/>
          </w:tcPr>
          <w:p w14:paraId="45D45428"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Saldētavai jābūt paredzētai gatavu ēdienu vai pārtikas porciju rūpnieciskai sasaldēšanai, kas atdzesētas līdz aptuveni +5°C un iepakotas C-PET paplātēs, kuru svars ir 200–450 g. Saldētavai jānodrošina vienmērīga, ātra un stabila sasaldēšana bez C-PET iepakojuma deformācijas.</w:t>
            </w:r>
          </w:p>
        </w:tc>
      </w:tr>
      <w:tr w:rsidR="00CE502C" w:rsidRPr="00CE502C" w14:paraId="5B8C6A0C" w14:textId="77777777" w:rsidTr="008A40E1">
        <w:tc>
          <w:tcPr>
            <w:tcW w:w="0" w:type="auto"/>
            <w:hideMark/>
          </w:tcPr>
          <w:p w14:paraId="7F3634C0"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Mērķa galīgā sasalšanas temperatūra</w:t>
            </w:r>
          </w:p>
        </w:tc>
        <w:tc>
          <w:tcPr>
            <w:tcW w:w="0" w:type="auto"/>
            <w:hideMark/>
          </w:tcPr>
          <w:p w14:paraId="5D9295DF"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Saldētavai jāspēj samazināt produkta iekšējo temperatūru līdz vismaz –18 °C un uzturēt stabilu sasaldēšanas darbību šajā līmenī. Piegādātājam jānorāda gaisa temperatūras diapazons, sasaldēšanas līkne un nepieciešamais uzturēšanās laiks, lai sasniegtu –18 °C iekšējo temperatūru 200–450 g C-PET paplātēm.</w:t>
            </w:r>
          </w:p>
        </w:tc>
      </w:tr>
      <w:tr w:rsidR="00CE502C" w:rsidRPr="00CE502C" w14:paraId="32DD1437" w14:textId="77777777" w:rsidTr="008A40E1">
        <w:tc>
          <w:tcPr>
            <w:tcW w:w="0" w:type="auto"/>
            <w:hideMark/>
          </w:tcPr>
          <w:p w14:paraId="34CD26A0"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Saldēšanas jauda</w:t>
            </w:r>
          </w:p>
        </w:tc>
        <w:tc>
          <w:tcPr>
            <w:tcW w:w="0" w:type="auto"/>
            <w:hideMark/>
          </w:tcPr>
          <w:p w14:paraId="3D4FA0EA"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Garantēta nepārtraukta saldēšanas jauda no 450 kg/h līdz 550 kg/h C-PET iepakotiem ēdieniem, kas iepriekš atdzesēti līdz +5°C. Jaudas pārbaudes un apstākļi jāapraksta tehniskajā prospektā.</w:t>
            </w:r>
          </w:p>
        </w:tc>
      </w:tr>
      <w:tr w:rsidR="00CE502C" w:rsidRPr="00CE502C" w14:paraId="3E16232F" w14:textId="77777777" w:rsidTr="008A40E1">
        <w:tc>
          <w:tcPr>
            <w:tcW w:w="0" w:type="auto"/>
            <w:hideMark/>
          </w:tcPr>
          <w:p w14:paraId="665D4856"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Kopējie izmēri (G × P × A)</w:t>
            </w:r>
          </w:p>
        </w:tc>
        <w:tc>
          <w:tcPr>
            <w:tcW w:w="0" w:type="auto"/>
            <w:hideMark/>
          </w:tcPr>
          <w:p w14:paraId="23ACFA96"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Kopējiem iekārtas izmēriem jābūt šādās robežās: garums 6300–6400 mm; platums 3100–3200 mm; augstums ne vairāk kā 3900 mm.</w:t>
            </w:r>
          </w:p>
        </w:tc>
      </w:tr>
      <w:tr w:rsidR="00CE502C" w:rsidRPr="00CE502C" w14:paraId="64183AD1" w14:textId="77777777" w:rsidTr="008A40E1">
        <w:tc>
          <w:tcPr>
            <w:tcW w:w="0" w:type="auto"/>
            <w:hideMark/>
          </w:tcPr>
          <w:p w14:paraId="7250A1FB"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Efektīvais konveijera platums</w:t>
            </w:r>
          </w:p>
        </w:tc>
        <w:tc>
          <w:tcPr>
            <w:tcW w:w="0" w:type="auto"/>
            <w:hideMark/>
          </w:tcPr>
          <w:p w14:paraId="1A630735"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Efektīvais lentes platums ne mazāks par 450 mm.</w:t>
            </w:r>
          </w:p>
        </w:tc>
      </w:tr>
      <w:tr w:rsidR="00CE502C" w:rsidRPr="00CE502C" w14:paraId="332FA043" w14:textId="77777777" w:rsidTr="008A40E1">
        <w:tc>
          <w:tcPr>
            <w:tcW w:w="0" w:type="auto"/>
            <w:hideMark/>
          </w:tcPr>
          <w:p w14:paraId="10955778"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Spirālveida cilindrs un līmeņi</w:t>
            </w:r>
          </w:p>
        </w:tc>
        <w:tc>
          <w:tcPr>
            <w:tcW w:w="0" w:type="auto"/>
            <w:hideMark/>
          </w:tcPr>
          <w:p w14:paraId="4C494D84"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Spirālveida cilindru sistēma ar horizontālu gaisa plūsmu un nepārtrauktu produkta kustību. Minimālā cilindru konfigurācija: līmeņu skaits ne mazāks par 20; līmeņu solis 110–130 mm (vai līdzvērtīga līmeņu konfigurācija, kas nodrošina 450–550 kg/h jaudu noteiktajos izmēros).</w:t>
            </w:r>
          </w:p>
        </w:tc>
      </w:tr>
      <w:tr w:rsidR="00CE502C" w:rsidRPr="00CE502C" w14:paraId="111DB85F" w14:textId="77777777" w:rsidTr="008A40E1">
        <w:tc>
          <w:tcPr>
            <w:tcW w:w="0" w:type="auto"/>
            <w:hideMark/>
          </w:tcPr>
          <w:p w14:paraId="452405FA"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Gaisa plūsma un iztvaicētājs</w:t>
            </w:r>
          </w:p>
        </w:tc>
        <w:tc>
          <w:tcPr>
            <w:tcW w:w="0" w:type="auto"/>
            <w:hideMark/>
          </w:tcPr>
          <w:p w14:paraId="12062748"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Horizontāla gaisa plūsmas sistēma ar integrētu iztvaicētāju, kuras izmērs ir tāds, lai nodrošinātu nepieciešamo sasalšanas slodzi. Prospektā jānorāda gaisa ātrums, iztvaicētāja jauda un atkausēšanas metode.</w:t>
            </w:r>
          </w:p>
        </w:tc>
      </w:tr>
      <w:tr w:rsidR="00CE502C" w:rsidRPr="00CE502C" w14:paraId="219FE159" w14:textId="77777777" w:rsidTr="008A40E1">
        <w:tc>
          <w:tcPr>
            <w:tcW w:w="0" w:type="auto"/>
            <w:hideMark/>
          </w:tcPr>
          <w:p w14:paraId="3C36C55E"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lastRenderedPageBreak/>
              <w:t>Būvniecība un materiāli</w:t>
            </w:r>
          </w:p>
        </w:tc>
        <w:tc>
          <w:tcPr>
            <w:tcW w:w="0" w:type="auto"/>
            <w:hideMark/>
          </w:tcPr>
          <w:p w14:paraId="1C3E6B1C"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Visas galvenās konstrukcijas daļas un korpuss no nerūsējošā tērauda, ​​vismaz AISI 304 vai augstākas markas. Daļas, kas atrodas tiešā produkta vidē (gaisa plūsmas zona, lentes saskares vietas, iztvaicētāja vāki), ir no AISI 304 vai AISI 316 vai augstākas markas. Nepieciešama higiēniska konstrukcija: pilnībā metinātas iekšējās virsmas, noapaļoti stūri, laba drenāža un ērta piekļuve tīrīšanai.</w:t>
            </w:r>
          </w:p>
        </w:tc>
      </w:tr>
      <w:tr w:rsidR="00CE502C" w:rsidRPr="00CE502C" w14:paraId="1BEBC081" w14:textId="77777777" w:rsidTr="008A40E1">
        <w:tc>
          <w:tcPr>
            <w:tcW w:w="0" w:type="auto"/>
            <w:hideMark/>
          </w:tcPr>
          <w:p w14:paraId="0D94D473"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Saldētavas dizains</w:t>
            </w:r>
          </w:p>
        </w:tc>
        <w:tc>
          <w:tcPr>
            <w:tcW w:w="0" w:type="auto"/>
            <w:hideMark/>
          </w:tcPr>
          <w:p w14:paraId="21A6ED56"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Saldētava jāpiegādā kā viena vienība, pilnībā samontēta sistēma uz integrēta nerūsējošā tērauda pamatrāmja, kas ļauj to uzstādīt bez inženiertehniskiem darbiem (bez sildītāja paklājiem, bez betona cokoliem). Saldētavai, spirālveida cilindram, korpusam un lentes sistēmai jābūt rūpnīcā uzstādītām un piegādātām pilnībā samontētā veidā.</w:t>
            </w:r>
          </w:p>
        </w:tc>
      </w:tr>
      <w:tr w:rsidR="00CE502C" w:rsidRPr="00CE502C" w14:paraId="5A7D979D" w14:textId="77777777" w:rsidTr="008A40E1">
        <w:tc>
          <w:tcPr>
            <w:tcW w:w="0" w:type="auto"/>
            <w:hideMark/>
          </w:tcPr>
          <w:p w14:paraId="3E44DA8C"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Spirālveida siksnu sistēma</w:t>
            </w:r>
          </w:p>
        </w:tc>
        <w:tc>
          <w:tcPr>
            <w:tcW w:w="0" w:type="auto"/>
            <w:hideMark/>
          </w:tcPr>
          <w:p w14:paraId="728103D9"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Spirālveida lentei jābūt ar zemu spriegumu un integrētu lentes celiņu, kas nodrošina stabilu lentes kustību, samazinātu berzi, mazāku nodilumu un uzlabotu higiēnu. Lentes vadotnei jābūt daļai no metinātās saldētavas konstrukcijas, un tai nedrīkst būt nepieciešama montāža vai izlīdzināšana uz vietas.</w:t>
            </w:r>
          </w:p>
        </w:tc>
      </w:tr>
      <w:tr w:rsidR="00CE502C" w:rsidRPr="00CE502C" w14:paraId="015CD3D1" w14:textId="77777777" w:rsidTr="008A40E1">
        <w:tc>
          <w:tcPr>
            <w:tcW w:w="0" w:type="auto"/>
            <w:hideMark/>
          </w:tcPr>
          <w:p w14:paraId="1F2E3E93"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Padeves/izvades konfigurācija</w:t>
            </w:r>
          </w:p>
        </w:tc>
        <w:tc>
          <w:tcPr>
            <w:tcW w:w="0" w:type="auto"/>
            <w:hideMark/>
          </w:tcPr>
          <w:p w14:paraId="4C234D64"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Standarta padeves/izvades orientācija (augšupvērstais cilindrs, lejupvērstais cilindrs vai līdzvērtīga). Precīza piedāvātā orientācija jānorāda piegādātāja rasējumos.</w:t>
            </w:r>
          </w:p>
        </w:tc>
      </w:tr>
      <w:tr w:rsidR="00CE502C" w:rsidRPr="00CE502C" w14:paraId="6FC35779" w14:textId="77777777" w:rsidTr="008A40E1">
        <w:tc>
          <w:tcPr>
            <w:tcW w:w="0" w:type="auto"/>
            <w:hideMark/>
          </w:tcPr>
          <w:p w14:paraId="6136AE46"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Pilns funkcionālais komplekts (obligāti)</w:t>
            </w:r>
          </w:p>
        </w:tc>
        <w:tc>
          <w:tcPr>
            <w:tcW w:w="0" w:type="auto"/>
            <w:hideMark/>
          </w:tcPr>
          <w:p w14:paraId="09C899DD"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Saldētava jāpiegādā pilnībā samontēta un aprīkota tūlītējai darbībai pēc pieslēgšanas elektrotīklam. Visām pilnīgai darbībai nepieciešamajām sastāvdaļām (spirālveida cilindram, lentei, galvenajiem un palīgpiedziņas motoriem, iztvaikotājam, ventilatoriem, gaisa plūsmas sistēmai, korpusam, durvīm, notekas punktiem, vārstiem, sensoriem, mazgāšanas līdzekļa mazgāšanas sistēmai, vadības panelim, drošības aprīkojumam un visām nepieciešamajām platformām vai piekļuves punktiem, ko paredz konstrukcija) jābūt iekļautām piedāvātajā cenā.</w:t>
            </w:r>
          </w:p>
        </w:tc>
      </w:tr>
      <w:tr w:rsidR="00CE502C" w:rsidRPr="00CE502C" w14:paraId="63356BC9" w14:textId="77777777" w:rsidTr="008A40E1">
        <w:tc>
          <w:tcPr>
            <w:tcW w:w="0" w:type="auto"/>
            <w:hideMark/>
          </w:tcPr>
          <w:p w14:paraId="33FFB2E5"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Komplektā iekļauto sastāvdaļu un piederumu saraksts</w:t>
            </w:r>
          </w:p>
        </w:tc>
        <w:tc>
          <w:tcPr>
            <w:tcW w:w="0" w:type="auto"/>
            <w:hideMark/>
          </w:tcPr>
          <w:p w14:paraId="737ED16E"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DALĪBNIEKAM ir jāiesniedz detalizēts un pilnīgs visu piedāvājumā iekļauto sastāvdaļu, piederumu un palīgiekārtu saraksts. Pasūtītājs patur tiesības izvērtēt piedāvājumus, pamatojoties uz iesniegtā saraksta pilnīgumu.</w:t>
            </w:r>
          </w:p>
        </w:tc>
      </w:tr>
      <w:tr w:rsidR="00CE502C" w:rsidRPr="00CE502C" w14:paraId="75FAE44C" w14:textId="77777777" w:rsidTr="008A40E1">
        <w:tc>
          <w:tcPr>
            <w:tcW w:w="0" w:type="auto"/>
            <w:hideMark/>
          </w:tcPr>
          <w:p w14:paraId="1374DD8E"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Uzstādīšanas prasības</w:t>
            </w:r>
          </w:p>
        </w:tc>
        <w:tc>
          <w:tcPr>
            <w:tcW w:w="0" w:type="auto"/>
            <w:hideMark/>
          </w:tcPr>
          <w:p w14:paraId="05645AC5"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Saldētavai jābūt aprīkotai ar “pievieno un darbini” tipa ierīci. Piegādei un uzstādīšanai nedrīkst būt nepieciešami spirālveida cilindra, korpusa paneļu, pamatnes konstrukcijas vai lentes sliežu montāžas darbi uz vietas, izņemot pieslēgšanu komunālajiem pakalpojumiem (elektrībai, saldēšanai un kanalizācijai). Piegādātājam jāapstiprina, ka uzstādīšanai nav nepieciešama vairāku dienu konstrukcijas montāža.</w:t>
            </w:r>
          </w:p>
        </w:tc>
      </w:tr>
      <w:tr w:rsidR="00CE502C" w:rsidRPr="00CE502C" w14:paraId="40F13891" w14:textId="77777777" w:rsidTr="008A40E1">
        <w:tc>
          <w:tcPr>
            <w:tcW w:w="0" w:type="auto"/>
            <w:hideMark/>
          </w:tcPr>
          <w:p w14:paraId="3515224F"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Vadības sistēma</w:t>
            </w:r>
          </w:p>
        </w:tc>
        <w:tc>
          <w:tcPr>
            <w:tcW w:w="0" w:type="auto"/>
            <w:hideMark/>
          </w:tcPr>
          <w:p w14:paraId="06D1FD5B"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Integrēts elektriskais vadības panelis ar visu motoru vadību, lentes ātrumu (ja mainīgs), sistēmas trauksmes signāliem, avārijas apturēšanas funkcijām, temperatūras regulēšanu un drošības bloķējumiem. Elektriskās shēmas jāiekļauj dokumentācijā.</w:t>
            </w:r>
          </w:p>
        </w:tc>
      </w:tr>
      <w:tr w:rsidR="00CE502C" w:rsidRPr="00CE502C" w14:paraId="2BB85E6C" w14:textId="77777777" w:rsidTr="008A40E1">
        <w:tc>
          <w:tcPr>
            <w:tcW w:w="0" w:type="auto"/>
            <w:hideMark/>
          </w:tcPr>
          <w:p w14:paraId="0113E879"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Tīrīšanas sistēma</w:t>
            </w:r>
          </w:p>
        </w:tc>
        <w:tc>
          <w:tcPr>
            <w:tcW w:w="0" w:type="auto"/>
            <w:hideMark/>
          </w:tcPr>
          <w:p w14:paraId="73CA1C9B"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Integrēta mazgāšanas/tīrīšanas sistēma ar mazgāšanas līdzekli (CIP vai līdzvērtīga). Jāiekļauj un jāuzskaita piegādāto komponentu sarakstā.</w:t>
            </w:r>
          </w:p>
        </w:tc>
      </w:tr>
      <w:tr w:rsidR="00CE502C" w:rsidRPr="00CE502C" w14:paraId="4346DB50" w14:textId="77777777" w:rsidTr="008A40E1">
        <w:tc>
          <w:tcPr>
            <w:tcW w:w="0" w:type="auto"/>
            <w:hideMark/>
          </w:tcPr>
          <w:p w14:paraId="5B0B1AD7"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Drošība</w:t>
            </w:r>
          </w:p>
        </w:tc>
        <w:tc>
          <w:tcPr>
            <w:tcW w:w="0" w:type="auto"/>
            <w:hideMark/>
          </w:tcPr>
          <w:p w14:paraId="5411A07E"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Saldētavai jāatbilst ES rūpnieciskās drošības prasībām. Durvīm jābūt aprīkotām ar drošības slēdzenēm; avārijas apturēšanas pogām jābūt pieejamām; kustīgajām daļām jābūt pilnībā aizsargātām.</w:t>
            </w:r>
          </w:p>
        </w:tc>
      </w:tr>
      <w:tr w:rsidR="00CE502C" w:rsidRPr="00CE502C" w14:paraId="5357ECDB" w14:textId="77777777" w:rsidTr="008A40E1">
        <w:tc>
          <w:tcPr>
            <w:tcW w:w="0" w:type="auto"/>
            <w:hideMark/>
          </w:tcPr>
          <w:p w14:paraId="1058683A"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Materiāli, kas nonāk saskarē ar pārtikas vidi</w:t>
            </w:r>
          </w:p>
        </w:tc>
        <w:tc>
          <w:tcPr>
            <w:tcW w:w="0" w:type="auto"/>
            <w:hideMark/>
          </w:tcPr>
          <w:p w14:paraId="2AA33C95"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Visiem materiāliem jāatbilst ES Regulai (EK) Nr. 1935/2004 par materiāliem, kas nonāk saskarē ar pārtiku.</w:t>
            </w:r>
          </w:p>
        </w:tc>
      </w:tr>
      <w:tr w:rsidR="00CE502C" w:rsidRPr="00CE502C" w14:paraId="186C0A1D" w14:textId="77777777" w:rsidTr="008A40E1">
        <w:tc>
          <w:tcPr>
            <w:tcW w:w="0" w:type="auto"/>
            <w:hideMark/>
          </w:tcPr>
          <w:p w14:paraId="6F266765"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Atbilstība un CE marķējums</w:t>
            </w:r>
          </w:p>
        </w:tc>
        <w:tc>
          <w:tcPr>
            <w:tcW w:w="0" w:type="auto"/>
            <w:hideMark/>
          </w:tcPr>
          <w:p w14:paraId="2F5985BA"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Iekārtām jāatbilst visām piemērojamajām ES direktīvām par mašīnām, zemspriegumu un elektromagnētisko saderību. CE marķējums ir obligāts. Atbilstības deklarācija jāiesniedz pieņemšanas-nodošanas brīdī.</w:t>
            </w:r>
          </w:p>
        </w:tc>
      </w:tr>
      <w:tr w:rsidR="00CE502C" w:rsidRPr="00CE502C" w14:paraId="2BC536D7" w14:textId="77777777" w:rsidTr="008A40E1">
        <w:tc>
          <w:tcPr>
            <w:tcW w:w="0" w:type="auto"/>
            <w:hideMark/>
          </w:tcPr>
          <w:p w14:paraId="03CCB056"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Dokumentācija</w:t>
            </w:r>
          </w:p>
        </w:tc>
        <w:tc>
          <w:tcPr>
            <w:tcW w:w="0" w:type="auto"/>
            <w:hideMark/>
          </w:tcPr>
          <w:p w14:paraId="5E9596C0"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Jāpiegādā latviešu vai angļu valodā: atbilstības deklarācija, iekārtas pase, lietotāja rokasgrāmata, apkopes instrukcijas, tīrīšanas instrukcijas, elektriskās shēmas, rezerves daļu saraksts.</w:t>
            </w:r>
          </w:p>
        </w:tc>
      </w:tr>
      <w:tr w:rsidR="00CE502C" w:rsidRPr="00CE502C" w14:paraId="7F0F5BE1" w14:textId="77777777" w:rsidTr="008A40E1">
        <w:tc>
          <w:tcPr>
            <w:tcW w:w="0" w:type="auto"/>
            <w:hideMark/>
          </w:tcPr>
          <w:p w14:paraId="47D5AFF2"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b/>
                <w:bCs/>
                <w:kern w:val="0"/>
                <w:lang w:eastAsia="en-GB"/>
                <w14:ligatures w14:val="none"/>
              </w:rPr>
              <w:t>Garantija</w:t>
            </w:r>
          </w:p>
        </w:tc>
        <w:tc>
          <w:tcPr>
            <w:tcW w:w="0" w:type="auto"/>
            <w:hideMark/>
          </w:tcPr>
          <w:p w14:paraId="6BCBA895" w14:textId="77777777" w:rsidR="00CE502C" w:rsidRPr="00CE502C" w:rsidRDefault="00CE502C" w:rsidP="00CE502C">
            <w:pPr>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Vismaz 24 mēnešu pilna ražotāja vai piegādātāja garantija visam saldētavas komplektam un visām iekļautajām sastāvdaļām.</w:t>
            </w:r>
          </w:p>
        </w:tc>
      </w:tr>
    </w:tbl>
    <w:p w14:paraId="0B44BB68" w14:textId="77777777" w:rsidR="00CE502C" w:rsidRPr="00CE502C" w:rsidRDefault="00000000" w:rsidP="00CE502C">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7446045D">
          <v:rect id="_x0000_i1026" alt="" style="width:451.3pt;height:.05pt;mso-width-percent:0;mso-height-percent:0;mso-width-percent:0;mso-height-percent:0" o:hralign="center" o:hrstd="t" o:hr="t" fillcolor="#a0a0a0" stroked="f"/>
        </w:pict>
      </w:r>
    </w:p>
    <w:p w14:paraId="66D63136" w14:textId="77777777" w:rsidR="00CE502C" w:rsidRPr="00CE502C" w:rsidRDefault="00CE502C" w:rsidP="00CE502C">
      <w:pPr>
        <w:spacing w:before="100" w:beforeAutospacing="1" w:after="100" w:afterAutospacing="1" w:line="240" w:lineRule="auto"/>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Vārds, uzvārds, amats</w:t>
      </w:r>
    </w:p>
    <w:p w14:paraId="422AD9CE" w14:textId="77777777" w:rsidR="00CE502C" w:rsidRPr="00CE502C" w:rsidRDefault="00000000" w:rsidP="00CE502C">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3D224E69">
          <v:rect id="_x0000_i1027" alt="" style="width:451.3pt;height:.05pt;mso-width-percent:0;mso-height-percent:0;mso-width-percent:0;mso-height-percent:0" o:hralign="center" o:hrstd="t" o:hr="t" fillcolor="#a0a0a0" stroked="f"/>
        </w:pict>
      </w:r>
    </w:p>
    <w:p w14:paraId="00F290FA" w14:textId="77777777" w:rsidR="00CE502C" w:rsidRPr="00CE502C" w:rsidRDefault="00CE502C" w:rsidP="00CE502C">
      <w:pPr>
        <w:spacing w:before="100" w:beforeAutospacing="1" w:after="100" w:afterAutospacing="1" w:line="240" w:lineRule="auto"/>
        <w:rPr>
          <w:rFonts w:ascii="Times New Roman" w:eastAsia="Times New Roman" w:hAnsi="Times New Roman" w:cs="Times New Roman"/>
          <w:kern w:val="0"/>
          <w:lang w:eastAsia="en-GB"/>
          <w14:ligatures w14:val="none"/>
        </w:rPr>
      </w:pPr>
      <w:r w:rsidRPr="00CE502C">
        <w:rPr>
          <w:rFonts w:ascii="Times New Roman" w:eastAsia="Times New Roman" w:hAnsi="Times New Roman" w:cs="Times New Roman"/>
          <w:kern w:val="0"/>
          <w:lang w:eastAsia="en-GB"/>
          <w14:ligatures w14:val="none"/>
        </w:rPr>
        <w:t>paraksts</w:t>
      </w:r>
    </w:p>
    <w:p w14:paraId="74B071D4" w14:textId="77777777" w:rsidR="00CE502C" w:rsidRPr="00CE502C" w:rsidRDefault="00000000" w:rsidP="00CE502C">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6826D7E7">
          <v:rect id="_x0000_i1028" alt="" style="width:451.3pt;height:.05pt;mso-width-percent:0;mso-height-percent:0;mso-width-percent:0;mso-height-percent:0" o:hralign="center" o:hrstd="t" o:hr="t" fillcolor="#a0a0a0" stroked="f"/>
        </w:pict>
      </w:r>
    </w:p>
    <w:p w14:paraId="300BB5E6" w14:textId="77777777" w:rsidR="00CE502C" w:rsidRDefault="00CE502C"/>
    <w:sectPr w:rsidR="00CE50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502C"/>
    <w:rsid w:val="002334AD"/>
    <w:rsid w:val="008A40E1"/>
    <w:rsid w:val="009D2CA9"/>
    <w:rsid w:val="00CE502C"/>
    <w:rsid w:val="00D210E5"/>
    <w:rsid w:val="00D52A15"/>
    <w:rsid w:val="00E26E6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6299C"/>
  <w15:chartTrackingRefBased/>
  <w15:docId w15:val="{4B53DA3B-4A22-BB40-A1E5-5FC39758CF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E50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E50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E50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E50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E50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E50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50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50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50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50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E50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E50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E50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E50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E50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50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50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502C"/>
    <w:rPr>
      <w:rFonts w:eastAsiaTheme="majorEastAsia" w:cstheme="majorBidi"/>
      <w:color w:val="272727" w:themeColor="text1" w:themeTint="D8"/>
    </w:rPr>
  </w:style>
  <w:style w:type="paragraph" w:styleId="Title">
    <w:name w:val="Title"/>
    <w:basedOn w:val="Normal"/>
    <w:next w:val="Normal"/>
    <w:link w:val="TitleChar"/>
    <w:uiPriority w:val="10"/>
    <w:qFormat/>
    <w:rsid w:val="00CE50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50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50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50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502C"/>
    <w:pPr>
      <w:spacing w:before="160"/>
      <w:jc w:val="center"/>
    </w:pPr>
    <w:rPr>
      <w:i/>
      <w:iCs/>
      <w:color w:val="404040" w:themeColor="text1" w:themeTint="BF"/>
    </w:rPr>
  </w:style>
  <w:style w:type="character" w:customStyle="1" w:styleId="QuoteChar">
    <w:name w:val="Quote Char"/>
    <w:basedOn w:val="DefaultParagraphFont"/>
    <w:link w:val="Quote"/>
    <w:uiPriority w:val="29"/>
    <w:rsid w:val="00CE502C"/>
    <w:rPr>
      <w:i/>
      <w:iCs/>
      <w:color w:val="404040" w:themeColor="text1" w:themeTint="BF"/>
    </w:rPr>
  </w:style>
  <w:style w:type="paragraph" w:styleId="ListParagraph">
    <w:name w:val="List Paragraph"/>
    <w:basedOn w:val="Normal"/>
    <w:uiPriority w:val="34"/>
    <w:qFormat/>
    <w:rsid w:val="00CE502C"/>
    <w:pPr>
      <w:ind w:left="720"/>
      <w:contextualSpacing/>
    </w:pPr>
  </w:style>
  <w:style w:type="character" w:styleId="IntenseEmphasis">
    <w:name w:val="Intense Emphasis"/>
    <w:basedOn w:val="DefaultParagraphFont"/>
    <w:uiPriority w:val="21"/>
    <w:qFormat/>
    <w:rsid w:val="00CE502C"/>
    <w:rPr>
      <w:i/>
      <w:iCs/>
      <w:color w:val="0F4761" w:themeColor="accent1" w:themeShade="BF"/>
    </w:rPr>
  </w:style>
  <w:style w:type="paragraph" w:styleId="IntenseQuote">
    <w:name w:val="Intense Quote"/>
    <w:basedOn w:val="Normal"/>
    <w:next w:val="Normal"/>
    <w:link w:val="IntenseQuoteChar"/>
    <w:uiPriority w:val="30"/>
    <w:qFormat/>
    <w:rsid w:val="00CE50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E502C"/>
    <w:rPr>
      <w:i/>
      <w:iCs/>
      <w:color w:val="0F4761" w:themeColor="accent1" w:themeShade="BF"/>
    </w:rPr>
  </w:style>
  <w:style w:type="character" w:styleId="IntenseReference">
    <w:name w:val="Intense Reference"/>
    <w:basedOn w:val="DefaultParagraphFont"/>
    <w:uiPriority w:val="32"/>
    <w:qFormat/>
    <w:rsid w:val="00CE502C"/>
    <w:rPr>
      <w:b/>
      <w:bCs/>
      <w:smallCaps/>
      <w:color w:val="0F4761" w:themeColor="accent1" w:themeShade="BF"/>
      <w:spacing w:val="5"/>
    </w:rPr>
  </w:style>
  <w:style w:type="paragraph" w:styleId="NormalWeb">
    <w:name w:val="Normal (Web)"/>
    <w:basedOn w:val="Normal"/>
    <w:uiPriority w:val="99"/>
    <w:semiHidden/>
    <w:unhideWhenUsed/>
    <w:rsid w:val="00CE502C"/>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CE502C"/>
    <w:rPr>
      <w:b/>
      <w:bCs/>
    </w:rPr>
  </w:style>
  <w:style w:type="table" w:styleId="TableGridLight">
    <w:name w:val="Grid Table Light"/>
    <w:basedOn w:val="TableNormal"/>
    <w:uiPriority w:val="40"/>
    <w:rsid w:val="008A40E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902</Words>
  <Characters>5148</Characters>
  <DocSecurity>0</DocSecurity>
  <Lines>42</Lines>
  <Paragraphs>12</Paragraphs>
  <ScaleCrop>false</ScaleCrop>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2025-11-17T17:42:00Z</dcterms:created>
  <dcterms:modified xsi:type="dcterms:W3CDTF">2025-11-21T09:12:00Z</dcterms:modified>
</cp:coreProperties>
</file>