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2EBF" w14:textId="77777777" w:rsidR="00D57BC8" w:rsidRPr="00D57BC8" w:rsidRDefault="00D57BC8" w:rsidP="00D57BC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57BC8">
        <w:rPr>
          <w:rFonts w:ascii="Times New Roman" w:eastAsia="Times New Roman" w:hAnsi="Times New Roman" w:cs="Times New Roman"/>
          <w:b/>
          <w:bCs/>
          <w:kern w:val="36"/>
          <w:sz w:val="48"/>
          <w:szCs w:val="48"/>
          <w:lang w:eastAsia="en-GB"/>
          <w14:ligatures w14:val="none"/>
        </w:rPr>
        <w:t>2. pielikums</w:t>
      </w:r>
    </w:p>
    <w:p w14:paraId="155650B9" w14:textId="77777777"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kern w:val="0"/>
          <w:lang w:eastAsia="en-GB"/>
          <w14:ligatures w14:val="none"/>
        </w:rPr>
        <w:t>TEHNISKĀ SPECIFIKĀCIJA</w:t>
      </w:r>
    </w:p>
    <w:p w14:paraId="229C1848" w14:textId="783D94A0" w:rsidR="00D57BC8" w:rsidRPr="00D57BC8" w:rsidRDefault="00235661" w:rsidP="00D57BC8">
      <w:pPr>
        <w:spacing w:after="0" w:line="240" w:lineRule="auto"/>
        <w:rPr>
          <w:rFonts w:ascii="Times New Roman" w:eastAsia="Times New Roman" w:hAnsi="Times New Roman" w:cs="Times New Roman"/>
          <w:kern w:val="0"/>
          <w:lang w:eastAsia="en-GB"/>
          <w14:ligatures w14:val="none"/>
        </w:rPr>
      </w:pPr>
      <w:r w:rsidRPr="00235661">
        <w:rPr>
          <w:rFonts w:ascii="Times New Roman" w:eastAsia="Times New Roman" w:hAnsi="Times New Roman" w:cs="Times New Roman"/>
          <w:b/>
          <w:bCs/>
          <w:kern w:val="0"/>
          <w:lang w:eastAsia="en-GB"/>
          <w14:ligatures w14:val="none"/>
        </w:rPr>
        <w:t>ELEKTRISKĀ GRILĒŠANAS PANNA (DZIĻA), BEZSPIEDIENA TIPA</w:t>
      </w:r>
      <w:r w:rsidR="00000000">
        <w:rPr>
          <w:rFonts w:ascii="Times New Roman" w:eastAsia="Times New Roman" w:hAnsi="Times New Roman" w:cs="Times New Roman"/>
          <w:noProof/>
          <w:kern w:val="0"/>
          <w:lang w:eastAsia="en-GB"/>
        </w:rPr>
        <w:pict w14:anchorId="47589EA9">
          <v:rect id="_x0000_i1025" alt="" style="width:451.3pt;height:.05pt;mso-width-percent:0;mso-height-percent:0;mso-width-percent:0;mso-height-percent:0" o:hralign="center" o:hrstd="t" o:hr="t" fillcolor="#a0a0a0" stroked="f"/>
        </w:pict>
      </w:r>
    </w:p>
    <w:p w14:paraId="595C5626" w14:textId="77777777"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kern w:val="0"/>
          <w:lang w:eastAsia="en-GB"/>
          <w14:ligatures w14:val="none"/>
        </w:rPr>
        <w:t>vieta, datums</w:t>
      </w:r>
    </w:p>
    <w:tbl>
      <w:tblPr>
        <w:tblStyle w:val="TableGridLight"/>
        <w:tblW w:w="0" w:type="auto"/>
        <w:tblLook w:val="04A0" w:firstRow="1" w:lastRow="0" w:firstColumn="1" w:lastColumn="0" w:noHBand="0" w:noVBand="1"/>
      </w:tblPr>
      <w:tblGrid>
        <w:gridCol w:w="2626"/>
        <w:gridCol w:w="6390"/>
      </w:tblGrid>
      <w:tr w:rsidR="002E2738" w:rsidRPr="002E2738" w14:paraId="02C6CFC5" w14:textId="77777777" w:rsidTr="002E2738">
        <w:tc>
          <w:tcPr>
            <w:tcW w:w="0" w:type="auto"/>
            <w:hideMark/>
          </w:tcPr>
          <w:p w14:paraId="4661E165" w14:textId="77777777" w:rsidR="002E2738" w:rsidRPr="002E2738" w:rsidRDefault="002E2738" w:rsidP="002E2738">
            <w:pPr>
              <w:jc w:val="center"/>
              <w:rPr>
                <w:rFonts w:ascii="Times New Roman" w:eastAsia="Times New Roman" w:hAnsi="Times New Roman" w:cs="Times New Roman"/>
                <w:b/>
                <w:bCs/>
                <w:kern w:val="0"/>
                <w:lang w:eastAsia="en-GB"/>
                <w14:ligatures w14:val="none"/>
              </w:rPr>
            </w:pPr>
            <w:r w:rsidRPr="002E2738">
              <w:rPr>
                <w:rFonts w:ascii="Times New Roman" w:eastAsia="Times New Roman" w:hAnsi="Times New Roman" w:cs="Times New Roman"/>
                <w:b/>
                <w:bCs/>
                <w:kern w:val="0"/>
                <w:lang w:eastAsia="en-GB"/>
                <w14:ligatures w14:val="none"/>
              </w:rPr>
              <w:t>Parametrs</w:t>
            </w:r>
          </w:p>
        </w:tc>
        <w:tc>
          <w:tcPr>
            <w:tcW w:w="0" w:type="auto"/>
            <w:hideMark/>
          </w:tcPr>
          <w:p w14:paraId="3410C79E" w14:textId="77777777" w:rsidR="002E2738" w:rsidRPr="002E2738" w:rsidRDefault="002E2738" w:rsidP="002E2738">
            <w:pPr>
              <w:jc w:val="center"/>
              <w:rPr>
                <w:rFonts w:ascii="Times New Roman" w:eastAsia="Times New Roman" w:hAnsi="Times New Roman" w:cs="Times New Roman"/>
                <w:b/>
                <w:bCs/>
                <w:kern w:val="0"/>
                <w:lang w:eastAsia="en-GB"/>
                <w14:ligatures w14:val="none"/>
              </w:rPr>
            </w:pPr>
            <w:r w:rsidRPr="002E2738">
              <w:rPr>
                <w:rFonts w:ascii="Times New Roman" w:eastAsia="Times New Roman" w:hAnsi="Times New Roman" w:cs="Times New Roman"/>
                <w:b/>
                <w:bCs/>
                <w:kern w:val="0"/>
                <w:lang w:eastAsia="en-GB"/>
                <w14:ligatures w14:val="none"/>
              </w:rPr>
              <w:t>Prasība</w:t>
            </w:r>
          </w:p>
        </w:tc>
      </w:tr>
      <w:tr w:rsidR="002E2738" w:rsidRPr="002E2738" w14:paraId="6FBFBF1A" w14:textId="77777777" w:rsidTr="002E2738">
        <w:tc>
          <w:tcPr>
            <w:tcW w:w="0" w:type="auto"/>
            <w:hideMark/>
          </w:tcPr>
          <w:p w14:paraId="201D641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DALĪBNIEKS sniedz informāciju vai pierādījumus par katru prasību.</w:t>
            </w:r>
          </w:p>
        </w:tc>
        <w:tc>
          <w:tcPr>
            <w:tcW w:w="0" w:type="auto"/>
            <w:hideMark/>
          </w:tcPr>
          <w:p w14:paraId="22960162" w14:textId="77777777" w:rsidR="002E2738" w:rsidRPr="002E2738" w:rsidRDefault="002E2738" w:rsidP="002E2738">
            <w:pPr>
              <w:rPr>
                <w:rFonts w:ascii="Times New Roman" w:eastAsia="Times New Roman" w:hAnsi="Times New Roman" w:cs="Times New Roman"/>
                <w:kern w:val="0"/>
                <w:lang w:eastAsia="en-GB"/>
                <w14:ligatures w14:val="none"/>
              </w:rPr>
            </w:pPr>
          </w:p>
        </w:tc>
      </w:tr>
      <w:tr w:rsidR="002E2738" w:rsidRPr="002E2738" w14:paraId="689A6939" w14:textId="77777777" w:rsidTr="002E2738">
        <w:tc>
          <w:tcPr>
            <w:tcW w:w="0" w:type="auto"/>
            <w:hideMark/>
          </w:tcPr>
          <w:p w14:paraId="2A13329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Daudzums</w:t>
            </w:r>
          </w:p>
        </w:tc>
        <w:tc>
          <w:tcPr>
            <w:tcW w:w="0" w:type="auto"/>
            <w:hideMark/>
          </w:tcPr>
          <w:p w14:paraId="3D89C013" w14:textId="352DC38B"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2 gab. – Elektriskā dziļā panna bez spiediena, ar ietilpību 140–160 l.</w:t>
            </w:r>
          </w:p>
        </w:tc>
      </w:tr>
      <w:tr w:rsidR="002E2738" w:rsidRPr="002E2738" w14:paraId="62941F8F" w14:textId="77777777" w:rsidTr="002E2738">
        <w:tc>
          <w:tcPr>
            <w:tcW w:w="0" w:type="auto"/>
            <w:hideMark/>
          </w:tcPr>
          <w:p w14:paraId="06C3A52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Piedāvātais zīmols, modelis</w:t>
            </w:r>
          </w:p>
        </w:tc>
        <w:tc>
          <w:tcPr>
            <w:tcW w:w="0" w:type="auto"/>
            <w:hideMark/>
          </w:tcPr>
          <w:p w14:paraId="1AA261F1"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Zīmola nosaukums (identifikācijas nolūkos) un modeļa nosaukums (identifikācijas nolūkos). Atsauces modelis salīdzināšanai: Fagor SBE-150 M (elektriskais).</w:t>
            </w:r>
          </w:p>
        </w:tc>
      </w:tr>
      <w:tr w:rsidR="002E2738" w:rsidRPr="002E2738" w14:paraId="558D492F" w14:textId="77777777" w:rsidTr="002E2738">
        <w:tc>
          <w:tcPr>
            <w:tcW w:w="0" w:type="auto"/>
            <w:hideMark/>
          </w:tcPr>
          <w:p w14:paraId="678B95F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Mērķis</w:t>
            </w:r>
          </w:p>
        </w:tc>
        <w:tc>
          <w:tcPr>
            <w:tcW w:w="0" w:type="auto"/>
            <w:hideMark/>
          </w:tcPr>
          <w:p w14:paraId="710485C8"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Bratt panna paredzēta maltas gaļas cepšanai, dārzeņu sautēšanai, apbrūnināšanai, mērču reducēšanai un makaronu ēdienu pagatavošanai rūpnieciskās virtuves darbplūsmās.</w:t>
            </w:r>
          </w:p>
        </w:tc>
      </w:tr>
      <w:tr w:rsidR="002E2738" w:rsidRPr="002E2738" w14:paraId="74EE8C73" w14:textId="77777777" w:rsidTr="002E2738">
        <w:tc>
          <w:tcPr>
            <w:tcW w:w="0" w:type="auto"/>
            <w:hideMark/>
          </w:tcPr>
          <w:p w14:paraId="283D6FE9"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Kopējie izmēri (P × Dz × A)</w:t>
            </w:r>
          </w:p>
        </w:tc>
        <w:tc>
          <w:tcPr>
            <w:tcW w:w="0" w:type="auto"/>
            <w:hideMark/>
          </w:tcPr>
          <w:p w14:paraId="57FAFD55"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Piedāvātajai vienībai jāatbilst šādiem izmēru ierobežojumiem:</w:t>
            </w:r>
          </w:p>
          <w:p w14:paraId="52D58EDA"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platums 1100–1300 mm,</w:t>
            </w:r>
          </w:p>
          <w:p w14:paraId="65D62D64"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dziļums 800–950 mm,</w:t>
            </w:r>
          </w:p>
          <w:p w14:paraId="64983A41"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augstums 800–900 mm.</w:t>
            </w:r>
          </w:p>
          <w:p w14:paraId="3EFFC327"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Jānorāda precīzi piedāvātie izmēri.</w:t>
            </w:r>
          </w:p>
        </w:tc>
      </w:tr>
      <w:tr w:rsidR="002E2738" w:rsidRPr="002E2738" w14:paraId="163BE20B" w14:textId="77777777" w:rsidTr="002E2738">
        <w:tc>
          <w:tcPr>
            <w:tcW w:w="0" w:type="auto"/>
            <w:hideMark/>
          </w:tcPr>
          <w:p w14:paraId="7E8F1D7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Izmantojamā ietilpība</w:t>
            </w:r>
          </w:p>
        </w:tc>
        <w:tc>
          <w:tcPr>
            <w:tcW w:w="0" w:type="auto"/>
            <w:hideMark/>
          </w:tcPr>
          <w:p w14:paraId="5369A06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Izmantojamajam tvertnes tilpumam jābūt 140–160 litru robežās.</w:t>
            </w:r>
          </w:p>
        </w:tc>
      </w:tr>
      <w:tr w:rsidR="002E2738" w:rsidRPr="002E2738" w14:paraId="4D80E0C0" w14:textId="77777777" w:rsidTr="002E2738">
        <w:tc>
          <w:tcPr>
            <w:tcW w:w="0" w:type="auto"/>
            <w:hideMark/>
          </w:tcPr>
          <w:p w14:paraId="125B8A2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Būvniecība</w:t>
            </w:r>
          </w:p>
        </w:tc>
        <w:tc>
          <w:tcPr>
            <w:tcW w:w="0" w:type="auto"/>
            <w:hideMark/>
          </w:tcPr>
          <w:p w14:paraId="5CD0B371"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Nerūsējošais tērauds (vismaz AISI 304); dziļi metināta tvertne ar noapaļotiem iekšējiem stūriem; higiēniska Scotch-Brite vai līdzvērtīga apdare.</w:t>
            </w:r>
          </w:p>
        </w:tc>
      </w:tr>
      <w:tr w:rsidR="002E2738" w:rsidRPr="002E2738" w14:paraId="6B19E8AC" w14:textId="77777777" w:rsidTr="002E2738">
        <w:tc>
          <w:tcPr>
            <w:tcW w:w="0" w:type="auto"/>
            <w:hideMark/>
          </w:tcPr>
          <w:p w14:paraId="643AF26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Apakšējā struktūra</w:t>
            </w:r>
          </w:p>
        </w:tc>
        <w:tc>
          <w:tcPr>
            <w:tcW w:w="0" w:type="auto"/>
            <w:hideMark/>
          </w:tcPr>
          <w:p w14:paraId="44722C4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Izturīgs kompozītmateriāla pamatnes materiāls ar kopējo biezumu vismaz 10 mm. Jāietver 12 mm laminēts kompozītmateriāla pamatnes materiāls (9 mm dzelzs + 3 mm nerūsējošais tērauds) vai līdzvērtīga daudzslāņu struktūra ar līdzvērtīgām vai labākām termiskajām īpašībām. DALĪBNIEKAM jāsniedz dokumentārs pierādījums par pamatnes sastāvu un biezumu.</w:t>
            </w:r>
          </w:p>
        </w:tc>
      </w:tr>
      <w:tr w:rsidR="002E2738" w:rsidRPr="002E2738" w14:paraId="45017844" w14:textId="77777777" w:rsidTr="002E2738">
        <w:tc>
          <w:tcPr>
            <w:tcW w:w="0" w:type="auto"/>
            <w:hideMark/>
          </w:tcPr>
          <w:p w14:paraId="5C000DD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Apkures sistēma</w:t>
            </w:r>
          </w:p>
        </w:tc>
        <w:tc>
          <w:tcPr>
            <w:tcW w:w="0" w:type="auto"/>
            <w:hideMark/>
          </w:tcPr>
          <w:p w14:paraId="0920A909"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Elektriskie sildelementi (Incoloy vai līdzvērtīgi). Regulējama temperatūras diapazons 50–260 °C. Nepieciešama vienmērīga siltuma sadale pa visu apakšējo virsmu.</w:t>
            </w:r>
          </w:p>
        </w:tc>
      </w:tr>
      <w:tr w:rsidR="002E2738" w:rsidRPr="002E2738" w14:paraId="236DEDF9" w14:textId="77777777" w:rsidTr="002E2738">
        <w:tc>
          <w:tcPr>
            <w:tcW w:w="0" w:type="auto"/>
            <w:hideMark/>
          </w:tcPr>
          <w:p w14:paraId="646F92C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Temperatūras kontrole</w:t>
            </w:r>
          </w:p>
        </w:tc>
        <w:tc>
          <w:tcPr>
            <w:tcW w:w="0" w:type="auto"/>
            <w:hideMark/>
          </w:tcPr>
          <w:p w14:paraId="275FDB5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Priekšpusē uzstādīts termostats, regulējams 50–260 °C, ar integrētu pārkaršanas aizsardzību.</w:t>
            </w:r>
          </w:p>
        </w:tc>
      </w:tr>
      <w:tr w:rsidR="002E2738" w:rsidRPr="002E2738" w14:paraId="35AAA156" w14:textId="77777777" w:rsidTr="002E2738">
        <w:tc>
          <w:tcPr>
            <w:tcW w:w="0" w:type="auto"/>
            <w:hideMark/>
          </w:tcPr>
          <w:p w14:paraId="4B4F35B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Slīpuma mehānisms</w:t>
            </w:r>
          </w:p>
        </w:tc>
        <w:tc>
          <w:tcPr>
            <w:tcW w:w="0" w:type="auto"/>
            <w:hideMark/>
          </w:tcPr>
          <w:p w14:paraId="38CD43B1"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Motorizēta noliekšanas sistēma</w:t>
            </w:r>
            <w:r w:rsidRPr="002E2738">
              <w:rPr>
                <w:rFonts w:ascii="Times New Roman" w:eastAsia="Times New Roman" w:hAnsi="Times New Roman" w:cs="Times New Roman"/>
                <w:kern w:val="0"/>
                <w:lang w:eastAsia="en-GB"/>
                <w14:ligatures w14:val="none"/>
              </w:rPr>
              <w:t>nodrošinot vienmērīgu, kontrolētu izlādi. Jābūt iespējamai arī manuālai avārijas noliekšanai. Nepieciešama automātiska apstāšanās gala pozīcijā.</w:t>
            </w:r>
          </w:p>
        </w:tc>
      </w:tr>
      <w:tr w:rsidR="002E2738" w:rsidRPr="002E2738" w14:paraId="2483C473" w14:textId="77777777" w:rsidTr="002E2738">
        <w:tc>
          <w:tcPr>
            <w:tcW w:w="0" w:type="auto"/>
            <w:hideMark/>
          </w:tcPr>
          <w:p w14:paraId="6DFC376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Vāks</w:t>
            </w:r>
          </w:p>
        </w:tc>
        <w:tc>
          <w:tcPr>
            <w:tcW w:w="0" w:type="auto"/>
            <w:hideMark/>
          </w:tcPr>
          <w:p w14:paraId="7FE58DF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Nerūsējošā tērauda pašbalansējošs vāks, minimālais biezums 1,0 mm, aprīkots ar ergonomisku rokturi.</w:t>
            </w:r>
          </w:p>
        </w:tc>
      </w:tr>
      <w:tr w:rsidR="002E2738" w:rsidRPr="002E2738" w14:paraId="0048C844" w14:textId="77777777" w:rsidTr="002E2738">
        <w:tc>
          <w:tcPr>
            <w:tcW w:w="0" w:type="auto"/>
            <w:hideMark/>
          </w:tcPr>
          <w:p w14:paraId="6E143E8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lastRenderedPageBreak/>
              <w:t>Ūdens uzpildīšana</w:t>
            </w:r>
          </w:p>
        </w:tc>
        <w:tc>
          <w:tcPr>
            <w:tcW w:w="0" w:type="auto"/>
            <w:hideMark/>
          </w:tcPr>
          <w:p w14:paraId="19AF9737"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Integrēta krāna vai solenoīda vadīta ūdens padeve tieši gatavošanas tvertnē.</w:t>
            </w:r>
          </w:p>
        </w:tc>
      </w:tr>
      <w:tr w:rsidR="002E2738" w:rsidRPr="002E2738" w14:paraId="7F1224E7" w14:textId="77777777" w:rsidTr="002E2738">
        <w:tc>
          <w:tcPr>
            <w:tcW w:w="0" w:type="auto"/>
            <w:hideMark/>
          </w:tcPr>
          <w:p w14:paraId="03377D6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Vadības ierīces un lietojamība</w:t>
            </w:r>
          </w:p>
        </w:tc>
        <w:tc>
          <w:tcPr>
            <w:tcW w:w="0" w:type="auto"/>
            <w:hideMark/>
          </w:tcPr>
          <w:p w14:paraId="02D34BD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Priekšpusē novietots vadības panelis; ergonomiski veidots; vadības ierīces piemērotas lietošanai ar cimdiem; gluda, higiēniska virsma.</w:t>
            </w:r>
          </w:p>
        </w:tc>
      </w:tr>
      <w:tr w:rsidR="002E2738" w:rsidRPr="002E2738" w14:paraId="597BC49C" w14:textId="77777777" w:rsidTr="002E2738">
        <w:tc>
          <w:tcPr>
            <w:tcW w:w="0" w:type="auto"/>
            <w:hideMark/>
          </w:tcPr>
          <w:p w14:paraId="761EA4B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Aizsardzība pret iekļūšanu</w:t>
            </w:r>
          </w:p>
        </w:tc>
        <w:tc>
          <w:tcPr>
            <w:tcW w:w="0" w:type="auto"/>
            <w:hideMark/>
          </w:tcPr>
          <w:p w14:paraId="10A3082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Vismaz IPX5 aizsardzības klase, piemērota visu atļauto virsmu ārējai mazgāšanai.</w:t>
            </w:r>
          </w:p>
        </w:tc>
      </w:tr>
      <w:tr w:rsidR="002E2738" w:rsidRPr="002E2738" w14:paraId="44978C3C" w14:textId="77777777" w:rsidTr="002E2738">
        <w:tc>
          <w:tcPr>
            <w:tcW w:w="0" w:type="auto"/>
            <w:hideMark/>
          </w:tcPr>
          <w:p w14:paraId="7C3280B7"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Drošība</w:t>
            </w:r>
          </w:p>
        </w:tc>
        <w:tc>
          <w:tcPr>
            <w:tcW w:w="0" w:type="auto"/>
            <w:hideMark/>
          </w:tcPr>
          <w:p w14:paraId="3880E9D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Jāatbilst ES drošības noteikumiem; pārkaršanas aizsardzība; avārijas apturēšana; sasverama drošības slēdzene; atbilstība Zemsprieguma direktīvai.</w:t>
            </w:r>
          </w:p>
        </w:tc>
      </w:tr>
      <w:tr w:rsidR="002E2738" w:rsidRPr="002E2738" w14:paraId="7D9C4ABF" w14:textId="77777777" w:rsidTr="002E2738">
        <w:tc>
          <w:tcPr>
            <w:tcW w:w="0" w:type="auto"/>
            <w:hideMark/>
          </w:tcPr>
          <w:p w14:paraId="04EBBD4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Tīrīšana un higiēna</w:t>
            </w:r>
          </w:p>
        </w:tc>
        <w:tc>
          <w:tcPr>
            <w:tcW w:w="0" w:type="auto"/>
            <w:hideMark/>
          </w:tcPr>
          <w:p w14:paraId="62CA153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Metināta iekšējā tvertne ar noapaļotiem stūriem; ārējās virsmas pilnībā mazgājamas; netīrumu uzkrāšanās nav atļauta.</w:t>
            </w:r>
          </w:p>
        </w:tc>
      </w:tr>
      <w:tr w:rsidR="002E2738" w:rsidRPr="002E2738" w14:paraId="7AD18DC8" w14:textId="77777777" w:rsidTr="002E2738">
        <w:tc>
          <w:tcPr>
            <w:tcW w:w="0" w:type="auto"/>
            <w:hideMark/>
          </w:tcPr>
          <w:p w14:paraId="6FEC7FF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Barošanas avots</w:t>
            </w:r>
          </w:p>
        </w:tc>
        <w:tc>
          <w:tcPr>
            <w:tcW w:w="0" w:type="auto"/>
            <w:hideMark/>
          </w:tcPr>
          <w:p w14:paraId="5EF5127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400 V, 3~ (3N), 50/60 Hz</w:t>
            </w:r>
            <w:r w:rsidRPr="002E2738">
              <w:rPr>
                <w:rFonts w:ascii="Times New Roman" w:eastAsia="Times New Roman" w:hAnsi="Times New Roman" w:cs="Times New Roman"/>
                <w:kern w:val="0"/>
                <w:lang w:eastAsia="en-GB"/>
                <w14:ligatures w14:val="none"/>
              </w:rPr>
              <w:t>Kopējai elektriskajai jaudai uz vienu vienību jābūt 15–16 kW robežās, un precīzu vērtību nosaka DALĪBNIEKS.</w:t>
            </w:r>
          </w:p>
        </w:tc>
      </w:tr>
      <w:tr w:rsidR="002E2738" w:rsidRPr="002E2738" w14:paraId="6740396D" w14:textId="77777777" w:rsidTr="002E2738">
        <w:tc>
          <w:tcPr>
            <w:tcW w:w="0" w:type="auto"/>
            <w:hideMark/>
          </w:tcPr>
          <w:p w14:paraId="543920D9"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Pilns funkcionālais komplekts (obligāti)</w:t>
            </w:r>
          </w:p>
        </w:tc>
        <w:tc>
          <w:tcPr>
            <w:tcW w:w="0" w:type="auto"/>
            <w:hideMark/>
          </w:tcPr>
          <w:p w14:paraId="2EAE13F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Piedāvājumā jāiekļauj visas pilnīgai funkcionalitātei nepieciešamās sastāvdaļas: motorizēta pacelšanas sistēma, kompozītmateriāla pamatne, sildīšanas sistēma, termostata vadība, vāks, ūdens uzpildes sistēma, vadības panelis, drošības aizsardzības ierīces un visi piederumi, kas nepieciešami pilnīgai darbībai. DALĪBNIEKAM jāpiedāvā tāda konfigurācija un pilnīgums, kas pilnībā atbilst mērķim un tehniskajam uzdevumam, ieskaitot visas nepieciešamās apakšsastāvdaļas pilnīgai darbībai.</w:t>
            </w:r>
          </w:p>
        </w:tc>
      </w:tr>
      <w:tr w:rsidR="002E2738" w:rsidRPr="002E2738" w14:paraId="63C759EA" w14:textId="77777777" w:rsidTr="002E2738">
        <w:tc>
          <w:tcPr>
            <w:tcW w:w="0" w:type="auto"/>
            <w:hideMark/>
          </w:tcPr>
          <w:p w14:paraId="25E7F6D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Dokumentācija</w:t>
            </w:r>
          </w:p>
        </w:tc>
        <w:tc>
          <w:tcPr>
            <w:tcW w:w="0" w:type="auto"/>
            <w:hideMark/>
          </w:tcPr>
          <w:p w14:paraId="4EF68E8B"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Lietotāja rokasgrāmata, apkopes rokasgrāmata, elektriskās shēmas, atbilstības deklarācija (LV vai EN).</w:t>
            </w:r>
          </w:p>
        </w:tc>
      </w:tr>
      <w:tr w:rsidR="002E2738" w:rsidRPr="002E2738" w14:paraId="0730FBC1" w14:textId="77777777" w:rsidTr="002E2738">
        <w:tc>
          <w:tcPr>
            <w:tcW w:w="0" w:type="auto"/>
            <w:hideMark/>
          </w:tcPr>
          <w:p w14:paraId="71D143A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Atbilstība un CE marķējums</w:t>
            </w:r>
          </w:p>
        </w:tc>
        <w:tc>
          <w:tcPr>
            <w:tcW w:w="0" w:type="auto"/>
            <w:hideMark/>
          </w:tcPr>
          <w:p w14:paraId="041DD2E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Jāatbilst ES Mašīnu, EMC un Zemsprieguma direktīvām; CE marķējums ir obligāts.</w:t>
            </w:r>
          </w:p>
        </w:tc>
      </w:tr>
      <w:tr w:rsidR="002E2738" w:rsidRPr="002E2738" w14:paraId="55211168" w14:textId="77777777" w:rsidTr="002E2738">
        <w:tc>
          <w:tcPr>
            <w:tcW w:w="0" w:type="auto"/>
            <w:hideMark/>
          </w:tcPr>
          <w:p w14:paraId="7D36DD0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Garantija</w:t>
            </w:r>
          </w:p>
        </w:tc>
        <w:tc>
          <w:tcPr>
            <w:tcW w:w="0" w:type="auto"/>
            <w:hideMark/>
          </w:tcPr>
          <w:p w14:paraId="3CCB0F91"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Vismaz 24 mēnešu pilna garantija visai iekārtai un visām iekļautajām sastāvdaļām.</w:t>
            </w:r>
          </w:p>
        </w:tc>
      </w:tr>
    </w:tbl>
    <w:p w14:paraId="70A5938D" w14:textId="77777777" w:rsidR="00D57BC8" w:rsidRDefault="00D57BC8"/>
    <w:p w14:paraId="1B1A8116" w14:textId="77777777" w:rsidR="00A32D80" w:rsidRPr="00432836" w:rsidRDefault="00A32D80" w:rsidP="00A32D80">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836">
        <w:rPr>
          <w:rFonts w:ascii="Times New Roman" w:eastAsia="Times New Roman" w:hAnsi="Times New Roman" w:cs="Times New Roman"/>
          <w:kern w:val="0"/>
          <w:lang w:eastAsia="en-GB"/>
          <w14:ligatures w14:val="none"/>
        </w:rPr>
        <w:t>Vārds, uzvārds, amats</w:t>
      </w:r>
    </w:p>
    <w:p w14:paraId="62D6DC04" w14:textId="77777777" w:rsidR="00A32D80" w:rsidRPr="00432836" w:rsidRDefault="00000000" w:rsidP="00A32D8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DCB8F0A">
          <v:rect id="_x0000_i1026" alt="" style="width:451.3pt;height:.05pt;mso-width-percent:0;mso-height-percent:0;mso-width-percent:0;mso-height-percent:0" o:hralign="center" o:hrstd="t" o:hr="t" fillcolor="#a0a0a0" stroked="f"/>
        </w:pict>
      </w:r>
    </w:p>
    <w:p w14:paraId="67C37A0A" w14:textId="77777777" w:rsidR="00A32D80" w:rsidRPr="00432836" w:rsidRDefault="00A32D80" w:rsidP="00A32D80">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836">
        <w:rPr>
          <w:rFonts w:ascii="Times New Roman" w:eastAsia="Times New Roman" w:hAnsi="Times New Roman" w:cs="Times New Roman"/>
          <w:kern w:val="0"/>
          <w:lang w:eastAsia="en-GB"/>
          <w14:ligatures w14:val="none"/>
        </w:rPr>
        <w:t>paraksts</w:t>
      </w:r>
    </w:p>
    <w:p w14:paraId="512DC3BF" w14:textId="77777777" w:rsidR="00A32D80" w:rsidRDefault="00A32D80"/>
    <w:sectPr w:rsidR="00A32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B11"/>
    <w:multiLevelType w:val="multilevel"/>
    <w:tmpl w:val="43B2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01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C8"/>
    <w:rsid w:val="0006106A"/>
    <w:rsid w:val="00130D67"/>
    <w:rsid w:val="00235661"/>
    <w:rsid w:val="002E2738"/>
    <w:rsid w:val="002E4ABA"/>
    <w:rsid w:val="003D12CB"/>
    <w:rsid w:val="009E4C18"/>
    <w:rsid w:val="00A32D80"/>
    <w:rsid w:val="00B36649"/>
    <w:rsid w:val="00C45EE0"/>
    <w:rsid w:val="00D210E5"/>
    <w:rsid w:val="00D57BC8"/>
    <w:rsid w:val="00D92A24"/>
    <w:rsid w:val="00E306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2168"/>
  <w15:chartTrackingRefBased/>
  <w15:docId w15:val="{2E3A4BC0-6B1E-9C4C-9E9E-10418962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C8"/>
    <w:rPr>
      <w:rFonts w:eastAsiaTheme="majorEastAsia" w:cstheme="majorBidi"/>
      <w:color w:val="272727" w:themeColor="text1" w:themeTint="D8"/>
    </w:rPr>
  </w:style>
  <w:style w:type="paragraph" w:styleId="Title">
    <w:name w:val="Title"/>
    <w:basedOn w:val="Normal"/>
    <w:next w:val="Normal"/>
    <w:link w:val="TitleChar"/>
    <w:uiPriority w:val="10"/>
    <w:qFormat/>
    <w:rsid w:val="00D57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C8"/>
    <w:pPr>
      <w:spacing w:before="160"/>
      <w:jc w:val="center"/>
    </w:pPr>
    <w:rPr>
      <w:i/>
      <w:iCs/>
      <w:color w:val="404040" w:themeColor="text1" w:themeTint="BF"/>
    </w:rPr>
  </w:style>
  <w:style w:type="character" w:customStyle="1" w:styleId="QuoteChar">
    <w:name w:val="Quote Char"/>
    <w:basedOn w:val="DefaultParagraphFont"/>
    <w:link w:val="Quote"/>
    <w:uiPriority w:val="29"/>
    <w:rsid w:val="00D57BC8"/>
    <w:rPr>
      <w:i/>
      <w:iCs/>
      <w:color w:val="404040" w:themeColor="text1" w:themeTint="BF"/>
    </w:rPr>
  </w:style>
  <w:style w:type="paragraph" w:styleId="ListParagraph">
    <w:name w:val="List Paragraph"/>
    <w:basedOn w:val="Normal"/>
    <w:uiPriority w:val="34"/>
    <w:qFormat/>
    <w:rsid w:val="00D57BC8"/>
    <w:pPr>
      <w:ind w:left="720"/>
      <w:contextualSpacing/>
    </w:pPr>
  </w:style>
  <w:style w:type="character" w:styleId="IntenseEmphasis">
    <w:name w:val="Intense Emphasis"/>
    <w:basedOn w:val="DefaultParagraphFont"/>
    <w:uiPriority w:val="21"/>
    <w:qFormat/>
    <w:rsid w:val="00D57BC8"/>
    <w:rPr>
      <w:i/>
      <w:iCs/>
      <w:color w:val="0F4761" w:themeColor="accent1" w:themeShade="BF"/>
    </w:rPr>
  </w:style>
  <w:style w:type="paragraph" w:styleId="IntenseQuote">
    <w:name w:val="Intense Quote"/>
    <w:basedOn w:val="Normal"/>
    <w:next w:val="Normal"/>
    <w:link w:val="IntenseQuoteChar"/>
    <w:uiPriority w:val="30"/>
    <w:qFormat/>
    <w:rsid w:val="00D57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BC8"/>
    <w:rPr>
      <w:i/>
      <w:iCs/>
      <w:color w:val="0F4761" w:themeColor="accent1" w:themeShade="BF"/>
    </w:rPr>
  </w:style>
  <w:style w:type="character" w:styleId="IntenseReference">
    <w:name w:val="Intense Reference"/>
    <w:basedOn w:val="DefaultParagraphFont"/>
    <w:uiPriority w:val="32"/>
    <w:qFormat/>
    <w:rsid w:val="00D57BC8"/>
    <w:rPr>
      <w:b/>
      <w:bCs/>
      <w:smallCaps/>
      <w:color w:val="0F4761" w:themeColor="accent1" w:themeShade="BF"/>
      <w:spacing w:val="5"/>
    </w:rPr>
  </w:style>
  <w:style w:type="paragraph" w:styleId="NormalWeb">
    <w:name w:val="Normal (Web)"/>
    <w:basedOn w:val="Normal"/>
    <w:uiPriority w:val="99"/>
    <w:semiHidden/>
    <w:unhideWhenUsed/>
    <w:rsid w:val="00D57B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57BC8"/>
    <w:rPr>
      <w:b/>
      <w:bCs/>
    </w:rPr>
  </w:style>
  <w:style w:type="table" w:styleId="TableGridLight">
    <w:name w:val="Grid Table Light"/>
    <w:basedOn w:val="TableNormal"/>
    <w:uiPriority w:val="40"/>
    <w:rsid w:val="00D57B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554</Words>
  <Characters>3164</Characters>
  <DocSecurity>0</DocSecurity>
  <Lines>26</Lines>
  <Paragraphs>7</Paragraphs>
  <ScaleCrop>false</ScaleCrop>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2025-11-17T22:14:00Z</dcterms:created>
  <dcterms:modified xsi:type="dcterms:W3CDTF">2025-11-21T10:03:00Z</dcterms:modified>
</cp:coreProperties>
</file>