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57787549"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4D6134" w:rsidRPr="004D6134">
        <w:rPr>
          <w:rFonts w:ascii="Times New Roman" w:eastAsia="Times New Roman" w:hAnsi="Times New Roman" w:cs="Times New Roman"/>
          <w:b/>
          <w:bCs/>
          <w:kern w:val="0"/>
          <w:lang w:eastAsia="en-GB"/>
          <w14:ligatures w14:val="none"/>
        </w:rPr>
        <w:t>HIGH-PRESSURE PROCESSING (HPP) MACHINE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46189A"/>
    <w:rsid w:val="004D6134"/>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328</Words>
  <Characters>1873</Characters>
  <DocSecurity>0</DocSecurity>
  <Lines>15</Lines>
  <Paragraphs>4</Paragraphs>
  <ScaleCrop>false</ScaleCrop>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2025-11-19T15:36:00Z</dcterms:modified>
</cp:coreProperties>
</file>