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FD85" w14:textId="77777777" w:rsidR="00701F9C" w:rsidRPr="00701F9C" w:rsidRDefault="00701F9C" w:rsidP="00701F9C">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701F9C">
        <w:rPr>
          <w:rFonts w:ascii="Times New Roman" w:eastAsia="Times New Roman" w:hAnsi="Times New Roman" w:cs="Times New Roman"/>
          <w:b/>
          <w:bCs/>
          <w:kern w:val="36"/>
          <w:sz w:val="48"/>
          <w:szCs w:val="48"/>
          <w:lang w:eastAsia="en-GB"/>
          <w14:ligatures w14:val="none"/>
        </w:rPr>
        <w:t>2. pielikums</w:t>
      </w:r>
    </w:p>
    <w:p w14:paraId="204497C2" w14:textId="77777777" w:rsidR="00701F9C" w:rsidRPr="00701F9C" w:rsidRDefault="00701F9C" w:rsidP="00701F9C">
      <w:pPr>
        <w:spacing w:before="100" w:beforeAutospacing="1" w:after="100" w:afterAutospacing="1" w:line="240" w:lineRule="auto"/>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TEHNISKĀ SPECIFIKĀCIJA</w:t>
      </w:r>
    </w:p>
    <w:p w14:paraId="5027F458" w14:textId="2D181A65" w:rsidR="00701F9C" w:rsidRPr="00701F9C" w:rsidRDefault="00BE1D83" w:rsidP="00701F9C">
      <w:pPr>
        <w:spacing w:after="0" w:line="240" w:lineRule="auto"/>
        <w:rPr>
          <w:rFonts w:ascii="Times New Roman" w:eastAsia="Times New Roman" w:hAnsi="Times New Roman" w:cs="Times New Roman"/>
          <w:kern w:val="0"/>
          <w:lang w:eastAsia="en-GB"/>
          <w14:ligatures w14:val="none"/>
        </w:rPr>
      </w:pPr>
      <w:r w:rsidRPr="00BE1D83">
        <w:rPr>
          <w:rFonts w:ascii="Times New Roman" w:eastAsia="Times New Roman" w:hAnsi="Times New Roman" w:cs="Times New Roman"/>
          <w:b/>
          <w:bCs/>
          <w:kern w:val="0"/>
          <w:lang w:eastAsia="en-GB"/>
          <w14:ligatures w14:val="none"/>
        </w:rPr>
        <w:t>IZVADES KONVEIJERS (ATDZESĒŠANAS ZONA)</w:t>
      </w:r>
      <w:r w:rsidR="00000000">
        <w:rPr>
          <w:rFonts w:ascii="Times New Roman" w:eastAsia="Times New Roman" w:hAnsi="Times New Roman" w:cs="Times New Roman"/>
          <w:noProof/>
          <w:kern w:val="0"/>
          <w:lang w:eastAsia="en-GB"/>
        </w:rPr>
        <w:pict w14:anchorId="2B872544">
          <v:rect id="_x0000_i1025" alt="" style="width:451.3pt;height:.05pt;mso-width-percent:0;mso-height-percent:0;mso-width-percent:0;mso-height-percent:0" o:hralign="center" o:hrstd="t" o:hr="t" fillcolor="#a0a0a0" stroked="f"/>
        </w:pict>
      </w:r>
    </w:p>
    <w:p w14:paraId="27D5BCA6" w14:textId="77777777" w:rsidR="00701F9C" w:rsidRPr="00701F9C" w:rsidRDefault="00701F9C" w:rsidP="00701F9C">
      <w:pPr>
        <w:spacing w:before="100" w:beforeAutospacing="1" w:after="100" w:afterAutospacing="1" w:line="240" w:lineRule="auto"/>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vieta, datums</w:t>
      </w:r>
    </w:p>
    <w:tbl>
      <w:tblPr>
        <w:tblStyle w:val="TableGridLight"/>
        <w:tblW w:w="0" w:type="auto"/>
        <w:tblLook w:val="04A0" w:firstRow="1" w:lastRow="0" w:firstColumn="1" w:lastColumn="0" w:noHBand="0" w:noVBand="1"/>
      </w:tblPr>
      <w:tblGrid>
        <w:gridCol w:w="2999"/>
        <w:gridCol w:w="6017"/>
      </w:tblGrid>
      <w:tr w:rsidR="00701F9C" w:rsidRPr="00701F9C" w14:paraId="4E375D39" w14:textId="77777777" w:rsidTr="00701F9C">
        <w:tc>
          <w:tcPr>
            <w:tcW w:w="0" w:type="auto"/>
            <w:hideMark/>
          </w:tcPr>
          <w:p w14:paraId="4DB2ED44" w14:textId="77777777" w:rsidR="00701F9C" w:rsidRPr="00701F9C" w:rsidRDefault="00701F9C" w:rsidP="00701F9C">
            <w:pPr>
              <w:jc w:val="center"/>
              <w:rPr>
                <w:rFonts w:ascii="Times New Roman" w:eastAsia="Times New Roman" w:hAnsi="Times New Roman" w:cs="Times New Roman"/>
                <w:b/>
                <w:bCs/>
                <w:kern w:val="0"/>
                <w:lang w:eastAsia="en-GB"/>
                <w14:ligatures w14:val="none"/>
              </w:rPr>
            </w:pPr>
            <w:r w:rsidRPr="00701F9C">
              <w:rPr>
                <w:rFonts w:ascii="Times New Roman" w:eastAsia="Times New Roman" w:hAnsi="Times New Roman" w:cs="Times New Roman"/>
                <w:b/>
                <w:bCs/>
                <w:kern w:val="0"/>
                <w:lang w:eastAsia="en-GB"/>
                <w14:ligatures w14:val="none"/>
              </w:rPr>
              <w:t>Parametrs</w:t>
            </w:r>
          </w:p>
        </w:tc>
        <w:tc>
          <w:tcPr>
            <w:tcW w:w="0" w:type="auto"/>
            <w:hideMark/>
          </w:tcPr>
          <w:p w14:paraId="6445360C" w14:textId="77777777" w:rsidR="00701F9C" w:rsidRPr="00701F9C" w:rsidRDefault="00701F9C" w:rsidP="00701F9C">
            <w:pPr>
              <w:jc w:val="center"/>
              <w:rPr>
                <w:rFonts w:ascii="Times New Roman" w:eastAsia="Times New Roman" w:hAnsi="Times New Roman" w:cs="Times New Roman"/>
                <w:b/>
                <w:bCs/>
                <w:kern w:val="0"/>
                <w:lang w:eastAsia="en-GB"/>
                <w14:ligatures w14:val="none"/>
              </w:rPr>
            </w:pPr>
            <w:r w:rsidRPr="00701F9C">
              <w:rPr>
                <w:rFonts w:ascii="Times New Roman" w:eastAsia="Times New Roman" w:hAnsi="Times New Roman" w:cs="Times New Roman"/>
                <w:b/>
                <w:bCs/>
                <w:kern w:val="0"/>
                <w:lang w:eastAsia="en-GB"/>
                <w14:ligatures w14:val="none"/>
              </w:rPr>
              <w:t>Prasība</w:t>
            </w:r>
          </w:p>
        </w:tc>
      </w:tr>
      <w:tr w:rsidR="00701F9C" w:rsidRPr="00701F9C" w14:paraId="72230C51" w14:textId="77777777" w:rsidTr="00701F9C">
        <w:tc>
          <w:tcPr>
            <w:tcW w:w="0" w:type="auto"/>
            <w:hideMark/>
          </w:tcPr>
          <w:p w14:paraId="3D003F01"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b/>
                <w:bCs/>
                <w:kern w:val="0"/>
                <w:lang w:eastAsia="en-GB"/>
                <w14:ligatures w14:val="none"/>
              </w:rPr>
              <w:t>DALĪBNIEKS sniedz informāciju vai pierādījumus par katru prasību.</w:t>
            </w:r>
          </w:p>
        </w:tc>
        <w:tc>
          <w:tcPr>
            <w:tcW w:w="0" w:type="auto"/>
            <w:hideMark/>
          </w:tcPr>
          <w:p w14:paraId="4D7DE766" w14:textId="77777777" w:rsidR="00701F9C" w:rsidRPr="00701F9C" w:rsidRDefault="00701F9C" w:rsidP="00701F9C">
            <w:pPr>
              <w:rPr>
                <w:rFonts w:ascii="Times New Roman" w:eastAsia="Times New Roman" w:hAnsi="Times New Roman" w:cs="Times New Roman"/>
                <w:kern w:val="0"/>
                <w:lang w:eastAsia="en-GB"/>
                <w14:ligatures w14:val="none"/>
              </w:rPr>
            </w:pPr>
          </w:p>
        </w:tc>
      </w:tr>
      <w:tr w:rsidR="00701F9C" w:rsidRPr="00701F9C" w14:paraId="5E36B4AF" w14:textId="77777777" w:rsidTr="00701F9C">
        <w:tc>
          <w:tcPr>
            <w:tcW w:w="0" w:type="auto"/>
            <w:hideMark/>
          </w:tcPr>
          <w:p w14:paraId="459C7E94"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b/>
                <w:bCs/>
                <w:kern w:val="0"/>
                <w:lang w:eastAsia="en-GB"/>
                <w14:ligatures w14:val="none"/>
              </w:rPr>
              <w:t>Daudzums</w:t>
            </w:r>
          </w:p>
        </w:tc>
        <w:tc>
          <w:tcPr>
            <w:tcW w:w="0" w:type="auto"/>
            <w:hideMark/>
          </w:tcPr>
          <w:p w14:paraId="1FB0D70C"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1 gab. – Nerūsējošā tērauda izvades konveijers atdzesētas izvades zonai, paredzēts saldētu gatavu ēdienu izvadīšanai no spirālveida saldētavas.</w:t>
            </w:r>
          </w:p>
        </w:tc>
      </w:tr>
      <w:tr w:rsidR="00701F9C" w:rsidRPr="00701F9C" w14:paraId="6E6F87E2" w14:textId="77777777" w:rsidTr="00701F9C">
        <w:tc>
          <w:tcPr>
            <w:tcW w:w="0" w:type="auto"/>
            <w:hideMark/>
          </w:tcPr>
          <w:p w14:paraId="73BE88CB"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b/>
                <w:bCs/>
                <w:kern w:val="0"/>
                <w:lang w:eastAsia="en-GB"/>
                <w14:ligatures w14:val="none"/>
              </w:rPr>
              <w:t>Piedāvātais zīmols, modelis</w:t>
            </w:r>
          </w:p>
        </w:tc>
        <w:tc>
          <w:tcPr>
            <w:tcW w:w="0" w:type="auto"/>
            <w:hideMark/>
          </w:tcPr>
          <w:p w14:paraId="6F92D12C"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Zīmola nosaukums (identifikācijas nolūkos) un modeļa nosaukums (identifikācijas nolūkos).</w:t>
            </w:r>
          </w:p>
        </w:tc>
      </w:tr>
      <w:tr w:rsidR="00701F9C" w:rsidRPr="00701F9C" w14:paraId="09FCE69A" w14:textId="77777777" w:rsidTr="00701F9C">
        <w:tc>
          <w:tcPr>
            <w:tcW w:w="0" w:type="auto"/>
            <w:hideMark/>
          </w:tcPr>
          <w:p w14:paraId="47BCCF87"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b/>
                <w:bCs/>
                <w:kern w:val="0"/>
                <w:lang w:eastAsia="en-GB"/>
                <w14:ligatures w14:val="none"/>
              </w:rPr>
              <w:t>Mērķis</w:t>
            </w:r>
          </w:p>
        </w:tc>
        <w:tc>
          <w:tcPr>
            <w:tcW w:w="0" w:type="auto"/>
            <w:hideMark/>
          </w:tcPr>
          <w:p w14:paraId="31725392"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Konveijeram jāsaņem saldētas C-PET gatavās maltītes paplātes (katra 200–450 g), kas izvadītas no spirālveida saldētavas, stabilizējot produktu plūsmu caur vēsu izvades zonu ar kontrolētu uzkrāšanu.</w:t>
            </w:r>
          </w:p>
        </w:tc>
      </w:tr>
      <w:tr w:rsidR="00701F9C" w:rsidRPr="00701F9C" w14:paraId="20D029C5" w14:textId="77777777" w:rsidTr="00701F9C">
        <w:tc>
          <w:tcPr>
            <w:tcW w:w="0" w:type="auto"/>
            <w:hideMark/>
          </w:tcPr>
          <w:p w14:paraId="46275E43"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b/>
                <w:bCs/>
                <w:kern w:val="0"/>
                <w:lang w:eastAsia="en-GB"/>
                <w14:ligatures w14:val="none"/>
              </w:rPr>
              <w:t>Kopējie izmēri (G × P × A)</w:t>
            </w:r>
          </w:p>
        </w:tc>
        <w:tc>
          <w:tcPr>
            <w:tcW w:w="0" w:type="auto"/>
            <w:hideMark/>
          </w:tcPr>
          <w:p w14:paraId="6F5812A5"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Konveijera izmēriem jābūt šādās robežās: garums 3400–3600 mm; platums 850–950 mm; augstums 900–1000 mm.</w:t>
            </w:r>
          </w:p>
        </w:tc>
      </w:tr>
      <w:tr w:rsidR="00701F9C" w:rsidRPr="00701F9C" w14:paraId="7B529AFC" w14:textId="77777777" w:rsidTr="00701F9C">
        <w:tc>
          <w:tcPr>
            <w:tcW w:w="0" w:type="auto"/>
            <w:hideMark/>
          </w:tcPr>
          <w:p w14:paraId="6CDF3EB5"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b/>
                <w:bCs/>
                <w:kern w:val="0"/>
                <w:lang w:eastAsia="en-GB"/>
                <w14:ligatures w14:val="none"/>
              </w:rPr>
              <w:t>Būvniecība un materiāli</w:t>
            </w:r>
          </w:p>
        </w:tc>
        <w:tc>
          <w:tcPr>
            <w:tcW w:w="0" w:type="auto"/>
            <w:hideMark/>
          </w:tcPr>
          <w:p w14:paraId="4B75A548"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Konveijera rāmim, kājām, aizsargiem un konstrukcijas elementiem jābūt izgatavotiem no vismaz AISI 304 vai augstākas markas nerūsējošā tērauda. Visai konstrukcijai jāatbilst higiēnas projektam ar gludām metinājuma šuvēm, notekas slīpumiem un bez spraugām.</w:t>
            </w:r>
          </w:p>
        </w:tc>
      </w:tr>
      <w:tr w:rsidR="00701F9C" w:rsidRPr="00701F9C" w14:paraId="0D3D2C8C" w14:textId="77777777" w:rsidTr="00701F9C">
        <w:tc>
          <w:tcPr>
            <w:tcW w:w="0" w:type="auto"/>
            <w:hideMark/>
          </w:tcPr>
          <w:p w14:paraId="2B10C1F7"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b/>
                <w:bCs/>
                <w:kern w:val="0"/>
                <w:lang w:eastAsia="en-GB"/>
                <w14:ligatures w14:val="none"/>
              </w:rPr>
              <w:t>Jostas tips</w:t>
            </w:r>
          </w:p>
        </w:tc>
        <w:tc>
          <w:tcPr>
            <w:tcW w:w="0" w:type="auto"/>
            <w:hideMark/>
          </w:tcPr>
          <w:p w14:paraId="3CEDE37E"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Higiēniska, noņemama lente, kas piemērota saldētām gatavām maltītēm. Lentei jābūt noņemamai tīrīšanai bez instrumentu palīdzības un jāatbilst ES Regulai (EK) Nr. 1935/2004 par pārtikas saskarē esošiem materiāliem.</w:t>
            </w:r>
          </w:p>
        </w:tc>
      </w:tr>
      <w:tr w:rsidR="00701F9C" w:rsidRPr="00701F9C" w14:paraId="702B803D" w14:textId="77777777" w:rsidTr="00701F9C">
        <w:tc>
          <w:tcPr>
            <w:tcW w:w="0" w:type="auto"/>
            <w:hideMark/>
          </w:tcPr>
          <w:p w14:paraId="7EE2AD2E"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b/>
                <w:bCs/>
                <w:kern w:val="0"/>
                <w:lang w:eastAsia="en-GB"/>
                <w14:ligatures w14:val="none"/>
              </w:rPr>
              <w:t>Jostas platums</w:t>
            </w:r>
          </w:p>
        </w:tc>
        <w:tc>
          <w:tcPr>
            <w:tcW w:w="0" w:type="auto"/>
            <w:hideMark/>
          </w:tcPr>
          <w:p w14:paraId="591AB200"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Efektīvais lentes platums ne mazāks par 400 mm.</w:t>
            </w:r>
          </w:p>
        </w:tc>
      </w:tr>
      <w:tr w:rsidR="00701F9C" w:rsidRPr="00701F9C" w14:paraId="25F27CCF" w14:textId="77777777" w:rsidTr="00701F9C">
        <w:tc>
          <w:tcPr>
            <w:tcW w:w="0" w:type="auto"/>
            <w:hideMark/>
          </w:tcPr>
          <w:p w14:paraId="4FE3A6FC"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b/>
                <w:bCs/>
                <w:kern w:val="0"/>
                <w:lang w:eastAsia="en-GB"/>
                <w14:ligatures w14:val="none"/>
              </w:rPr>
              <w:t>Uzkrāšanās zona</w:t>
            </w:r>
          </w:p>
        </w:tc>
        <w:tc>
          <w:tcPr>
            <w:tcW w:w="0" w:type="auto"/>
            <w:hideMark/>
          </w:tcPr>
          <w:p w14:paraId="6B89F114"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Konveijeram jāietver automātiska uzkrāšanas zona, kas piemērota saldētām C-PET paplātēm, nodrošinot buferizāciju bez produkta bojājumiem. Piegādātājam jāapraksta uzkrāšanas garums un vadības loģika.</w:t>
            </w:r>
          </w:p>
        </w:tc>
      </w:tr>
      <w:tr w:rsidR="00701F9C" w:rsidRPr="00701F9C" w14:paraId="23CF1359" w14:textId="77777777" w:rsidTr="00701F9C">
        <w:tc>
          <w:tcPr>
            <w:tcW w:w="0" w:type="auto"/>
            <w:hideMark/>
          </w:tcPr>
          <w:p w14:paraId="62AAE471"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b/>
                <w:bCs/>
                <w:kern w:val="0"/>
                <w:lang w:eastAsia="en-GB"/>
                <w14:ligatures w14:val="none"/>
              </w:rPr>
              <w:t>Dzesēšana/termiskā aizsardzība</w:t>
            </w:r>
          </w:p>
        </w:tc>
        <w:tc>
          <w:tcPr>
            <w:tcW w:w="0" w:type="auto"/>
            <w:hideMark/>
          </w:tcPr>
          <w:p w14:paraId="510ABBAF"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Izvades konveijeram jābūt aprīkotam ar gaisa aizkaru vai līdzvērtīgu dzesēšanas/termiskās atdalīšanas sistēmu, lai samazinātu siltuma infiltrāciju spirālveida saldētavas izvades kamerā un aizsargātu saldētā produkta integritāti.</w:t>
            </w:r>
          </w:p>
        </w:tc>
      </w:tr>
      <w:tr w:rsidR="00701F9C" w:rsidRPr="00701F9C" w14:paraId="21D7E57F" w14:textId="77777777" w:rsidTr="00701F9C">
        <w:tc>
          <w:tcPr>
            <w:tcW w:w="0" w:type="auto"/>
            <w:hideMark/>
          </w:tcPr>
          <w:p w14:paraId="5A2610F3"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b/>
                <w:bCs/>
                <w:kern w:val="0"/>
                <w:lang w:eastAsia="en-GB"/>
                <w14:ligatures w14:val="none"/>
              </w:rPr>
              <w:t>Ātruma kontrole</w:t>
            </w:r>
          </w:p>
        </w:tc>
        <w:tc>
          <w:tcPr>
            <w:tcW w:w="0" w:type="auto"/>
            <w:hideMark/>
          </w:tcPr>
          <w:p w14:paraId="01652F65"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Konveijeram jābūt aprīkotam ar mainīga ātruma vadību (VFD vai līdzvērtīgu), kas ļauj sinhronizēties ar spirālveida saldētavas izlādes ātrumu un uzkrāšanas zonas darbību.</w:t>
            </w:r>
          </w:p>
        </w:tc>
      </w:tr>
      <w:tr w:rsidR="00701F9C" w:rsidRPr="00701F9C" w14:paraId="401D43B1" w14:textId="77777777" w:rsidTr="00701F9C">
        <w:tc>
          <w:tcPr>
            <w:tcW w:w="0" w:type="auto"/>
            <w:hideMark/>
          </w:tcPr>
          <w:p w14:paraId="728C0EA1"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b/>
                <w:bCs/>
                <w:kern w:val="0"/>
                <w:lang w:eastAsia="en-GB"/>
                <w14:ligatures w14:val="none"/>
              </w:rPr>
              <w:t>Piedziņas sistēma</w:t>
            </w:r>
          </w:p>
        </w:tc>
        <w:tc>
          <w:tcPr>
            <w:tcW w:w="0" w:type="auto"/>
            <w:hideMark/>
          </w:tcPr>
          <w:p w14:paraId="021A2580"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Motors un pārnesumkārba ir piemērota nepārtrauktai saldētu produktu apstrādei. Piedziņas elementiem jābūt vismaz IP65 aizsardzības pakāpei.</w:t>
            </w:r>
          </w:p>
        </w:tc>
      </w:tr>
      <w:tr w:rsidR="00701F9C" w:rsidRPr="00701F9C" w14:paraId="7E43B969" w14:textId="77777777" w:rsidTr="00701F9C">
        <w:tc>
          <w:tcPr>
            <w:tcW w:w="0" w:type="auto"/>
            <w:hideMark/>
          </w:tcPr>
          <w:p w14:paraId="3DBAACE1"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b/>
                <w:bCs/>
                <w:kern w:val="0"/>
                <w:lang w:eastAsia="en-GB"/>
                <w14:ligatures w14:val="none"/>
              </w:rPr>
              <w:lastRenderedPageBreak/>
              <w:t>Higiēnisks dizains</w:t>
            </w:r>
          </w:p>
        </w:tc>
        <w:tc>
          <w:tcPr>
            <w:tcW w:w="0" w:type="auto"/>
            <w:hideMark/>
          </w:tcPr>
          <w:p w14:paraId="3D86FA79"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Konveijeram jāatbilst higiēnas projektēšanas principiem: atvērta rāmja konstrukcija, slīpas virsmas drenāžai, pašiztukšojoša konstrukcija, pilnībā tīrāmi balsti. Dobajiem korpusiem jābūt slēgtiem vai pilnībā noslēgtiem.</w:t>
            </w:r>
          </w:p>
        </w:tc>
      </w:tr>
      <w:tr w:rsidR="00701F9C" w:rsidRPr="00701F9C" w14:paraId="745C292C" w14:textId="77777777" w:rsidTr="00701F9C">
        <w:tc>
          <w:tcPr>
            <w:tcW w:w="0" w:type="auto"/>
            <w:hideMark/>
          </w:tcPr>
          <w:p w14:paraId="072CFFF6"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b/>
                <w:bCs/>
                <w:kern w:val="0"/>
                <w:lang w:eastAsia="en-GB"/>
                <w14:ligatures w14:val="none"/>
              </w:rPr>
              <w:t>Drošības funkcijas</w:t>
            </w:r>
          </w:p>
        </w:tc>
        <w:tc>
          <w:tcPr>
            <w:tcW w:w="0" w:type="auto"/>
            <w:hideMark/>
          </w:tcPr>
          <w:p w14:paraId="64643BEF"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Jābūt iekļautai(-ām) avārijas apturēšanas pogai(-ām), kustīgo daļu aizsargam, pirkstiem drošām jostas malām un atbilstībai ES rūpnieciskās drošības standartiem.</w:t>
            </w:r>
          </w:p>
        </w:tc>
      </w:tr>
      <w:tr w:rsidR="00701F9C" w:rsidRPr="00701F9C" w14:paraId="59DC45C3" w14:textId="77777777" w:rsidTr="00701F9C">
        <w:tc>
          <w:tcPr>
            <w:tcW w:w="0" w:type="auto"/>
            <w:hideMark/>
          </w:tcPr>
          <w:p w14:paraId="0EA465AA"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b/>
                <w:bCs/>
                <w:kern w:val="0"/>
                <w:lang w:eastAsia="en-GB"/>
                <w14:ligatures w14:val="none"/>
              </w:rPr>
              <w:t>Uzstādīšanas prasības</w:t>
            </w:r>
          </w:p>
        </w:tc>
        <w:tc>
          <w:tcPr>
            <w:tcW w:w="0" w:type="auto"/>
            <w:hideMark/>
          </w:tcPr>
          <w:p w14:paraId="53DCD4CB"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Konveijers jāpiegādā pilnībā samontēts, un klienta objektā nav nepieciešama nekāda strukturāla montāža, izņemot pieslēgumu komunālajiem pakalpojumiem/elektrību. Augstumam un leņķim jābūt saderīgam ar spirālveida saldētavas izlādes līmeni.</w:t>
            </w:r>
          </w:p>
        </w:tc>
      </w:tr>
      <w:tr w:rsidR="00701F9C" w:rsidRPr="00701F9C" w14:paraId="3765E157" w14:textId="77777777" w:rsidTr="00701F9C">
        <w:tc>
          <w:tcPr>
            <w:tcW w:w="0" w:type="auto"/>
            <w:hideMark/>
          </w:tcPr>
          <w:p w14:paraId="726D37C2"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b/>
                <w:bCs/>
                <w:kern w:val="0"/>
                <w:lang w:eastAsia="en-GB"/>
                <w14:ligatures w14:val="none"/>
              </w:rPr>
              <w:t>Pilns funkcionālais komplekts (obligāti)</w:t>
            </w:r>
          </w:p>
        </w:tc>
        <w:tc>
          <w:tcPr>
            <w:tcW w:w="0" w:type="auto"/>
            <w:hideMark/>
          </w:tcPr>
          <w:p w14:paraId="6300F939"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Piedāvātajā cenā jāiekļauj visas nepieciešamās sastāvdaļas (siksna, motors, pārnesumkārba, akumulācijas modulis, gaisa aizkars vai līdzvērtīgs elements, balsti, aizsargi, vadības panelis, kājas, pēdas).</w:t>
            </w:r>
          </w:p>
        </w:tc>
      </w:tr>
      <w:tr w:rsidR="00701F9C" w:rsidRPr="00701F9C" w14:paraId="3284706C" w14:textId="77777777" w:rsidTr="00701F9C">
        <w:tc>
          <w:tcPr>
            <w:tcW w:w="0" w:type="auto"/>
            <w:hideMark/>
          </w:tcPr>
          <w:p w14:paraId="5A829414"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b/>
                <w:bCs/>
                <w:kern w:val="0"/>
                <w:lang w:eastAsia="en-GB"/>
                <w14:ligatures w14:val="none"/>
              </w:rPr>
              <w:t>Piegādāto komponentu saraksts</w:t>
            </w:r>
          </w:p>
        </w:tc>
        <w:tc>
          <w:tcPr>
            <w:tcW w:w="0" w:type="auto"/>
            <w:hideMark/>
          </w:tcPr>
          <w:p w14:paraId="5E77BC6C"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DALĪBNIEKAM ir jāsniedz detalizēts visu iekļauto sastāvdaļu, piederumu un palīgelementu saraksts.</w:t>
            </w:r>
          </w:p>
        </w:tc>
      </w:tr>
      <w:tr w:rsidR="00701F9C" w:rsidRPr="00701F9C" w14:paraId="6BB116FB" w14:textId="77777777" w:rsidTr="00701F9C">
        <w:tc>
          <w:tcPr>
            <w:tcW w:w="0" w:type="auto"/>
            <w:hideMark/>
          </w:tcPr>
          <w:p w14:paraId="1DD9BC5F"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b/>
                <w:bCs/>
                <w:kern w:val="0"/>
                <w:lang w:eastAsia="en-GB"/>
                <w14:ligatures w14:val="none"/>
              </w:rPr>
              <w:t>Dokumentācija</w:t>
            </w:r>
          </w:p>
        </w:tc>
        <w:tc>
          <w:tcPr>
            <w:tcW w:w="0" w:type="auto"/>
            <w:hideMark/>
          </w:tcPr>
          <w:p w14:paraId="451C59E2"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Jāiesniedz latviešu vai angļu valodā: atbilstības deklarācija, iekārtas pase, lietotāja rokasgrāmata, apkopes instrukcijas, elektriskā shēma.</w:t>
            </w:r>
          </w:p>
        </w:tc>
      </w:tr>
      <w:tr w:rsidR="00701F9C" w:rsidRPr="00701F9C" w14:paraId="7353BF7A" w14:textId="77777777" w:rsidTr="00701F9C">
        <w:tc>
          <w:tcPr>
            <w:tcW w:w="0" w:type="auto"/>
            <w:hideMark/>
          </w:tcPr>
          <w:p w14:paraId="03CB79E6"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b/>
                <w:bCs/>
                <w:kern w:val="0"/>
                <w:lang w:eastAsia="en-GB"/>
                <w14:ligatures w14:val="none"/>
              </w:rPr>
              <w:t>Atbilstība un CE marķējums</w:t>
            </w:r>
          </w:p>
        </w:tc>
        <w:tc>
          <w:tcPr>
            <w:tcW w:w="0" w:type="auto"/>
            <w:hideMark/>
          </w:tcPr>
          <w:p w14:paraId="30101072"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Konveijeram jāatbilst attiecīgajām ES mašīnu, zemspiediena ierīču un elektromagnētiskās saderības direktīvām. Obligāta CE marķējuma klātbūtne.</w:t>
            </w:r>
          </w:p>
        </w:tc>
      </w:tr>
      <w:tr w:rsidR="00701F9C" w:rsidRPr="00701F9C" w14:paraId="3CB5906D" w14:textId="77777777" w:rsidTr="00701F9C">
        <w:tc>
          <w:tcPr>
            <w:tcW w:w="0" w:type="auto"/>
            <w:hideMark/>
          </w:tcPr>
          <w:p w14:paraId="6EE591E5"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b/>
                <w:bCs/>
                <w:kern w:val="0"/>
                <w:lang w:eastAsia="en-GB"/>
                <w14:ligatures w14:val="none"/>
              </w:rPr>
              <w:t>Garantija</w:t>
            </w:r>
          </w:p>
        </w:tc>
        <w:tc>
          <w:tcPr>
            <w:tcW w:w="0" w:type="auto"/>
            <w:hideMark/>
          </w:tcPr>
          <w:p w14:paraId="781AF1A7" w14:textId="77777777" w:rsidR="00701F9C" w:rsidRPr="00701F9C" w:rsidRDefault="00701F9C" w:rsidP="00701F9C">
            <w:pPr>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Vismaz 24 mēnešu pilna ražotāja vai piegādātāja garantija.</w:t>
            </w:r>
          </w:p>
        </w:tc>
      </w:tr>
    </w:tbl>
    <w:p w14:paraId="1C7269B6" w14:textId="77777777" w:rsidR="00701F9C" w:rsidRPr="00701F9C" w:rsidRDefault="00000000" w:rsidP="00701F9C">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AAD5B65">
          <v:rect id="_x0000_i1026" alt="" style="width:451.3pt;height:.05pt;mso-width-percent:0;mso-height-percent:0;mso-width-percent:0;mso-height-percent:0" o:hralign="center" o:hrstd="t" o:hr="t" fillcolor="#a0a0a0" stroked="f"/>
        </w:pict>
      </w:r>
    </w:p>
    <w:p w14:paraId="6C4E22DD" w14:textId="77777777" w:rsidR="00701F9C" w:rsidRPr="00701F9C" w:rsidRDefault="00701F9C" w:rsidP="00701F9C">
      <w:pPr>
        <w:spacing w:before="100" w:beforeAutospacing="1" w:after="100" w:afterAutospacing="1" w:line="240" w:lineRule="auto"/>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Vārds, uzvārds, amats</w:t>
      </w:r>
    </w:p>
    <w:p w14:paraId="0C9C5786" w14:textId="77777777" w:rsidR="00701F9C" w:rsidRPr="00701F9C" w:rsidRDefault="00000000" w:rsidP="00701F9C">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7982CA6">
          <v:rect id="_x0000_i1027" alt="" style="width:451.3pt;height:.05pt;mso-width-percent:0;mso-height-percent:0;mso-width-percent:0;mso-height-percent:0" o:hralign="center" o:hrstd="t" o:hr="t" fillcolor="#a0a0a0" stroked="f"/>
        </w:pict>
      </w:r>
    </w:p>
    <w:p w14:paraId="64D65E0F" w14:textId="77777777" w:rsidR="00701F9C" w:rsidRPr="00701F9C" w:rsidRDefault="00701F9C" w:rsidP="00701F9C">
      <w:pPr>
        <w:spacing w:before="100" w:beforeAutospacing="1" w:after="100" w:afterAutospacing="1" w:line="240" w:lineRule="auto"/>
        <w:rPr>
          <w:rFonts w:ascii="Times New Roman" w:eastAsia="Times New Roman" w:hAnsi="Times New Roman" w:cs="Times New Roman"/>
          <w:kern w:val="0"/>
          <w:lang w:eastAsia="en-GB"/>
          <w14:ligatures w14:val="none"/>
        </w:rPr>
      </w:pPr>
      <w:r w:rsidRPr="00701F9C">
        <w:rPr>
          <w:rFonts w:ascii="Times New Roman" w:eastAsia="Times New Roman" w:hAnsi="Times New Roman" w:cs="Times New Roman"/>
          <w:kern w:val="0"/>
          <w:lang w:eastAsia="en-GB"/>
          <w14:ligatures w14:val="none"/>
        </w:rPr>
        <w:t>paraksts</w:t>
      </w:r>
    </w:p>
    <w:p w14:paraId="0EE35000" w14:textId="77777777" w:rsidR="00701F9C" w:rsidRDefault="00701F9C"/>
    <w:sectPr w:rsidR="00701F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9C"/>
    <w:rsid w:val="00701F9C"/>
    <w:rsid w:val="00A23D3E"/>
    <w:rsid w:val="00BE1D83"/>
    <w:rsid w:val="00D210E5"/>
    <w:rsid w:val="00E66536"/>
    <w:rsid w:val="00E76D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85E1"/>
  <w15:chartTrackingRefBased/>
  <w15:docId w15:val="{5AC6AB07-D776-0842-B4C7-21700ADC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F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F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F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F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F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F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F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F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F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F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F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F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F9C"/>
    <w:rPr>
      <w:rFonts w:eastAsiaTheme="majorEastAsia" w:cstheme="majorBidi"/>
      <w:color w:val="272727" w:themeColor="text1" w:themeTint="D8"/>
    </w:rPr>
  </w:style>
  <w:style w:type="paragraph" w:styleId="Title">
    <w:name w:val="Title"/>
    <w:basedOn w:val="Normal"/>
    <w:next w:val="Normal"/>
    <w:link w:val="TitleChar"/>
    <w:uiPriority w:val="10"/>
    <w:qFormat/>
    <w:rsid w:val="00701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F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F9C"/>
    <w:pPr>
      <w:spacing w:before="160"/>
      <w:jc w:val="center"/>
    </w:pPr>
    <w:rPr>
      <w:i/>
      <w:iCs/>
      <w:color w:val="404040" w:themeColor="text1" w:themeTint="BF"/>
    </w:rPr>
  </w:style>
  <w:style w:type="character" w:customStyle="1" w:styleId="QuoteChar">
    <w:name w:val="Quote Char"/>
    <w:basedOn w:val="DefaultParagraphFont"/>
    <w:link w:val="Quote"/>
    <w:uiPriority w:val="29"/>
    <w:rsid w:val="00701F9C"/>
    <w:rPr>
      <w:i/>
      <w:iCs/>
      <w:color w:val="404040" w:themeColor="text1" w:themeTint="BF"/>
    </w:rPr>
  </w:style>
  <w:style w:type="paragraph" w:styleId="ListParagraph">
    <w:name w:val="List Paragraph"/>
    <w:basedOn w:val="Normal"/>
    <w:uiPriority w:val="34"/>
    <w:qFormat/>
    <w:rsid w:val="00701F9C"/>
    <w:pPr>
      <w:ind w:left="720"/>
      <w:contextualSpacing/>
    </w:pPr>
  </w:style>
  <w:style w:type="character" w:styleId="IntenseEmphasis">
    <w:name w:val="Intense Emphasis"/>
    <w:basedOn w:val="DefaultParagraphFont"/>
    <w:uiPriority w:val="21"/>
    <w:qFormat/>
    <w:rsid w:val="00701F9C"/>
    <w:rPr>
      <w:i/>
      <w:iCs/>
      <w:color w:val="0F4761" w:themeColor="accent1" w:themeShade="BF"/>
    </w:rPr>
  </w:style>
  <w:style w:type="paragraph" w:styleId="IntenseQuote">
    <w:name w:val="Intense Quote"/>
    <w:basedOn w:val="Normal"/>
    <w:next w:val="Normal"/>
    <w:link w:val="IntenseQuoteChar"/>
    <w:uiPriority w:val="30"/>
    <w:qFormat/>
    <w:rsid w:val="00701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F9C"/>
    <w:rPr>
      <w:i/>
      <w:iCs/>
      <w:color w:val="0F4761" w:themeColor="accent1" w:themeShade="BF"/>
    </w:rPr>
  </w:style>
  <w:style w:type="character" w:styleId="IntenseReference">
    <w:name w:val="Intense Reference"/>
    <w:basedOn w:val="DefaultParagraphFont"/>
    <w:uiPriority w:val="32"/>
    <w:qFormat/>
    <w:rsid w:val="00701F9C"/>
    <w:rPr>
      <w:b/>
      <w:bCs/>
      <w:smallCaps/>
      <w:color w:val="0F4761" w:themeColor="accent1" w:themeShade="BF"/>
      <w:spacing w:val="5"/>
    </w:rPr>
  </w:style>
  <w:style w:type="paragraph" w:styleId="NormalWeb">
    <w:name w:val="Normal (Web)"/>
    <w:basedOn w:val="Normal"/>
    <w:uiPriority w:val="99"/>
    <w:semiHidden/>
    <w:unhideWhenUsed/>
    <w:rsid w:val="00701F9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01F9C"/>
    <w:rPr>
      <w:b/>
      <w:bCs/>
    </w:rPr>
  </w:style>
  <w:style w:type="table" w:styleId="TableGridLight">
    <w:name w:val="Grid Table Light"/>
    <w:basedOn w:val="TableNormal"/>
    <w:uiPriority w:val="40"/>
    <w:rsid w:val="00701F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548</Words>
  <Characters>3125</Characters>
  <DocSecurity>0</DocSecurity>
  <Lines>26</Lines>
  <Paragraphs>7</Paragraphs>
  <ScaleCrop>false</ScaleCrop>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2025-11-17T17:54:00Z</dcterms:created>
  <dcterms:modified xsi:type="dcterms:W3CDTF">2025-11-21T16:09:00Z</dcterms:modified>
</cp:coreProperties>
</file>