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77D9" w14:textId="77777777" w:rsidR="00230455" w:rsidRPr="00230455" w:rsidRDefault="00230455" w:rsidP="002304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30455">
        <w:rPr>
          <w:rFonts w:ascii="Times New Roman" w:eastAsia="Times New Roman" w:hAnsi="Times New Roman" w:cs="Times New Roman"/>
          <w:b/>
          <w:bCs/>
          <w:kern w:val="36"/>
          <w:sz w:val="48"/>
          <w:szCs w:val="48"/>
          <w:lang w:eastAsia="en-GB"/>
          <w14:ligatures w14:val="none"/>
        </w:rPr>
        <w:t>2. pielikums</w:t>
      </w:r>
    </w:p>
    <w:p w14:paraId="13D08E96"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TEHNISKĀ SPECIFIKĀCIJA</w:t>
      </w:r>
    </w:p>
    <w:p w14:paraId="42FAC04C"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RIPOŠANAS KOMBINĒTĀ TVAICĒJA IEGĀDE, 20×GN1/1 (RATIŅU TIPA)</w:t>
      </w:r>
    </w:p>
    <w:p w14:paraId="28AFF91B"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0615252">
          <v:rect id="_x0000_i1025" alt="" style="width:451.3pt;height:.05pt;mso-width-percent:0;mso-height-percent:0;mso-width-percent:0;mso-height-percent:0" o:hralign="center" o:hrstd="t" o:hr="t" fillcolor="#a0a0a0" stroked="f"/>
        </w:pict>
      </w:r>
    </w:p>
    <w:p w14:paraId="01F43DF4"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00"/>
        <w:gridCol w:w="6416"/>
      </w:tblGrid>
      <w:tr w:rsidR="00230455" w:rsidRPr="00230455" w14:paraId="566ACA2F" w14:textId="77777777" w:rsidTr="00230455">
        <w:tc>
          <w:tcPr>
            <w:tcW w:w="0" w:type="auto"/>
            <w:hideMark/>
          </w:tcPr>
          <w:p w14:paraId="11F97583"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Parametrs</w:t>
            </w:r>
          </w:p>
        </w:tc>
        <w:tc>
          <w:tcPr>
            <w:tcW w:w="0" w:type="auto"/>
            <w:hideMark/>
          </w:tcPr>
          <w:p w14:paraId="2A1DDB17"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Prasība</w:t>
            </w:r>
          </w:p>
        </w:tc>
      </w:tr>
      <w:tr w:rsidR="00230455" w:rsidRPr="00230455" w14:paraId="170D758D" w14:textId="77777777" w:rsidTr="00230455">
        <w:tc>
          <w:tcPr>
            <w:tcW w:w="0" w:type="auto"/>
            <w:hideMark/>
          </w:tcPr>
          <w:p w14:paraId="59DB5C3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4F6CABF3"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03EEAD25" w14:textId="77777777" w:rsidTr="00230455">
        <w:tc>
          <w:tcPr>
            <w:tcW w:w="0" w:type="auto"/>
            <w:hideMark/>
          </w:tcPr>
          <w:p w14:paraId="7A6367C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Daudzums</w:t>
            </w:r>
          </w:p>
        </w:tc>
        <w:tc>
          <w:tcPr>
            <w:tcW w:w="0" w:type="auto"/>
            <w:hideMark/>
          </w:tcPr>
          <w:p w14:paraId="5290468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4 gab. – Rūpnieciskā kombinētā tvaika katla ietilpība gatavošanai, tvaicēšanai, reģenerācijai un jauktiem procesiem</w:t>
            </w:r>
            <w:r w:rsidR="000D5EBF" w:rsidRPr="000D5EBF">
              <w:rPr>
                <w:rFonts w:ascii="Times New Roman" w:eastAsia="Times New Roman" w:hAnsi="Times New Roman" w:cs="Times New Roman"/>
                <w:kern w:val="0"/>
                <w:highlight w:val="yellow"/>
                <w:lang w:eastAsia="en-GB"/>
                <w14:ligatures w14:val="none"/>
              </w:rPr>
              <w:t>paredzēts nepārtrauktai darbībai centrālās ražošanas vienības (CPU) vidē.</w:t>
            </w:r>
          </w:p>
        </w:tc>
      </w:tr>
      <w:tr w:rsidR="00230455" w:rsidRPr="00230455" w14:paraId="7C7D0C72" w14:textId="77777777" w:rsidTr="00230455">
        <w:tc>
          <w:tcPr>
            <w:tcW w:w="0" w:type="auto"/>
            <w:hideMark/>
          </w:tcPr>
          <w:p w14:paraId="767520D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Piedāvātais zīmols, modelis</w:t>
            </w:r>
          </w:p>
        </w:tc>
        <w:tc>
          <w:tcPr>
            <w:tcW w:w="0" w:type="auto"/>
            <w:hideMark/>
          </w:tcPr>
          <w:p w14:paraId="067974A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Zīmola nosaukums (identifikācijas nolūkos) un modeļa nosaukums (identifikācijas nolūkos).</w:t>
            </w:r>
          </w:p>
        </w:tc>
      </w:tr>
      <w:tr w:rsidR="00230455" w:rsidRPr="00230455" w14:paraId="1CE317A3" w14:textId="77777777" w:rsidTr="00230455">
        <w:tc>
          <w:tcPr>
            <w:tcW w:w="0" w:type="auto"/>
            <w:hideMark/>
          </w:tcPr>
          <w:p w14:paraId="6453733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Mērķis</w:t>
            </w:r>
          </w:p>
        </w:tc>
        <w:tc>
          <w:tcPr>
            <w:tcW w:w="0" w:type="auto"/>
            <w:hideMark/>
          </w:tcPr>
          <w:p w14:paraId="7076E95A" w14:textId="77777777" w:rsidR="00230455" w:rsidRPr="001F7987"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Kombinētajam tvaicētājam jāfunkcionē kā galvenajam gatavošanas centram centrālajā ražošanas iekārtā (CPU), kas ir piemērots olbaltumvielu, dārzeņu, jaukto ēdienu, sautējumu un tvaika ražošanas cikliem. Tam jāatbalsta konvekcijas, tvaika un kombinētie režīmi ar automātiskām pārslēgšanām.</w:t>
            </w:r>
            <w:r w:rsidR="00F7774B" w:rsidRPr="00F7774B">
              <w:rPr>
                <w:rFonts w:ascii="Times New Roman" w:eastAsia="Times New Roman" w:hAnsi="Times New Roman" w:cs="Times New Roman"/>
                <w:kern w:val="0"/>
                <w:highlight w:val="yellow"/>
                <w:lang w:eastAsia="en-GB"/>
                <w14:ligatures w14:val="none"/>
              </w:rPr>
              <w:t>automātiski gatavošanas cikli, programmējamas receptes un daudzlīmeņu ražošanas pārvaldība, kas piemērota partiju un nepārtrauktas ražošanas darbplūsmām.</w:t>
            </w:r>
          </w:p>
        </w:tc>
      </w:tr>
      <w:tr w:rsidR="00230455" w:rsidRPr="00230455" w14:paraId="2A607D19" w14:textId="77777777" w:rsidTr="00230455">
        <w:tc>
          <w:tcPr>
            <w:tcW w:w="0" w:type="auto"/>
            <w:hideMark/>
          </w:tcPr>
          <w:p w14:paraId="4F0E781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Ietilpība (GN ielāde, vienā ciklā)</w:t>
            </w:r>
          </w:p>
        </w:tc>
        <w:tc>
          <w:tcPr>
            <w:tcW w:w="0" w:type="auto"/>
            <w:hideMark/>
          </w:tcPr>
          <w:p w14:paraId="79220D2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jāpieņem pilni iekraušanas ratiņi, kas piekrauti ar 36–40 GN 1/1 paplātēm vienā pilnas ielādes ciklā atkarībā no ratiņu konfigurācijas. DALĪBNIEKAM jānorāda precīzs GN 1/1 paplāšu daudzums uz katru piedāvāto ratiņu.</w:t>
            </w:r>
          </w:p>
        </w:tc>
      </w:tr>
      <w:tr w:rsidR="00230455" w:rsidRPr="00230455" w14:paraId="0F025241" w14:textId="77777777" w:rsidTr="00230455">
        <w:tc>
          <w:tcPr>
            <w:tcW w:w="0" w:type="auto"/>
            <w:hideMark/>
          </w:tcPr>
          <w:p w14:paraId="52ABE46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Kameru saderība</w:t>
            </w:r>
          </w:p>
        </w:tc>
        <w:tc>
          <w:tcPr>
            <w:tcW w:w="0" w:type="auto"/>
            <w:hideMark/>
          </w:tcPr>
          <w:p w14:paraId="2765FF5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kamerai jābūt projektētai</w:t>
            </w:r>
            <w:r w:rsidRPr="003C7703">
              <w:rPr>
                <w:rFonts w:ascii="Times New Roman" w:eastAsia="Times New Roman" w:hAnsi="Times New Roman" w:cs="Times New Roman"/>
                <w:strike/>
                <w:kern w:val="0"/>
                <w:highlight w:val="yellow"/>
                <w:lang w:eastAsia="en-GB"/>
                <w14:ligatures w14:val="none"/>
              </w:rPr>
              <w:t>20 plauktu līmeņiem uz ratiņiem</w:t>
            </w:r>
            <w:r w:rsidR="003C7703">
              <w:rPr>
                <w:rFonts w:ascii="Times New Roman" w:eastAsia="Times New Roman" w:hAnsi="Times New Roman" w:cs="Times New Roman"/>
                <w:kern w:val="0"/>
                <w:lang w:eastAsia="en-GB"/>
                <w14:ligatures w14:val="none"/>
              </w:rPr>
              <w:t xml:space="preserve">  </w:t>
            </w:r>
            <w:r w:rsidR="003C7703" w:rsidRPr="003C7703">
              <w:rPr>
                <w:rFonts w:ascii="Times New Roman" w:eastAsia="Times New Roman" w:hAnsi="Times New Roman" w:cs="Times New Roman"/>
                <w:kern w:val="0"/>
                <w:highlight w:val="yellow"/>
                <w:lang w:eastAsia="en-GB"/>
                <w14:ligatures w14:val="none"/>
              </w:rPr>
              <w:t>lai ievietotu ievelkamus ratiņus ar 20 plauktu līmeņiem</w:t>
            </w:r>
            <w:r w:rsidRPr="00230455">
              <w:rPr>
                <w:rFonts w:ascii="Times New Roman" w:eastAsia="Times New Roman" w:hAnsi="Times New Roman" w:cs="Times New Roman"/>
                <w:kern w:val="0"/>
                <w:lang w:eastAsia="en-GB"/>
                <w14:ligatures w14:val="none"/>
              </w:rPr>
              <w:t>, GN1/1 vai</w:t>
            </w:r>
            <w:r w:rsidRPr="003C7703">
              <w:rPr>
                <w:rFonts w:ascii="Times New Roman" w:eastAsia="Times New Roman" w:hAnsi="Times New Roman" w:cs="Times New Roman"/>
                <w:strike/>
                <w:kern w:val="0"/>
                <w:highlight w:val="yellow"/>
                <w:lang w:eastAsia="en-GB"/>
                <w14:ligatures w14:val="none"/>
              </w:rPr>
              <w:t>EN 600×400</w:t>
            </w:r>
            <w:r w:rsidRPr="00230455">
              <w:rPr>
                <w:rFonts w:ascii="Times New Roman" w:eastAsia="Times New Roman" w:hAnsi="Times New Roman" w:cs="Times New Roman"/>
                <w:kern w:val="0"/>
                <w:lang w:eastAsia="en-GB"/>
                <w14:ligatures w14:val="none"/>
              </w:rPr>
              <w:t xml:space="preserve"> </w:t>
            </w:r>
            <w:r w:rsidR="003C7703" w:rsidRPr="003C7703">
              <w:rPr>
                <w:rFonts w:ascii="Times New Roman" w:eastAsia="Times New Roman" w:hAnsi="Times New Roman" w:cs="Times New Roman"/>
                <w:kern w:val="0"/>
                <w:highlight w:val="yellow"/>
                <w:lang w:eastAsia="en-GB"/>
                <w14:ligatures w14:val="none"/>
              </w:rPr>
              <w:t>GN 2/1</w:t>
            </w:r>
            <w:r w:rsidRPr="00230455">
              <w:rPr>
                <w:rFonts w:ascii="Times New Roman" w:eastAsia="Times New Roman" w:hAnsi="Times New Roman" w:cs="Times New Roman"/>
                <w:kern w:val="0"/>
                <w:lang w:eastAsia="en-GB"/>
                <w14:ligatures w14:val="none"/>
              </w:rPr>
              <w:t>saderīgs.</w:t>
            </w:r>
          </w:p>
        </w:tc>
      </w:tr>
      <w:tr w:rsidR="00230455" w:rsidRPr="00230455" w14:paraId="0508135B" w14:textId="77777777" w:rsidTr="00230455">
        <w:tc>
          <w:tcPr>
            <w:tcW w:w="0" w:type="auto"/>
            <w:hideMark/>
          </w:tcPr>
          <w:p w14:paraId="671A355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Kopējie ārējie izmēri (G × P × A)</w:t>
            </w:r>
          </w:p>
        </w:tc>
        <w:tc>
          <w:tcPr>
            <w:tcW w:w="0" w:type="auto"/>
            <w:hideMark/>
          </w:tcPr>
          <w:p w14:paraId="737C5CF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Izmēriem jāiekļaujas</w:t>
            </w:r>
            <w:r w:rsidR="00A96A1A" w:rsidRPr="00A96A1A">
              <w:rPr>
                <w:rFonts w:ascii="Times New Roman" w:eastAsia="Times New Roman" w:hAnsi="Times New Roman" w:cs="Times New Roman"/>
                <w:kern w:val="0"/>
                <w:highlight w:val="yellow"/>
                <w:lang w:eastAsia="en-GB"/>
                <w14:ligatures w14:val="none"/>
              </w:rPr>
              <w:t>(Norādītajiem izmēriem jāattiecas uz iekārtas kopējiem ārējiem izmēriem darbības konfigurācijā, ieskaitot standarta rokturus, durvju atstarpi, skursteņa vai tvaika izplūdes komponentus un citus rūpnīcas standarta ārējos elementus, kas nepieciešami normālai darbībai.)</w:t>
            </w:r>
            <w:r w:rsidRPr="00230455">
              <w:rPr>
                <w:rFonts w:ascii="Times New Roman" w:eastAsia="Times New Roman" w:hAnsi="Times New Roman" w:cs="Times New Roman"/>
                <w:kern w:val="0"/>
                <w:lang w:eastAsia="en-GB"/>
                <w14:ligatures w14:val="none"/>
              </w:rPr>
              <w:t>:</w:t>
            </w:r>
          </w:p>
        </w:tc>
      </w:tr>
      <w:tr w:rsidR="00230455" w:rsidRPr="00230455" w14:paraId="4DE96D80" w14:textId="77777777" w:rsidTr="00230455">
        <w:tc>
          <w:tcPr>
            <w:tcW w:w="0" w:type="auto"/>
          </w:tcPr>
          <w:p w14:paraId="21DB3B70"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7284060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garums</w:t>
            </w:r>
            <w:r w:rsidRPr="00733DDD">
              <w:rPr>
                <w:rFonts w:ascii="Times New Roman" w:eastAsia="Times New Roman" w:hAnsi="Times New Roman" w:cs="Times New Roman"/>
                <w:b/>
                <w:bCs/>
                <w:kern w:val="0"/>
                <w:highlight w:val="yellow"/>
                <w:lang w:eastAsia="en-GB"/>
                <w14:ligatures w14:val="none"/>
              </w:rPr>
              <w:t>1000</w:t>
            </w:r>
            <w:r w:rsidRPr="00230455">
              <w:rPr>
                <w:rFonts w:ascii="Times New Roman" w:eastAsia="Times New Roman" w:hAnsi="Times New Roman" w:cs="Times New Roman"/>
                <w:b/>
                <w:bCs/>
                <w:kern w:val="0"/>
                <w:lang w:eastAsia="en-GB"/>
                <w14:ligatures w14:val="none"/>
              </w:rPr>
              <w:t>–1350 mm</w:t>
            </w:r>
            <w:r w:rsidRPr="00230455">
              <w:rPr>
                <w:rFonts w:ascii="Times New Roman" w:eastAsia="Times New Roman" w:hAnsi="Times New Roman" w:cs="Times New Roman"/>
                <w:kern w:val="0"/>
                <w:lang w:eastAsia="en-GB"/>
                <w14:ligatures w14:val="none"/>
              </w:rPr>
              <w:t>,</w:t>
            </w:r>
          </w:p>
        </w:tc>
      </w:tr>
      <w:tr w:rsidR="00230455" w:rsidRPr="00230455" w14:paraId="55B9A159" w14:textId="77777777" w:rsidTr="00230455">
        <w:tc>
          <w:tcPr>
            <w:tcW w:w="0" w:type="auto"/>
          </w:tcPr>
          <w:p w14:paraId="0F1AB1AD"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E1EFC1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platums</w:t>
            </w:r>
            <w:r w:rsidRPr="00A96A1A">
              <w:rPr>
                <w:rFonts w:ascii="Times New Roman" w:eastAsia="Times New Roman" w:hAnsi="Times New Roman" w:cs="Times New Roman"/>
                <w:b/>
                <w:bCs/>
                <w:kern w:val="0"/>
                <w:highlight w:val="yellow"/>
                <w:lang w:eastAsia="en-GB"/>
                <w14:ligatures w14:val="none"/>
              </w:rPr>
              <w:t>1100</w:t>
            </w:r>
            <w:r w:rsidRPr="00230455">
              <w:rPr>
                <w:rFonts w:ascii="Times New Roman" w:eastAsia="Times New Roman" w:hAnsi="Times New Roman" w:cs="Times New Roman"/>
                <w:b/>
                <w:bCs/>
                <w:kern w:val="0"/>
                <w:lang w:eastAsia="en-GB"/>
                <w14:ligatures w14:val="none"/>
              </w:rPr>
              <w:t>–1250 mm</w:t>
            </w:r>
            <w:r w:rsidRPr="00230455">
              <w:rPr>
                <w:rFonts w:ascii="Times New Roman" w:eastAsia="Times New Roman" w:hAnsi="Times New Roman" w:cs="Times New Roman"/>
                <w:kern w:val="0"/>
                <w:lang w:eastAsia="en-GB"/>
                <w14:ligatures w14:val="none"/>
              </w:rPr>
              <w:t>,</w:t>
            </w:r>
          </w:p>
        </w:tc>
      </w:tr>
      <w:tr w:rsidR="00230455" w:rsidRPr="00230455" w14:paraId="4EB63027" w14:textId="77777777" w:rsidTr="00230455">
        <w:tc>
          <w:tcPr>
            <w:tcW w:w="0" w:type="auto"/>
          </w:tcPr>
          <w:p w14:paraId="4D6FA680"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4F536E2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augstums</w:t>
            </w:r>
            <w:r w:rsidR="00A96A1A" w:rsidRPr="00A96A1A">
              <w:rPr>
                <w:rFonts w:ascii="Times New Roman" w:eastAsia="Times New Roman" w:hAnsi="Times New Roman" w:cs="Times New Roman"/>
                <w:b/>
                <w:bCs/>
                <w:kern w:val="0"/>
                <w:highlight w:val="yellow"/>
                <w:lang w:eastAsia="en-GB"/>
                <w14:ligatures w14:val="none"/>
              </w:rPr>
              <w:t>1800.–</w:t>
            </w:r>
            <w:r w:rsidRPr="00230455">
              <w:rPr>
                <w:rFonts w:ascii="Times New Roman" w:eastAsia="Times New Roman" w:hAnsi="Times New Roman" w:cs="Times New Roman"/>
                <w:b/>
                <w:bCs/>
                <w:kern w:val="0"/>
                <w:lang w:eastAsia="en-GB"/>
                <w14:ligatures w14:val="none"/>
              </w:rPr>
              <w:t>2200 mm</w:t>
            </w:r>
            <w:r w:rsidRPr="00230455">
              <w:rPr>
                <w:rFonts w:ascii="Times New Roman" w:eastAsia="Times New Roman" w:hAnsi="Times New Roman" w:cs="Times New Roman"/>
                <w:kern w:val="0"/>
                <w:lang w:eastAsia="en-GB"/>
                <w14:ligatures w14:val="none"/>
              </w:rPr>
              <w:t>.</w:t>
            </w:r>
          </w:p>
        </w:tc>
      </w:tr>
      <w:tr w:rsidR="00230455" w:rsidRPr="00230455" w14:paraId="45465411" w14:textId="77777777" w:rsidTr="00230455">
        <w:tc>
          <w:tcPr>
            <w:tcW w:w="0" w:type="auto"/>
            <w:hideMark/>
          </w:tcPr>
          <w:p w14:paraId="3E621B6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Kameras materiāli un struktūra</w:t>
            </w:r>
          </w:p>
        </w:tc>
        <w:tc>
          <w:tcPr>
            <w:tcW w:w="0" w:type="auto"/>
            <w:hideMark/>
          </w:tcPr>
          <w:p w14:paraId="54C283C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 no vismaz AISI 304 nerūsējošā tērauda, ​​noapaļoti stūri, pastiprinātas eņģes, augstas temperatūras blīves, higiēniskas metinājuma šuves,</w:t>
            </w:r>
            <w:r w:rsidR="00B30084" w:rsidRPr="00B30084">
              <w:rPr>
                <w:rFonts w:ascii="Times New Roman" w:eastAsia="Times New Roman" w:hAnsi="Times New Roman" w:cs="Times New Roman"/>
                <w:kern w:val="0"/>
                <w:highlight w:val="yellow"/>
                <w:lang w:eastAsia="en-GB"/>
                <w14:ligatures w14:val="none"/>
              </w:rPr>
              <w:t xml:space="preserve">Saderīgs ar netiešu tvaika ģenerēšanu, izmantojot integrētu tvaika ģeneratoru, nodrošinot </w:t>
            </w:r>
            <w:r w:rsidR="00B30084" w:rsidRPr="00B30084">
              <w:rPr>
                <w:rFonts w:ascii="Times New Roman" w:eastAsia="Times New Roman" w:hAnsi="Times New Roman" w:cs="Times New Roman"/>
                <w:kern w:val="0"/>
                <w:highlight w:val="yellow"/>
                <w:lang w:eastAsia="en-GB"/>
                <w14:ligatures w14:val="none"/>
              </w:rPr>
              <w:lastRenderedPageBreak/>
              <w:t>stabilu tvaika piesātinājumu, precīzu mitruma kontroli un nepārtrauktu darbību bez tvaika svārstībām pilnas slodzes laikā.</w:t>
            </w:r>
          </w:p>
        </w:tc>
      </w:tr>
      <w:tr w:rsidR="00230455" w:rsidRPr="00230455" w14:paraId="6B63E916" w14:textId="77777777" w:rsidTr="00230455">
        <w:tc>
          <w:tcPr>
            <w:tcW w:w="0" w:type="auto"/>
            <w:hideMark/>
          </w:tcPr>
          <w:p w14:paraId="3613E3C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lastRenderedPageBreak/>
              <w:t>Durvis</w:t>
            </w:r>
          </w:p>
        </w:tc>
        <w:tc>
          <w:tcPr>
            <w:tcW w:w="0" w:type="auto"/>
            <w:hideMark/>
          </w:tcPr>
          <w:p w14:paraId="3416D7D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Izolētas, dubultstiklojuma durvis ar drošu ventilāciju un durvju mikroslēdzi, kas aptur ventilatora darbību, kad tās ir atvērtas.</w:t>
            </w:r>
          </w:p>
        </w:tc>
      </w:tr>
      <w:tr w:rsidR="00230455" w:rsidRPr="00230455" w14:paraId="30474536" w14:textId="77777777" w:rsidTr="00230455">
        <w:tc>
          <w:tcPr>
            <w:tcW w:w="0" w:type="auto"/>
            <w:hideMark/>
          </w:tcPr>
          <w:p w14:paraId="72F1ECD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Apkures un tvaika sistēma</w:t>
            </w:r>
          </w:p>
        </w:tc>
        <w:tc>
          <w:tcPr>
            <w:tcW w:w="0" w:type="auto"/>
            <w:hideMark/>
          </w:tcPr>
          <w:p w14:paraId="46182469" w14:textId="77777777" w:rsidR="002131E9" w:rsidRPr="002131E9" w:rsidRDefault="00230455" w:rsidP="002131E9">
            <w:pPr>
              <w:rPr>
                <w:rFonts w:ascii="Times New Roman" w:hAnsi="Times New Roman" w:cs="Times New Roman"/>
                <w:highlight w:val="yellow"/>
              </w:rPr>
            </w:pPr>
            <w:r w:rsidRPr="00230455">
              <w:rPr>
                <w:rFonts w:ascii="Times New Roman" w:eastAsia="Times New Roman" w:hAnsi="Times New Roman" w:cs="Times New Roman"/>
                <w:kern w:val="0"/>
                <w:lang w:eastAsia="en-GB"/>
                <w14:ligatures w14:val="none"/>
              </w:rPr>
              <w:t>Kombinētajam tvaika katlam jāizmanto kombinēts tvaika ģenerēšanas princips (tiešā iesmidzināšana un/vai tvaika ģeneratora hibrīds), nodrošinot drošu tvaika ražošanu gan zemā, gan augstā mitruma slodzē. Piegādātājam jāapraksta tvaika ģenerēšanas metode.</w:t>
            </w:r>
            <w:r w:rsidR="002131E9" w:rsidRPr="002131E9">
              <w:rPr>
                <w:rFonts w:ascii="Times New Roman" w:hAnsi="Times New Roman" w:cs="Times New Roman"/>
                <w:highlight w:val="yellow"/>
              </w:rPr>
              <w:t>Sistēmai jābūt piemērotai</w:t>
            </w:r>
            <w:r w:rsidR="002131E9" w:rsidRPr="002131E9">
              <w:rPr>
                <w:rFonts w:ascii="Times New Roman" w:eastAsia="Times New Roman" w:hAnsi="Times New Roman" w:cs="Times New Roman"/>
                <w:highlight w:val="yellow"/>
              </w:rPr>
              <w:t>nepārtraukta procesora darbība ar lielu slodzi</w:t>
            </w:r>
            <w:r w:rsidR="002131E9" w:rsidRPr="002131E9">
              <w:rPr>
                <w:rFonts w:ascii="Times New Roman" w:hAnsi="Times New Roman" w:cs="Times New Roman"/>
                <w:highlight w:val="yellow"/>
              </w:rPr>
              <w:t>, ieskaitot</w:t>
            </w:r>
            <w:r w:rsidR="002131E9" w:rsidRPr="002131E9">
              <w:rPr>
                <w:rFonts w:ascii="Times New Roman" w:eastAsia="Times New Roman" w:hAnsi="Times New Roman" w:cs="Times New Roman"/>
                <w:highlight w:val="yellow"/>
              </w:rPr>
              <w:t>pilnas iekrāvēju kravas</w:t>
            </w:r>
            <w:r w:rsidR="002131E9" w:rsidRPr="002131E9">
              <w:rPr>
                <w:rFonts w:ascii="Times New Roman" w:hAnsi="Times New Roman" w:cs="Times New Roman"/>
                <w:highlight w:val="yellow"/>
              </w:rPr>
              <w:t>un</w:t>
            </w:r>
            <w:r w:rsidR="002131E9" w:rsidRPr="002131E9">
              <w:rPr>
                <w:rFonts w:ascii="Times New Roman" w:eastAsia="Times New Roman" w:hAnsi="Times New Roman" w:cs="Times New Roman"/>
                <w:highlight w:val="yellow"/>
              </w:rPr>
              <w:t>bieži durvju atvēršanas cikli</w:t>
            </w:r>
            <w:r w:rsidR="002131E9" w:rsidRPr="002131E9">
              <w:rPr>
                <w:rFonts w:ascii="Times New Roman" w:hAnsi="Times New Roman" w:cs="Times New Roman"/>
                <w:highlight w:val="yellow"/>
              </w:rPr>
              <w:t>, bez ievērojamas tvaika izejas nestabilitātes.</w:t>
            </w:r>
          </w:p>
          <w:p w14:paraId="2739B96C" w14:textId="77777777" w:rsidR="002131E9" w:rsidRPr="002131E9" w:rsidRDefault="002131E9" w:rsidP="002131E9">
            <w:pPr>
              <w:rPr>
                <w:rFonts w:ascii="Times New Roman" w:eastAsia="Times New Roman" w:hAnsi="Times New Roman" w:cs="Times New Roman"/>
                <w:kern w:val="0"/>
                <w:lang w:eastAsia="en-GB"/>
                <w14:ligatures w14:val="none"/>
              </w:rPr>
            </w:pPr>
            <w:r w:rsidRPr="002131E9">
              <w:rPr>
                <w:rFonts w:ascii="Times New Roman" w:eastAsia="Times New Roman" w:hAnsi="Times New Roman" w:cs="Times New Roman"/>
                <w:kern w:val="0"/>
                <w:highlight w:val="yellow"/>
                <w:lang w:eastAsia="en-GB"/>
                <w14:ligatures w14:val="none"/>
              </w:rPr>
              <w:t>Priekšroka tiks dota risinājumiem, kas nodrošina stabilu un atkārtojamu tvaika piesātinājumu mainīgos slodzes apstākļos.</w:t>
            </w:r>
          </w:p>
          <w:p w14:paraId="6C8B1F93"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3C6BA3EB" w14:textId="77777777" w:rsidTr="00230455">
        <w:tc>
          <w:tcPr>
            <w:tcW w:w="0" w:type="auto"/>
            <w:hideMark/>
          </w:tcPr>
          <w:p w14:paraId="3936F75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Mitruma pārvaldība</w:t>
            </w:r>
          </w:p>
        </w:tc>
        <w:tc>
          <w:tcPr>
            <w:tcW w:w="0" w:type="auto"/>
            <w:hideMark/>
          </w:tcPr>
          <w:p w14:paraId="0CBCA75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Automātiska mitruma kontroles sistēma ar mitruma kompensāciju kameras vides stabilizēšanai durvju atvēršanas un lielas tvaicēšanas slodzes laikā.</w:t>
            </w:r>
            <w:r w:rsidR="002131E9" w:rsidRPr="002131E9">
              <w:t xml:space="preserve"> </w:t>
            </w:r>
            <w:r w:rsidR="002131E9" w:rsidRPr="002131E9">
              <w:rPr>
                <w:rFonts w:ascii="Times New Roman" w:eastAsia="Times New Roman" w:hAnsi="Times New Roman" w:cs="Times New Roman"/>
                <w:kern w:val="0"/>
                <w:highlight w:val="yellow"/>
                <w:lang w:eastAsia="en-GB"/>
                <w14:ligatures w14:val="none"/>
              </w:rPr>
              <w:t>Piegādātājam jāapraksta, kā mitruma kontroles sistēma nodrošina atkārtojamus gatavošanas rezultātus un stabilu mitruma līmeni nepārtrauktas darbības un jauktas ražošanas slodzes laikā.</w:t>
            </w:r>
          </w:p>
        </w:tc>
      </w:tr>
      <w:tr w:rsidR="00230455" w:rsidRPr="00230455" w14:paraId="407E792B" w14:textId="77777777" w:rsidTr="00230455">
        <w:tc>
          <w:tcPr>
            <w:tcW w:w="0" w:type="auto"/>
            <w:hideMark/>
          </w:tcPr>
          <w:p w14:paraId="087C51E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Temperatūras diapazons</w:t>
            </w:r>
          </w:p>
        </w:tc>
        <w:tc>
          <w:tcPr>
            <w:tcW w:w="0" w:type="auto"/>
            <w:hideMark/>
          </w:tcPr>
          <w:p w14:paraId="245DE09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Darba temperatūra no 30 °C līdz 300 °C (vai līdzvērtīgs ražotāja diapazons).</w:t>
            </w:r>
          </w:p>
        </w:tc>
      </w:tr>
      <w:tr w:rsidR="00230455" w:rsidRPr="00230455" w14:paraId="43AE2DEE" w14:textId="77777777" w:rsidTr="00230455">
        <w:tc>
          <w:tcPr>
            <w:tcW w:w="0" w:type="auto"/>
            <w:hideMark/>
          </w:tcPr>
          <w:p w14:paraId="4EFB3ED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kodola zonde</w:t>
            </w:r>
          </w:p>
        </w:tc>
        <w:tc>
          <w:tcPr>
            <w:tcW w:w="0" w:type="auto"/>
            <w:hideMark/>
          </w:tcPr>
          <w:p w14:paraId="17A5836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jāietver daudzpunktu vai apsildāma serdes zonde, kas integrēta ar cikla programmēšanu.</w:t>
            </w:r>
            <w:r w:rsidR="00375317" w:rsidRPr="00375317">
              <w:rPr>
                <w:rFonts w:ascii="Times New Roman" w:eastAsia="Times New Roman" w:hAnsi="Times New Roman" w:cs="Times New Roman"/>
                <w:kern w:val="0"/>
                <w:highlight w:val="yellow"/>
                <w:lang w:eastAsia="en-GB"/>
                <w14:ligatures w14:val="none"/>
              </w:rPr>
              <w:t>Vadības sistēmai aktīvi jāizmanto termometrs, lai pielāgotu vai pārtrauktu gatavošanas ciklus un nodrošinātu atkārtojamus rezultātus dažādos slodzes apstākļos.</w:t>
            </w:r>
          </w:p>
        </w:tc>
      </w:tr>
      <w:tr w:rsidR="00230455" w:rsidRPr="00230455" w14:paraId="0CB78A4F" w14:textId="77777777" w:rsidTr="00230455">
        <w:tc>
          <w:tcPr>
            <w:tcW w:w="0" w:type="auto"/>
            <w:hideMark/>
          </w:tcPr>
          <w:p w14:paraId="0C24C97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Gaisa cirkulācijas sistēma</w:t>
            </w:r>
          </w:p>
        </w:tc>
        <w:tc>
          <w:tcPr>
            <w:tcW w:w="0" w:type="auto"/>
            <w:hideMark/>
          </w:tcPr>
          <w:p w14:paraId="7A50E6E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Augstas efektivitātes ventilatoru sistēma, kas nodrošina vienmērīgu siltuma sadalījumu visos GN līmeņos. Pieņemama vairāku ātrumu vai reversīva gaisa plūsma.</w:t>
            </w:r>
          </w:p>
        </w:tc>
      </w:tr>
      <w:tr w:rsidR="00230455" w:rsidRPr="00230455" w14:paraId="337C1F3C" w14:textId="77777777" w:rsidTr="00230455">
        <w:tc>
          <w:tcPr>
            <w:tcW w:w="0" w:type="auto"/>
            <w:hideMark/>
          </w:tcPr>
          <w:p w14:paraId="7841B05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Programmējami cikli</w:t>
            </w:r>
          </w:p>
        </w:tc>
        <w:tc>
          <w:tcPr>
            <w:tcW w:w="0" w:type="auto"/>
            <w:hideMark/>
          </w:tcPr>
          <w:p w14:paraId="0B1804C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Jāatbalsta konvekcija, tvaiks, kombinētā gatavošana, gatavošana zemā temperatūrā, reģenerācija, gatavošana nakts laikā, automātiskie cikli un pielāgotas lietotāja programmas.</w:t>
            </w:r>
          </w:p>
        </w:tc>
      </w:tr>
      <w:tr w:rsidR="00230455" w:rsidRPr="00230455" w14:paraId="3D26A9D5" w14:textId="77777777" w:rsidTr="00230455">
        <w:tc>
          <w:tcPr>
            <w:tcW w:w="0" w:type="auto"/>
            <w:hideMark/>
          </w:tcPr>
          <w:p w14:paraId="3BC70B9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Tīrīšanas sistēma</w:t>
            </w:r>
          </w:p>
        </w:tc>
        <w:tc>
          <w:tcPr>
            <w:tcW w:w="0" w:type="auto"/>
            <w:hideMark/>
          </w:tcPr>
          <w:p w14:paraId="5E13EAE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Integrēta automātiskā tīrīšanas sistēma (šķidri vai cieti mazgāšanas līdzekļi) ar pašattīrīšanās un skalošanas programmām.</w:t>
            </w:r>
          </w:p>
        </w:tc>
      </w:tr>
      <w:tr w:rsidR="00230455" w:rsidRPr="00230455" w14:paraId="11BEC9B7" w14:textId="77777777" w:rsidTr="00230455">
        <w:tc>
          <w:tcPr>
            <w:tcW w:w="0" w:type="auto"/>
            <w:hideMark/>
          </w:tcPr>
          <w:p w14:paraId="0F4E200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Vadības panelis</w:t>
            </w:r>
          </w:p>
        </w:tc>
        <w:tc>
          <w:tcPr>
            <w:tcW w:w="0" w:type="auto"/>
            <w:hideMark/>
          </w:tcPr>
          <w:p w14:paraId="432F899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Digitāla vadības saskarne ar temperatūras iestatījumiem, mitruma % iestatījumiem, ventilatora režīmiem, ciklu programmēšanu, zondes pārvaldību, trauksmes signāliem un uzraudzību.</w:t>
            </w:r>
          </w:p>
        </w:tc>
      </w:tr>
      <w:tr w:rsidR="00230455" w:rsidRPr="00230455" w14:paraId="63769F92" w14:textId="77777777" w:rsidTr="00230455">
        <w:tc>
          <w:tcPr>
            <w:tcW w:w="0" w:type="auto"/>
            <w:hideMark/>
          </w:tcPr>
          <w:p w14:paraId="5F4D331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Barošanas avots</w:t>
            </w:r>
          </w:p>
        </w:tc>
        <w:tc>
          <w:tcPr>
            <w:tcW w:w="0" w:type="auto"/>
            <w:hideMark/>
          </w:tcPr>
          <w:p w14:paraId="2FAEE43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400 V 3–50 Hz</w:t>
            </w:r>
            <w:r w:rsidRPr="00230455">
              <w:rPr>
                <w:rFonts w:ascii="Times New Roman" w:eastAsia="Times New Roman" w:hAnsi="Times New Roman" w:cs="Times New Roman"/>
                <w:kern w:val="0"/>
                <w:lang w:eastAsia="en-GB"/>
                <w14:ligatures w14:val="none"/>
              </w:rPr>
              <w:t>(vai 400 V 3+N 50 Hz). Jānorāda kopējā elektriskā slodze.</w:t>
            </w:r>
          </w:p>
        </w:tc>
      </w:tr>
      <w:tr w:rsidR="00230455" w:rsidRPr="00230455" w14:paraId="05F07D24" w14:textId="77777777" w:rsidTr="00230455">
        <w:tc>
          <w:tcPr>
            <w:tcW w:w="0" w:type="auto"/>
            <w:hideMark/>
          </w:tcPr>
          <w:p w14:paraId="58D492B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Drošības funkcijas</w:t>
            </w:r>
          </w:p>
        </w:tc>
        <w:tc>
          <w:tcPr>
            <w:tcW w:w="0" w:type="auto"/>
            <w:hideMark/>
          </w:tcPr>
          <w:p w14:paraId="6E0D0E74"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Durvju mikroslēdzis, termiskās pārslodzes aizsardzība, avārijas apturēšana, droša kameras ventilācija, atbilstība ES rūpnieciskās drošības direktīvām.</w:t>
            </w:r>
          </w:p>
        </w:tc>
      </w:tr>
      <w:tr w:rsidR="00230455" w:rsidRPr="00230455" w14:paraId="63C6CC56" w14:textId="77777777" w:rsidTr="00230455">
        <w:tc>
          <w:tcPr>
            <w:tcW w:w="0" w:type="auto"/>
            <w:hideMark/>
          </w:tcPr>
          <w:p w14:paraId="75FD917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Uzstādīšana</w:t>
            </w:r>
          </w:p>
        </w:tc>
        <w:tc>
          <w:tcPr>
            <w:tcW w:w="0" w:type="auto"/>
            <w:hideMark/>
          </w:tcPr>
          <w:p w14:paraId="1BC15AD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 jāpiegādā pilnībā samontēta, nepieciešama tikai elektrības un kanalizācijas/izplūdes pieslēgšana. Kameras montāža klienta objektā nav atļauta.</w:t>
            </w:r>
          </w:p>
        </w:tc>
      </w:tr>
      <w:tr w:rsidR="00230455" w:rsidRPr="00230455" w14:paraId="5BFD3609" w14:textId="77777777" w:rsidTr="00230455">
        <w:tc>
          <w:tcPr>
            <w:tcW w:w="0" w:type="auto"/>
            <w:hideMark/>
          </w:tcPr>
          <w:p w14:paraId="5C99DE1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15EA63A4"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Piedāvātajā cenā jāiekļauj:</w:t>
            </w:r>
          </w:p>
        </w:tc>
      </w:tr>
      <w:tr w:rsidR="00230455" w:rsidRPr="00230455" w14:paraId="673EDC2D" w14:textId="77777777" w:rsidTr="00230455">
        <w:tc>
          <w:tcPr>
            <w:tcW w:w="0" w:type="auto"/>
          </w:tcPr>
          <w:p w14:paraId="1C0EDE99"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17E599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ievelkama kombinētā tvaika katla iekārta</w:t>
            </w:r>
          </w:p>
        </w:tc>
      </w:tr>
      <w:tr w:rsidR="00230455" w:rsidRPr="00230455" w14:paraId="5F4AF34C" w14:textId="77777777" w:rsidTr="00230455">
        <w:tc>
          <w:tcPr>
            <w:tcW w:w="0" w:type="auto"/>
          </w:tcPr>
          <w:p w14:paraId="719195A5"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7926C47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pilna GN1/1</w:t>
            </w:r>
            <w:r w:rsidR="000904C2" w:rsidRPr="000904C2">
              <w:rPr>
                <w:rFonts w:ascii="Times New Roman" w:hAnsi="Times New Roman" w:cs="Times New Roman"/>
                <w:highlight w:val="yellow"/>
              </w:rPr>
              <w:t>saderīgs</w:t>
            </w:r>
            <w:r w:rsidRPr="00230455">
              <w:rPr>
                <w:rFonts w:ascii="Times New Roman" w:eastAsia="Times New Roman" w:hAnsi="Times New Roman" w:cs="Times New Roman"/>
                <w:b/>
                <w:bCs/>
                <w:kern w:val="0"/>
                <w:lang w:eastAsia="en-GB"/>
                <w14:ligatures w14:val="none"/>
              </w:rPr>
              <w:t>ratiņi (36–40 paplāšu ietilpība)</w:t>
            </w:r>
          </w:p>
        </w:tc>
      </w:tr>
      <w:tr w:rsidR="00230455" w:rsidRPr="00230455" w14:paraId="30409BFE" w14:textId="77777777" w:rsidTr="00230455">
        <w:tc>
          <w:tcPr>
            <w:tcW w:w="0" w:type="auto"/>
          </w:tcPr>
          <w:p w14:paraId="59649921"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3535DC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plauktu izlīdzināšanas/pieslēgšanas sistēma</w:t>
            </w:r>
          </w:p>
        </w:tc>
      </w:tr>
      <w:tr w:rsidR="00230455" w:rsidRPr="00230455" w14:paraId="3B8BA1F2" w14:textId="77777777" w:rsidTr="00230455">
        <w:tc>
          <w:tcPr>
            <w:tcW w:w="0" w:type="auto"/>
          </w:tcPr>
          <w:p w14:paraId="39AD21D0"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41F6FE6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daudzpunktu vai apsildāma kodola zonde</w:t>
            </w:r>
          </w:p>
        </w:tc>
      </w:tr>
      <w:tr w:rsidR="00230455" w:rsidRPr="00230455" w14:paraId="26081F4F" w14:textId="77777777" w:rsidTr="00230455">
        <w:tc>
          <w:tcPr>
            <w:tcW w:w="0" w:type="auto"/>
          </w:tcPr>
          <w:p w14:paraId="76D08E89"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39F924D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automātiskā tīrīšanas sistēma</w:t>
            </w:r>
          </w:p>
        </w:tc>
      </w:tr>
      <w:tr w:rsidR="00230455" w:rsidRPr="00230455" w14:paraId="287EAC23" w14:textId="77777777" w:rsidTr="00230455">
        <w:tc>
          <w:tcPr>
            <w:tcW w:w="0" w:type="auto"/>
          </w:tcPr>
          <w:p w14:paraId="20A5D831"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1563960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visas sliedes, vadotnes, filtri vai platformas komponenti, kas nepieciešami darbībai</w:t>
            </w:r>
            <w:r w:rsidR="000904C2" w:rsidRPr="000904C2">
              <w:rPr>
                <w:rFonts w:ascii="Times New Roman" w:eastAsia="Times New Roman" w:hAnsi="Times New Roman" w:cs="Times New Roman"/>
                <w:kern w:val="0"/>
                <w:highlight w:val="yellow"/>
                <w:lang w:eastAsia="en-GB"/>
                <w14:ligatures w14:val="none"/>
              </w:rPr>
              <w:t>(integrēts iekārtā un/vai piegādātajā ratiņu sistēmā)</w:t>
            </w:r>
          </w:p>
        </w:tc>
      </w:tr>
      <w:tr w:rsidR="00230455" w:rsidRPr="00230455" w14:paraId="4DD65EE9" w14:textId="77777777" w:rsidTr="00230455">
        <w:tc>
          <w:tcPr>
            <w:tcW w:w="0" w:type="auto"/>
          </w:tcPr>
          <w:p w14:paraId="1E9E734A"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3FB996A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kondensāta notekas savienojumi</w:t>
            </w:r>
          </w:p>
        </w:tc>
      </w:tr>
      <w:tr w:rsidR="00230455" w:rsidRPr="00230455" w14:paraId="206BBA02" w14:textId="77777777" w:rsidTr="00230455">
        <w:tc>
          <w:tcPr>
            <w:tcW w:w="0" w:type="auto"/>
            <w:hideMark/>
          </w:tcPr>
          <w:p w14:paraId="3403F85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DALĪBNIEKAM ir jāsniedz pilns visu iekļauto daļu saraksts.</w:t>
            </w:r>
          </w:p>
        </w:tc>
        <w:tc>
          <w:tcPr>
            <w:tcW w:w="0" w:type="auto"/>
            <w:hideMark/>
          </w:tcPr>
          <w:p w14:paraId="175B30CC"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135D737F" w14:textId="77777777" w:rsidTr="00230455">
        <w:tc>
          <w:tcPr>
            <w:tcW w:w="0" w:type="auto"/>
            <w:hideMark/>
          </w:tcPr>
          <w:p w14:paraId="5FCBA58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Dokumentācija</w:t>
            </w:r>
          </w:p>
        </w:tc>
        <w:tc>
          <w:tcPr>
            <w:tcW w:w="0" w:type="auto"/>
            <w:hideMark/>
          </w:tcPr>
          <w:p w14:paraId="229A453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Jāiesniedz: lietotāja rokasgrāmata, uzstādīšanas rokasgrāmata, tehniskā pase, apkopes instrukcijas, elektriskās shēmas, atbilstības deklarācija.</w:t>
            </w:r>
          </w:p>
        </w:tc>
      </w:tr>
      <w:tr w:rsidR="00230455" w:rsidRPr="00230455" w14:paraId="1697ED03" w14:textId="77777777" w:rsidTr="00230455">
        <w:tc>
          <w:tcPr>
            <w:tcW w:w="0" w:type="auto"/>
            <w:hideMark/>
          </w:tcPr>
          <w:p w14:paraId="03248AE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Atbilstība un CE marķējums</w:t>
            </w:r>
          </w:p>
        </w:tc>
        <w:tc>
          <w:tcPr>
            <w:tcW w:w="0" w:type="auto"/>
            <w:hideMark/>
          </w:tcPr>
          <w:p w14:paraId="2BF2A45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Ierīcei jāatbilst ES Mašīnu direktīvas, EMC un LVD prasībām. CE marķējums ir obligāts.</w:t>
            </w:r>
          </w:p>
        </w:tc>
      </w:tr>
      <w:tr w:rsidR="00230455" w:rsidRPr="00230455" w14:paraId="5C922B66" w14:textId="77777777" w:rsidTr="00230455">
        <w:tc>
          <w:tcPr>
            <w:tcW w:w="0" w:type="auto"/>
            <w:hideMark/>
          </w:tcPr>
          <w:p w14:paraId="5D6C4E2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Garantija</w:t>
            </w:r>
          </w:p>
        </w:tc>
        <w:tc>
          <w:tcPr>
            <w:tcW w:w="0" w:type="auto"/>
            <w:hideMark/>
          </w:tcPr>
          <w:p w14:paraId="1EFFF62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Vismaz 24 mēnešu pilna ražotāja vai piegādātāja garantija.</w:t>
            </w:r>
          </w:p>
        </w:tc>
      </w:tr>
    </w:tbl>
    <w:p w14:paraId="6E97D8F8"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09FE77B">
          <v:rect id="_x0000_i1026" alt="" style="width:451.3pt;height:.05pt;mso-width-percent:0;mso-height-percent:0;mso-width-percent:0;mso-height-percent:0" o:hralign="center" o:hrstd="t" o:hr="t" fillcolor="#a0a0a0" stroked="f"/>
        </w:pict>
      </w:r>
    </w:p>
    <w:p w14:paraId="526B9808"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Vārds, uzvārds, amats</w:t>
      </w:r>
    </w:p>
    <w:p w14:paraId="04B44127"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18055C4">
          <v:rect id="_x0000_i1027" alt="" style="width:451.3pt;height:.05pt;mso-width-percent:0;mso-height-percent:0;mso-width-percent:0;mso-height-percent:0" o:hralign="center" o:hrstd="t" o:hr="t" fillcolor="#a0a0a0" stroked="f"/>
        </w:pict>
      </w:r>
    </w:p>
    <w:p w14:paraId="12342B45"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paraksts</w:t>
      </w:r>
    </w:p>
    <w:p w14:paraId="766CAF15" w14:textId="77777777" w:rsidR="009929EE" w:rsidRPr="00230455" w:rsidRDefault="009929EE" w:rsidP="00230455"/>
    <w:sectPr w:rsidR="009929EE" w:rsidRPr="00230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EE"/>
    <w:rsid w:val="000904C2"/>
    <w:rsid w:val="000D5EBF"/>
    <w:rsid w:val="00155B20"/>
    <w:rsid w:val="001F7987"/>
    <w:rsid w:val="002131E9"/>
    <w:rsid w:val="00230455"/>
    <w:rsid w:val="002E4FF4"/>
    <w:rsid w:val="00375317"/>
    <w:rsid w:val="003C7703"/>
    <w:rsid w:val="00475816"/>
    <w:rsid w:val="00541314"/>
    <w:rsid w:val="006C1E61"/>
    <w:rsid w:val="00733DDD"/>
    <w:rsid w:val="008B2DD0"/>
    <w:rsid w:val="00911860"/>
    <w:rsid w:val="00932846"/>
    <w:rsid w:val="009929EE"/>
    <w:rsid w:val="00A96A1A"/>
    <w:rsid w:val="00B30084"/>
    <w:rsid w:val="00B455FA"/>
    <w:rsid w:val="00BA064A"/>
    <w:rsid w:val="00C81A8F"/>
    <w:rsid w:val="00D210E5"/>
    <w:rsid w:val="00DF3937"/>
    <w:rsid w:val="00F75BB4"/>
    <w:rsid w:val="00F777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92AD"/>
  <w15:chartTrackingRefBased/>
  <w15:docId w15:val="{861F727F-DA64-9447-9319-94F2FE8D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EE"/>
    <w:rPr>
      <w:rFonts w:eastAsiaTheme="majorEastAsia" w:cstheme="majorBidi"/>
      <w:color w:val="272727" w:themeColor="text1" w:themeTint="D8"/>
    </w:rPr>
  </w:style>
  <w:style w:type="paragraph" w:styleId="Title">
    <w:name w:val="Title"/>
    <w:basedOn w:val="Normal"/>
    <w:next w:val="Normal"/>
    <w:link w:val="TitleChar"/>
    <w:uiPriority w:val="10"/>
    <w:qFormat/>
    <w:rsid w:val="00992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EE"/>
    <w:pPr>
      <w:spacing w:before="160"/>
      <w:jc w:val="center"/>
    </w:pPr>
    <w:rPr>
      <w:i/>
      <w:iCs/>
      <w:color w:val="404040" w:themeColor="text1" w:themeTint="BF"/>
    </w:rPr>
  </w:style>
  <w:style w:type="character" w:customStyle="1" w:styleId="QuoteChar">
    <w:name w:val="Quote Char"/>
    <w:basedOn w:val="DefaultParagraphFont"/>
    <w:link w:val="Quote"/>
    <w:uiPriority w:val="29"/>
    <w:rsid w:val="009929EE"/>
    <w:rPr>
      <w:i/>
      <w:iCs/>
      <w:color w:val="404040" w:themeColor="text1" w:themeTint="BF"/>
    </w:rPr>
  </w:style>
  <w:style w:type="paragraph" w:styleId="ListParagraph">
    <w:name w:val="List Paragraph"/>
    <w:basedOn w:val="Normal"/>
    <w:uiPriority w:val="34"/>
    <w:qFormat/>
    <w:rsid w:val="009929EE"/>
    <w:pPr>
      <w:ind w:left="720"/>
      <w:contextualSpacing/>
    </w:pPr>
  </w:style>
  <w:style w:type="character" w:styleId="IntenseEmphasis">
    <w:name w:val="Intense Emphasis"/>
    <w:basedOn w:val="DefaultParagraphFont"/>
    <w:uiPriority w:val="21"/>
    <w:qFormat/>
    <w:rsid w:val="009929EE"/>
    <w:rPr>
      <w:i/>
      <w:iCs/>
      <w:color w:val="0F4761" w:themeColor="accent1" w:themeShade="BF"/>
    </w:rPr>
  </w:style>
  <w:style w:type="paragraph" w:styleId="IntenseQuote">
    <w:name w:val="Intense Quote"/>
    <w:basedOn w:val="Normal"/>
    <w:next w:val="Normal"/>
    <w:link w:val="IntenseQuoteChar"/>
    <w:uiPriority w:val="30"/>
    <w:qFormat/>
    <w:rsid w:val="00992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9EE"/>
    <w:rPr>
      <w:i/>
      <w:iCs/>
      <w:color w:val="0F4761" w:themeColor="accent1" w:themeShade="BF"/>
    </w:rPr>
  </w:style>
  <w:style w:type="character" w:styleId="IntenseReference">
    <w:name w:val="Intense Reference"/>
    <w:basedOn w:val="DefaultParagraphFont"/>
    <w:uiPriority w:val="32"/>
    <w:qFormat/>
    <w:rsid w:val="009929EE"/>
    <w:rPr>
      <w:b/>
      <w:bCs/>
      <w:smallCaps/>
      <w:color w:val="0F4761" w:themeColor="accent1" w:themeShade="BF"/>
      <w:spacing w:val="5"/>
    </w:rPr>
  </w:style>
  <w:style w:type="paragraph" w:styleId="NormalWeb">
    <w:name w:val="Normal (Web)"/>
    <w:basedOn w:val="Normal"/>
    <w:uiPriority w:val="99"/>
    <w:semiHidden/>
    <w:unhideWhenUsed/>
    <w:rsid w:val="009929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29EE"/>
    <w:rPr>
      <w:b/>
      <w:bCs/>
    </w:rPr>
  </w:style>
  <w:style w:type="table" w:styleId="TableGridLight">
    <w:name w:val="Grid Table Light"/>
    <w:basedOn w:val="TableNormal"/>
    <w:uiPriority w:val="40"/>
    <w:rsid w:val="009929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RB Premiere Capital Holding SIA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Renaldas Borunovas</dc:creator>
  <cp:keywords/>
  <dc:description/>
  <cp:lastModifiedBy>Raimonds Perkons</cp:lastModifiedBy>
  <cp:revision>6</cp:revision>
  <dcterms:created xsi:type="dcterms:W3CDTF">2025-12-15T07:28:00Z</dcterms:created>
  <dcterms:modified xsi:type="dcterms:W3CDTF">2025-12-19T07:51:00Z</dcterms:modified>
</cp:coreProperties>
</file>