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2CA4D06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3129D" w:rsidRPr="00B31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FISH PREPARATION TABLE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0E3BC75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453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1453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453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1453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1453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145323" w:rsidRPr="003842CB">
        <w:t xml:space="preserve"> </w:t>
      </w:r>
      <w:r w:rsidR="001453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1453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453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14532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14532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45323"/>
    <w:rsid w:val="001979F4"/>
    <w:rsid w:val="001D618C"/>
    <w:rsid w:val="002807D6"/>
    <w:rsid w:val="0046189A"/>
    <w:rsid w:val="0048391E"/>
    <w:rsid w:val="00911E61"/>
    <w:rsid w:val="00B3129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2025-11-20T11:14:00Z</dcterms:modified>
</cp:coreProperties>
</file>