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="http://schemas.openxmlformats.org/drawingml/2006/wordprocessingDrawing" xmlns:o="urn:schemas-microsoft-com:office:office" xmlns:v="urn:schemas-microsoft-com:vml" xmlns:w="http://schemas.openxmlformats.org/wordprocessingml/2006/main" xmlns:r="http://schemas.openxmlformats.org/officeDocument/2006/relationships" xmlns:mc="http://schemas.openxmlformats.org/markup-compatibility/2006" xmlns:w10="urn:schemas-microsoft-com:office:word" xmlns:wps="http://schemas.microsoft.com/office/word/2010/wordprocessingShape" xmlns:w14="http://schemas.microsoft.com/office/word/2010/wordml" xmlns:wp14="http://schemas.microsoft.com/office/word/2010/wordprocessingDrawing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leftMargin">
                  <wp:align>left</wp:align>
                </wp:positionH>
                <wp:positionV relativeFrom="page">
                  <wp:posOffset>0</wp:posOffset>
                </wp:positionV>
                <wp:extent cx="7765200" cy="219600"/>
                <wp:effectExtent l="0" t="0" r="0" b="9525"/>
                <wp:wrapNone/>
                <wp:docPr id="100010111" name="ODT_ATTR_LBL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65200" cy="2196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!--  bidi  -->
                              <w:spacing w:line="240" w:lineRule="auto"/>
                              <w:contextualSpacing/>
                              <w:jc w:val="left"/>
                            </w:pPr>
                            <w:r>
                              <w:rPr>
                                <w:noProof/>
                                <w:position w:val="-6"/>
                                <!-- rtl -->
                              </w:rPr>
                              <w:drawing>
                                <wp:inline distT="0" distB="0" distL="0" distR="0">
                                  <wp:extent cx="316230" cy="179705"/>
                                  <wp:effectExtent l="0" t="0" r="0" b="0"/>
                                  <wp:docPr id="100010001" name="LOGO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0010001" name="LOGO"/>
                                          <pic:cNvPicPr/>
                                        </pic:nvPicPr>
                                        <pic:blipFill>
                                          <a:blip r:embed="r_odt_logo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6230" cy="1797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Roboto" w:hAnsi="Roboto"/>
                                <w:color w:val="0F2B46"/>
                                <w:szCs w:val="18"/>
                              </w:rPr>
                              <w:t xml:space="preserve"> </w:t>
                            </w:r>
                            <w:hyperlink r:id="r_odt_hyperlink" w:history="1" w:tooltip="Doc Translator - www.onlinedoctranslator.com">
                              <w:r>
                                <w:rPr>
                                  <w:rFonts w:ascii="Roboto" w:hAnsi="Roboto"/>
                                  <w:color w:val="0F2B46"/>
                                  <w:sz w:val="18"/>
                                  <w:szCs w:val="18"/>
                                  <!-- rtl -->
                                </w:rPr>
                                <w:t xml:space="preserve">Translated from English to Latvian - </w:t>
                              </w:r>
                              <w:r>
                                <w:rPr>
                                  <w:rFonts w:ascii="Roboto" w:hAnsi="Roboto"/>
                                  <w:color w:val="0F2B46"/>
                                  <w:sz w:val="18"/>
                                  <w:szCs w:val="18"/>
                                  <w:u w:val="single"/>
                                </w:rPr>
                                <w:t>www.onlinedoctranslator.com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DT_ATTR_LBL_SHAPE" type="#_x0000_t202" style="position:absolute;left:0;text-align:left;margin-left:0;margin-top:0;width:611.45pt;height:17.3pt;z-index:251659264;visibility:visible;mso-wrap-style:square;mso-width-percent:100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1000;mso-height-percent:0;mso-width-relative:page;mso-height-relative:margin;v-text-anchor:top" o:gfxdata="" fillcolor="#f2f2f2" stroked="f">
                <v:textbox inset=",0,,0">
                  <w:txbxContent>
                    <w:p>
                      <w:pPr>
                        <w:bidi/>
                        <w:spacing w:line="240" w:lineRule="auto"/>
                        <w:contextualSpacing/>
                        <w:jc w:val="left"/>
                      </w:pPr>
                      <w:r>
                        <w:rPr>
                          <w:noProof/>
                          <w:position w:val="-6"/>
                        </w:rPr>
                        <w:drawing>
                          <wp:inline distT="0" distB="0" distL="0" distR="0">
                            <wp:extent cx="316230" cy="179705"/>
                            <wp:effectExtent l="0" t="0" r="0" b="0"/>
                            <wp:docPr id="100010001" name="LOGO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0010001" name="LOGO"/>
                                    <pic:cNvPicPr/>
                                  </pic:nvPicPr>
                                  <pic:blipFill>
                                    <a:blip r:embed="r_odt_logo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6230" cy="1797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Roboto" w:hAnsi="Roboto"/>
                          <w:color w:val="0F2B46"/>
                          <w:szCs w:val="18"/>
                        </w:rPr>
                        <w:t xml:space="preserve"> </w:t>
                      </w:r>
                      <w:hyperlink r:id="r_odt_hyperlink" w:history="1" w:tooltip="Doc Translator - www.onlinedoctranslator.com">
                        <w:r>
                          <w:rPr>
                            <w:rFonts w:ascii="Roboto" w:hAnsi="Roboto"/>
                            <w:color w:val="0F2B46"/>
                            <w:sz w:val="18"/>
                            <w:szCs w:val="18"/>
                            <!-- rtl -->
                          </w:rPr>
                          <w:t xml:space="preserve">Translated from English to Latvian - </w:t>
                        </w:r>
                        <w:r>
                          <w:rPr>
                            <w:rFonts w:ascii="Roboto" w:hAnsi="Roboto"/>
                            <w:color w:val="0F2B46"/>
                            <w:sz w:val="18"/>
                            <w:szCs w:val="18"/>
                            <w:u w:val="single"/>
                          </w:rPr>
                          <w:t>www.onlinedoctranslator.com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4202EAC" w14:textId="77777777" w:rsidR="00FB2DEC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2. pielikums</w:t>
      </w:r>
    </w:p>
    <w:p w14:paraId="21AB4F3F" w14:textId="77777777" w:rsidR="00FB2DEC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Tehniskā specifikācija</w:t>
      </w:r>
    </w:p>
    <w:p w14:paraId="440BDC15" w14:textId="77777777" w:rsidR="00FB2DEC" w:rsidRDefault="00000000">
      <w:pPr>
        <w:pStyle w:val="Heading3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Rūpniecisko zivju apstrādes galdu iegāde (šķirošana/sagatavošana)</w:t>
      </w:r>
    </w:p>
    <w:p w14:paraId="1606F450" w14:textId="77777777" w:rsidR="00FB2DEC" w:rsidRDefault="00FB2DEC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" w:eastAsia="Google Sans" w:hAnsi="Google Sans" w:cs="Google Sans"/>
          <w:color w:val="1B1C1D"/>
        </w:rPr>
      </w:pP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FB2DEC" w14:paraId="655A8CDE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3D75D02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17D532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Prasība</w:t>
            </w:r>
          </w:p>
        </w:tc>
      </w:tr>
      <w:tr w:rsidR="00FB2DEC" w14:paraId="22BA1931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DB1935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DALĪBNIEKS sniedz informāciju vai pierādījumus par katru prasību.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962EA0F" w14:textId="77777777" w:rsidR="00FB2DEC" w:rsidRDefault="00FB2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FB2DEC" w14:paraId="02C6CE5F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8653B2D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Daudzums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9C070A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4 gab.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– Rūpnieciskās zivju apstrādes galdi (šķirošanas/sagatavošanas galdi).</w:t>
            </w:r>
          </w:p>
        </w:tc>
      </w:tr>
      <w:tr w:rsidR="00FB2DEC" w14:paraId="7558E526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E7CDC8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Mērķis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ACE3F23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Zivju produktu manuāla šķirošana, sagatavošana, porciju sadalīšana un apgriešana. Dizainam jābūt ārkārtīgi higiēniskam un izturīgam pret zivju apstrādes korozīvo vidi (sāls/sālījums/ūdens).</w:t>
            </w:r>
          </w:p>
        </w:tc>
      </w:tr>
      <w:tr w:rsidR="00FB2DEC" w14:paraId="495C48B1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5BCEEC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1. Ārējie izmēri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1E3822" w14:textId="77777777" w:rsidR="00FB2DEC" w:rsidRDefault="00FB2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FB2DEC" w14:paraId="0F5DB294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45D8E0E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Ārējais garums (L)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1FB489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1580 mm–1620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B2DEC" w14:paraId="4F406425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98A432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Ārējais dziļums (D)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2DFD022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690 mm–710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B2DEC" w14:paraId="37FF6D40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44EB754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Ārējais augstums (A)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DC1432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840 mm–860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B2DEC" w14:paraId="36DB9118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0EF4BC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2. Konstrukcija un materiāli (kritiski)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CFAAE3" w14:textId="77777777" w:rsidR="00FB2DEC" w:rsidRDefault="00FB2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FB2DEC" w14:paraId="287AB3F7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5A1C43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Materiāls (minimums)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FB0850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Izgatavots no AISI 304 nerūsējošā tērauda.</w:t>
            </w:r>
          </w:p>
        </w:tc>
      </w:tr>
      <w:tr w:rsidR="00FB2DEC" w14:paraId="5096B082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56C87A" w14:textId="77777777" w:rsidR="00FB2DEC" w:rsidRPr="001A0B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</w:pPr>
            <w:r w:rsidRPr="001A0B53"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  <w:lastRenderedPageBreak/>
              <w:t>* Materiāls (ieteikums)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559735" w14:textId="77777777" w:rsidR="00FB2DEC" w:rsidRPr="001A0B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</w:pPr>
            <w:r w:rsidRPr="001A0B53"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  <w:t>Zivju apstrādes korozīvās vides dēļ materiālam jābūt specializētam vai pastiprinātam (ļoti ieteicams izmantot AISI 316).</w:t>
            </w:r>
          </w:p>
        </w:tc>
      </w:tr>
      <w:tr w:rsidR="00FB2DEC" w14:paraId="6B18C640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FFE466A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Tipoloģija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E02C86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Izstrādāts ar kājām/rāmi brīvi stāvošai montāžai uz grīdas.</w:t>
            </w:r>
          </w:p>
        </w:tc>
      </w:tr>
      <w:tr w:rsidR="00FB2DEC" w14:paraId="3039160F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7A8095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3. Darba virsmas konfigurācija (pielāgots izkārtojums)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A3AD37" w14:textId="77777777" w:rsidR="00FB2DEC" w:rsidRDefault="00FB2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FB2DEC" w14:paraId="7FABB479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1019B0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Darba virsmas biezums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B63F6B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Tērauda darba virsmas biezumam jābūt 38–42 mm.</w:t>
            </w:r>
          </w:p>
        </w:tc>
      </w:tr>
      <w:tr w:rsidR="00FB2DEC" w14:paraId="0D703999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378688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Darba virsmas mala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3103EB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Darba virsmas malai (darba virsmas biezumam jābūt redzamam no sāniem) jābūt vismaz 40 mm biezam.</w:t>
            </w:r>
          </w:p>
        </w:tc>
      </w:tr>
      <w:tr w:rsidR="00FB2DEC" w14:paraId="6272E3B2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55E534A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Sienas aizsargs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ADF3E8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Jāiekļauj aizmugurējais atbalsta balsts (šļakatu aizsargs) ar augstumu 90–110 mm.</w:t>
            </w:r>
          </w:p>
        </w:tc>
      </w:tr>
      <w:tr w:rsidR="00FB2DEC" w14:paraId="134EF95B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960A63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* Atkritumu apglabāšana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19794A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Darba virsmas labajā pusē jābūt iebūvētai atverei/renei ātrai zivju atkritumu izvešanai.</w:t>
            </w:r>
          </w:p>
        </w:tc>
      </w:tr>
      <w:tr w:rsidR="00FB2DEC" w14:paraId="3DC55557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7C0D9FF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* Griešanas/apstrādes zona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77DF7C" w14:textId="71B81836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Griešanai/apstrādei darba virsmas kreisajā pusē jāuzstāda specializēts pārtikas kvalitātes plastmasas ieliktnis/lente (PE vai līdzvērtīgs), kura maksimālais platums ir 180 mm.</w:t>
            </w:r>
            <w:r w:rsidRPr="001A0B53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240 mm</w:t>
            </w:r>
            <w:r w:rsidRPr="001A0B53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.</w:t>
            </w:r>
          </w:p>
        </w:tc>
      </w:tr>
      <w:tr w:rsidR="00FB2DEC" w14:paraId="65876FC7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67B469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* Drenāžas zona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80F6C3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Atlikušajai nerūsējošā tērauda darba virsmai jābūt izgatavotai ar nelielu iedobumu/padziļinājumu, lai atvieglotu šķidruma noteci/noplūdi virzienā uz aizmuguri.</w:t>
            </w:r>
          </w:p>
        </w:tc>
      </w:tr>
      <w:tr w:rsidR="00FB2DEC" w14:paraId="01B09C92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D81670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* Higiēna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7E184CD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Visām virsmām jābūt gludām, pilnībā sametinātām un tām jābūt viegli tīrāmām un mazgājamām ar augstspiediena strūklu.</w:t>
            </w:r>
          </w:p>
        </w:tc>
      </w:tr>
      <w:tr w:rsidR="00FB2DEC" w14:paraId="0F077E51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F733652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Kājas/pamatne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F7EB38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Stabilai grīdas montāžai jābūt iekļautai regulējamām nerūsējošā tērauda kājām/kājiņiem.</w:t>
            </w:r>
          </w:p>
        </w:tc>
      </w:tr>
      <w:tr w:rsidR="00FB2DEC" w14:paraId="070BF1FB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D859B08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4. Atbilstība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993ED2" w14:textId="77777777" w:rsidR="00FB2DEC" w:rsidRDefault="00FB2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FB2DEC" w14:paraId="5B4D5233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4EEF0A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Standarti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355011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Jāievēro piemērojamie ES noteikumi par materiāliem, kas nonāk saskarē ar pārtiku, un higiēnas standarti (HACCP).</w:t>
            </w:r>
          </w:p>
        </w:tc>
      </w:tr>
      <w:tr w:rsidR="00FB2DEC" w14:paraId="6FB1E8C1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5746F1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Pilns funkcionālais komplekts (obligāts)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F497246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Piegādātājam jānodrošina četru pilnīgu un pilnībā funkcionējošu galda bloku piegāde, iekļaujot norādīto pielāgoto izkārtojumu (kreisās puses plastmasas līste, labās puses notekcaurule, padziļināta drenāžas virsma). Piedāvājumā skaidri jāiekļauj: galda bloks (darba virsma/šļakatu aizsargs/rāmis), kājas, regulējamas pēdas un uzstādīta plastmasas griešanas līste.</w:t>
            </w:r>
          </w:p>
        </w:tc>
      </w:tr>
      <w:tr w:rsidR="00FB2DEC" w14:paraId="359EE4AD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3B2196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Dokumentācija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843981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Jāpiegādā: lietotāja rokasgrāmata, montāžas instrukcijas un CE atbilstības deklarācija latviešu vai angļu valodā.</w:t>
            </w:r>
          </w:p>
        </w:tc>
      </w:tr>
      <w:tr w:rsidR="00FB2DEC" w14:paraId="4C6860C0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BB7A062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Garantija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9099C8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Vismaz 24 mēnešu pilna ražotāja vai piegādātāja garantija.</w:t>
            </w:r>
          </w:p>
        </w:tc>
      </w:tr>
    </w:tbl>
    <w:p w14:paraId="5B549072" w14:textId="77777777" w:rsidR="00FB2DEC" w:rsidRDefault="00FB2D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oogle Sans Text" w:eastAsia="Google Sans Text" w:hAnsi="Google Sans Text" w:cs="Google Sans Text"/>
          <w:color w:val="1B1C1D"/>
        </w:rPr>
      </w:pPr>
    </w:p>
    <w:sectPr w:rsidR="00FB2DEC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2B94B44E-748D-D549-9054-A6B104940448}"/>
    <w:embedBold r:id="rId2" w:fontKey="{6B9AFB07-48DB-E647-8FE1-D09D432102E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5EE92FF2-24CE-284E-A566-B4EC074396B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D5C9D8A1-FFD6-5F42-A05D-45A8589436BD}"/>
  </w:font>
  <w:font w:name="Google Sans">
    <w:altName w:val="Calibri"/>
    <w:panose1 w:val="020B0604020202020204"/>
    <w:charset w:val="00"/>
    <w:family w:val="auto"/>
    <w:pitch w:val="default"/>
    <w:embedBold r:id="rId6" w:fontKey="{0E448704-C06E-044D-9A85-B6241C43299A}"/>
  </w:font>
  <w:font w:name="Google Sans Text">
    <w:altName w:val="Calibri"/>
    <w:panose1 w:val="020B0604020202020204"/>
    <w:charset w:val="00"/>
    <w:family w:val="auto"/>
    <w:pitch w:val="default"/>
    <w:embedBold r:id="rId8" w:fontKey="{215874B4-3D73-4C4E-8DAB-67D70F32E3EC}"/>
    <w:embedBoldItalic r:id="rId9" w:fontKey="{C4A80FAB-F8FC-4E49-B3AF-050AEFB0041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35ED382B-7A34-C446-8E6D-B6A0DF095E0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26CECFFA-CE43-BB46-93A1-C3834CC9D22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DEC"/>
    <w:rsid w:val="001A0B53"/>
    <w:rsid w:val="001C2228"/>
    <w:rsid w:val="005B145C"/>
    <w:rsid w:val="0085777E"/>
    <w:rsid w:val="00D210E5"/>
    <w:rsid w:val="00FB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9638412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L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_odt_hyperlink" Type="http://schemas.openxmlformats.org/officeDocument/2006/relationships/hyperlink" Target="https://www.onlinedoctranslator.com/en/?utm_source=onlinedoctranslator&amp;utm_medium=docx&amp;utm_campaign=attribution" TargetMode="External"/><Relationship Id="r_odt_logo" Type="http://schemas.openxmlformats.org/officeDocument/2006/relationships/image" Target="media/odt_attribution_logo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390</Words>
  <Characters>2310</Characters>
  <Application>Microsoft Office Word</Application>
  <DocSecurity>0</DocSecurity>
  <Lines>100</Lines>
  <Paragraphs>58</Paragraphs>
  <ScaleCrop>false</ScaleCrop>
  <Company>RB Premiere Capital Holding SIA</Company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Renaldas Borunovas</cp:lastModifiedBy>
  <cp:revision>2</cp:revision>
  <dcterms:created xsi:type="dcterms:W3CDTF">2025-12-05T21:18:00Z</dcterms:created>
  <dcterms:modified xsi:type="dcterms:W3CDTF">2025-12-05T21:18:00Z</dcterms:modified>
</cp:coreProperties>
</file>