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D294" w14:textId="73B906F2" w:rsidR="004E6070" w:rsidRDefault="004E6070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E60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DIVU STACIJU AKTĪVĀS APGRIEŠANAS LĪNIJAS (ATL)</w:t>
      </w:r>
    </w:p>
    <w:p w14:paraId="6FD9D6E6" w14:textId="7BC426CF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4E6070"/>
    <w:rsid w:val="00911E61"/>
    <w:rsid w:val="009442C5"/>
    <w:rsid w:val="009D7966"/>
    <w:rsid w:val="00B72A09"/>
    <w:rsid w:val="00BC7A7B"/>
    <w:rsid w:val="00C344C6"/>
    <w:rsid w:val="00D46945"/>
    <w:rsid w:val="00D5348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803</Words>
  <Characters>4582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2025-11-21T19:12:00Z</dcterms:modified>
</cp:coreProperties>
</file>