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23006905" w14:textId="77777777" w:rsidR="00C322B0" w:rsidRDefault="00C322B0" w:rsidP="00C32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F65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IZOLĒTĀ DZESĒŠANAS TVERTNE KAVIĀRAM_PĀRTIKAS PĀRSTRĀDE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54041E"/>
    <w:rsid w:val="00603B0A"/>
    <w:rsid w:val="00626452"/>
    <w:rsid w:val="0085341E"/>
    <w:rsid w:val="009046C2"/>
    <w:rsid w:val="00BC7A7B"/>
    <w:rsid w:val="00C322B0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1420</Characters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2025-11-22T11:17:00Z</dcterms:modified>
</cp:coreProperties>
</file>