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</w:t>
      </w:r>
      <w:proofErr w:type="spellStart"/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20CEA377" w14:textId="77777777" w:rsidR="00C079CF" w:rsidRDefault="00C079CF" w:rsidP="00C07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F65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IZOLĒTĀ DZESĒŠANAS TVERTNE KAVIĀRAM_PĀRTIKAS PĀRSTRĀDE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133"/>
        <w:gridCol w:w="1191"/>
        <w:gridCol w:w="1269"/>
        <w:gridCol w:w="1423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7A80EF01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C079CF" w:rsidRPr="00C079C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 IZOLĒTĀ DZESĒŠANAS TVERTNE KAVIĀRAM_PĀRTIKAS PĀRSTRĀDE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4041E"/>
    <w:rsid w:val="005E67C2"/>
    <w:rsid w:val="0070628F"/>
    <w:rsid w:val="007C4FBC"/>
    <w:rsid w:val="00853964"/>
    <w:rsid w:val="009F14F2"/>
    <w:rsid w:val="00B10D9D"/>
    <w:rsid w:val="00BC7A7B"/>
    <w:rsid w:val="00C079CF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826</Characters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2025-11-22T11:17:00Z</dcterms:modified>
</cp:coreProperties>
</file>