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B2EB" w14:textId="77777777" w:rsidR="00AF6681" w:rsidRDefault="00DD75EA">
      <w:pPr>
        <w:spacing w:after="0" w:line="259" w:lineRule="auto"/>
        <w:ind w:left="0" w:right="18" w:firstLine="0"/>
        <w:jc w:val="center"/>
      </w:pPr>
      <w:r>
        <w:rPr>
          <w:sz w:val="44"/>
        </w:rPr>
        <w:t xml:space="preserve">IEPIRKUMA NOLIKUMS </w:t>
      </w:r>
    </w:p>
    <w:p w14:paraId="3E26C2DA" w14:textId="77777777" w:rsidR="00AF6681" w:rsidRDefault="00DD75EA">
      <w:pPr>
        <w:spacing w:after="56" w:line="259" w:lineRule="auto"/>
        <w:ind w:left="-29" w:right="-27" w:firstLine="0"/>
        <w:jc w:val="left"/>
      </w:pPr>
      <w:r>
        <w:rPr>
          <w:rFonts w:ascii="Calibri" w:eastAsia="Calibri" w:hAnsi="Calibri" w:cs="Calibri"/>
          <w:noProof/>
        </w:rPr>
        <mc:AlternateContent>
          <mc:Choice Requires="wpg">
            <w:drawing>
              <wp:inline distT="0" distB="0" distL="0" distR="0" wp14:anchorId="7734155D" wp14:editId="24247830">
                <wp:extent cx="5523865" cy="12192"/>
                <wp:effectExtent l="0" t="0" r="0" b="0"/>
                <wp:docPr id="9075" name="Group 9075"/>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10826" name="Shape 10826"/>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9075" style="width:434.95pt;height:0.960022pt;mso-position-horizontal-relative:char;mso-position-vertical-relative:line" coordsize="55238,121">
                <v:shape id="Shape 10827" style="position:absolute;width:55238;height:121;left:0;top:0;" coordsize="5523865,12192" path="m0,0l5523865,0l5523865,12192l0,12192l0,0">
                  <v:stroke weight="0pt" endcap="flat" joinstyle="miter" miterlimit="10" on="false" color="#000000" opacity="0"/>
                  <v:fill on="true" color="#4f81bd"/>
                </v:shape>
              </v:group>
            </w:pict>
          </mc:Fallback>
        </mc:AlternateContent>
      </w:r>
    </w:p>
    <w:p w14:paraId="700E0B18" w14:textId="41B2202D" w:rsidR="00AF6681" w:rsidRDefault="00DD75EA">
      <w:pPr>
        <w:spacing w:after="621" w:line="259" w:lineRule="auto"/>
        <w:ind w:left="0" w:right="4" w:firstLine="0"/>
        <w:jc w:val="center"/>
      </w:pPr>
      <w:r>
        <w:t>Nr. RPA/202</w:t>
      </w:r>
      <w:r w:rsidR="006246F8">
        <w:t>6</w:t>
      </w:r>
      <w:r>
        <w:t xml:space="preserve">-DIGI-01 </w:t>
      </w:r>
    </w:p>
    <w:p w14:paraId="65CC991E" w14:textId="77777777" w:rsidR="00AF6681" w:rsidRDefault="00DD75EA">
      <w:pPr>
        <w:pStyle w:val="Heading1"/>
        <w:spacing w:after="87"/>
        <w:ind w:left="244" w:hanging="259"/>
      </w:pPr>
      <w:r>
        <w:rPr>
          <w:sz w:val="26"/>
        </w:rPr>
        <w:t xml:space="preserve">Vispārīgā informācija </w:t>
      </w:r>
    </w:p>
    <w:p w14:paraId="751B0869" w14:textId="77777777" w:rsidR="00AF6681" w:rsidRDefault="00DD75EA">
      <w:pPr>
        <w:ind w:left="-5"/>
      </w:pPr>
      <w:r>
        <w:t xml:space="preserve">1.1. Iepirkuma identifikācijas numurs ir RPA/2025-DIGI-01. </w:t>
      </w:r>
    </w:p>
    <w:p w14:paraId="291E8F4B" w14:textId="7FCA1F2F" w:rsidR="00AF6681" w:rsidRDefault="00DD75EA">
      <w:pPr>
        <w:spacing w:after="0" w:line="357" w:lineRule="auto"/>
        <w:ind w:left="-5"/>
      </w:pPr>
      <w:r>
        <w:t xml:space="preserve">1.2. </w:t>
      </w:r>
      <w:r w:rsidR="00635DE1" w:rsidRPr="00635DE1">
        <w:t>Iepirkuma priekšmets ir automātiska maliņu apstrādes iekārta ar integrētu mākslīgā intelekta (AI) vizuālās kvalitātes kontroles risinājumu, kas nodrošina ražošanas procesa digitalizāciju un automatizāciju, AI balstītu vizuālo defektu atpazīšanu, izmantojot industriālo kameru, kvalitātes kontroles procesa automatizāciju reāllaikā, datu uzkrāšanu un analīzi lēmumu pieņemšanas vajadzībām</w:t>
      </w:r>
    </w:p>
    <w:p w14:paraId="146C007F" w14:textId="77777777" w:rsidR="00AF6681" w:rsidRDefault="00DD75EA">
      <w:pPr>
        <w:spacing w:after="0" w:line="356" w:lineRule="auto"/>
        <w:ind w:left="-5"/>
      </w:pPr>
      <w:r>
        <w:t xml:space="preserve">1.3. Pasūtītājs ir SIA “Rīgas Partneri Art”, reģistrācijas Nr. 50203084841, juridiskā adrese Tvaikoņu iela 5, Rīga, LV-1007. </w:t>
      </w:r>
    </w:p>
    <w:p w14:paraId="0E5BD039" w14:textId="77777777" w:rsidR="00AF6681" w:rsidRDefault="00DD75EA">
      <w:pPr>
        <w:spacing w:after="0" w:line="356" w:lineRule="auto"/>
        <w:ind w:left="-5"/>
      </w:pPr>
      <w:r>
        <w:t xml:space="preserve">1.4. Kontaktpersona no Pasūtītāja puses ir Sergejs Segals, valdes loceklis, e-pasts: segal@rpgroup.lv, tālrunis: +371 29277617. </w:t>
      </w:r>
    </w:p>
    <w:p w14:paraId="734FC424" w14:textId="77777777" w:rsidR="00AF6681" w:rsidRDefault="00DD75EA">
      <w:pPr>
        <w:spacing w:after="0" w:line="356" w:lineRule="auto"/>
        <w:ind w:left="-5"/>
      </w:pPr>
      <w:r>
        <w:t xml:space="preserve">1.5. Finansējuma avots ir programma “Atbalsts procesu digitalizācijai un mākslīgā intelekta risinājumiem”. </w:t>
      </w:r>
    </w:p>
    <w:p w14:paraId="56248413" w14:textId="77777777" w:rsidR="00AF6681" w:rsidRDefault="00DD75EA">
      <w:pPr>
        <w:ind w:left="-5"/>
      </w:pPr>
      <w:r>
        <w:t xml:space="preserve">1.6. Līguma veids ir viens piegādes un uzstādīšanas līgums par visu iepirkuma priekšmetu. </w:t>
      </w:r>
    </w:p>
    <w:p w14:paraId="51EBB56D" w14:textId="77777777" w:rsidR="00AF6681" w:rsidRDefault="00DD75EA">
      <w:pPr>
        <w:ind w:left="-5"/>
      </w:pPr>
      <w:r>
        <w:t xml:space="preserve">1.7. Līguma izpildes vieta ir Pasūtītāja ražotne Rīgā. </w:t>
      </w:r>
    </w:p>
    <w:p w14:paraId="5A9BFF59" w14:textId="77777777" w:rsidR="00AF6681" w:rsidRDefault="00DD75EA">
      <w:pPr>
        <w:ind w:left="-5"/>
      </w:pPr>
      <w:r>
        <w:t xml:space="preserve">1.8. Līguma izpildes termiņš ir ne vēlāk kā seši mēneši no līguma parakstīšanas dienas. </w:t>
      </w:r>
    </w:p>
    <w:p w14:paraId="2D9FD0A0" w14:textId="77777777" w:rsidR="00AF6681" w:rsidRDefault="00DD75EA">
      <w:pPr>
        <w:ind w:left="-5"/>
      </w:pPr>
      <w:r>
        <w:t xml:space="preserve">1.9. Piedāvājuma derīguma termiņš ir deviņdesmit kalendārās dienas no iesniegšanas dienas. </w:t>
      </w:r>
    </w:p>
    <w:p w14:paraId="6713550D" w14:textId="77777777" w:rsidR="00AF6681" w:rsidRDefault="00DD75EA">
      <w:pPr>
        <w:ind w:left="-5"/>
      </w:pPr>
      <w:r>
        <w:t xml:space="preserve">1.10. Iepirkuma procedūras veids ir atklāts konkurss saskaņā Ministru kabineta 2017.gada </w:t>
      </w:r>
    </w:p>
    <w:p w14:paraId="6BB2C623" w14:textId="77777777" w:rsidR="00AF6681" w:rsidRDefault="00DD75EA">
      <w:pPr>
        <w:spacing w:after="103" w:line="259" w:lineRule="auto"/>
        <w:ind w:left="-5"/>
        <w:jc w:val="left"/>
      </w:pPr>
      <w:r>
        <w:t xml:space="preserve">28.februāra noteikumiem Nr. 104 un programmas noteikumiem. </w:t>
      </w:r>
    </w:p>
    <w:p w14:paraId="44681491" w14:textId="77777777" w:rsidR="00AF6681" w:rsidRDefault="00DD75EA">
      <w:pPr>
        <w:spacing w:after="535" w:line="356" w:lineRule="auto"/>
        <w:ind w:left="-5"/>
      </w:pPr>
      <w:r>
        <w:t xml:space="preserve">1.11. Plānotais līguma slēgšanas datums ir ne vēlāk kā trīs mēnešu laikā pēc iepirkuma uzvarētāja pasludināšanas. </w:t>
      </w:r>
    </w:p>
    <w:p w14:paraId="67E9CF39" w14:textId="77777777" w:rsidR="00AF6681" w:rsidRDefault="00DD75EA">
      <w:pPr>
        <w:pStyle w:val="Heading1"/>
        <w:spacing w:after="316"/>
        <w:ind w:left="266" w:hanging="281"/>
      </w:pPr>
      <w:r>
        <w:t xml:space="preserve">Iepirkuma prasības un nosacījumi </w:t>
      </w:r>
    </w:p>
    <w:p w14:paraId="0FBFA1AA" w14:textId="77777777" w:rsidR="00AF6681" w:rsidRDefault="00DD75EA">
      <w:pPr>
        <w:pStyle w:val="Heading2"/>
        <w:ind w:left="439" w:hanging="454"/>
      </w:pPr>
      <w:r>
        <w:t xml:space="preserve">Piegādātāja garantija </w:t>
      </w:r>
    </w:p>
    <w:p w14:paraId="45A9B612" w14:textId="77777777" w:rsidR="00AF6681" w:rsidRPr="00791200" w:rsidRDefault="00DD75EA">
      <w:pPr>
        <w:spacing w:after="236" w:line="356" w:lineRule="auto"/>
        <w:ind w:left="-5"/>
      </w:pPr>
      <w:r w:rsidRPr="00791200">
        <w:t xml:space="preserve">Piegādātājam ir jānodrošina, ka piegādātajai iekārtai tiek piemērota ne mazāka kā 12 (divpadsmit) mēnešu garantija no nodošanas–pieņemšanas akta parakstīšanas dienas. Garantijas laikā piegādātājam par saviem līdzekļiem ir jānovērš jebkurš konstatēts defekts vai bojājums. Kritisku </w:t>
      </w:r>
      <w:r w:rsidRPr="00791200">
        <w:lastRenderedPageBreak/>
        <w:t xml:space="preserve">defektu gadījumā novēršana ir jāveic ne vēlāk kā 24 stundu laikā no Pasūtītāja paziņojuma, pārējo defektu gadījumā – piecu darba dienu laikā. Garantijas laikā piegādātājs nedrīkst piemērot nekādas papildu izmaksas Pasūtītājam, tai skaitā par transportu, darbu vai rezerves daļām. Piegādātājam ir jānodrošina servisa pieejamība Latvijā vai Baltijas valstīs visā garantijas periodā. </w:t>
      </w:r>
    </w:p>
    <w:p w14:paraId="1ABABD0A" w14:textId="77777777" w:rsidR="00AF6681" w:rsidRDefault="00DD75EA">
      <w:pPr>
        <w:pStyle w:val="Heading2"/>
        <w:ind w:left="439" w:hanging="454"/>
      </w:pPr>
      <w:r>
        <w:t xml:space="preserve">Pretendentu kvalifikācijas prasības </w:t>
      </w:r>
    </w:p>
    <w:p w14:paraId="08F2DCB6" w14:textId="77777777" w:rsidR="00AF6681" w:rsidRDefault="00DD75EA">
      <w:pPr>
        <w:ind w:left="-5"/>
      </w:pPr>
      <w:r>
        <w:t xml:space="preserve">Pretendentam ir jāatbilst šādām prasībām: </w:t>
      </w:r>
    </w:p>
    <w:p w14:paraId="6809EECF" w14:textId="77777777" w:rsidR="00AF6681" w:rsidRDefault="00DD75EA">
      <w:pPr>
        <w:numPr>
          <w:ilvl w:val="0"/>
          <w:numId w:val="1"/>
        </w:numPr>
        <w:spacing w:after="0" w:line="356" w:lineRule="auto"/>
        <w:ind w:hanging="127"/>
      </w:pPr>
      <w:r>
        <w:t xml:space="preserve">pēdējo četru gadu laikā ir pieredze vismaz divu līdzīgu ražošanas iekārtu piegādē un uzstādīšanā, kur katras līguma vērtība bez PVN nav mazāka par šī iepirkuma piedāvājuma summu; </w:t>
      </w:r>
    </w:p>
    <w:p w14:paraId="601B59FB" w14:textId="77777777" w:rsidR="00AF6681" w:rsidRDefault="00DD75EA">
      <w:pPr>
        <w:numPr>
          <w:ilvl w:val="0"/>
          <w:numId w:val="1"/>
        </w:numPr>
        <w:spacing w:after="0" w:line="356" w:lineRule="auto"/>
        <w:ind w:hanging="127"/>
      </w:pPr>
      <w:r>
        <w:t xml:space="preserve">pretendenta vidējais apgrozījums pēdējo trīs gadu laikā ir vismaz trīs reizes lielāks par iesniegtā piedāvājuma summu; </w:t>
      </w:r>
    </w:p>
    <w:p w14:paraId="1457E9C6" w14:textId="77777777" w:rsidR="00AF6681" w:rsidRDefault="00DD75EA">
      <w:pPr>
        <w:numPr>
          <w:ilvl w:val="0"/>
          <w:numId w:val="1"/>
        </w:numPr>
        <w:ind w:hanging="127"/>
      </w:pPr>
      <w:r>
        <w:t xml:space="preserve">piedāvātajām iekārtām ir jābūt ar spēkā esošu CE sertifikāciju; </w:t>
      </w:r>
    </w:p>
    <w:p w14:paraId="0BB00083" w14:textId="77777777" w:rsidR="00AF6681" w:rsidRDefault="00DD75EA">
      <w:pPr>
        <w:numPr>
          <w:ilvl w:val="0"/>
          <w:numId w:val="1"/>
        </w:numPr>
        <w:spacing w:after="0" w:line="356" w:lineRule="auto"/>
        <w:ind w:hanging="127"/>
      </w:pPr>
      <w:r>
        <w:t xml:space="preserve">pretendentam uz piedāvājuma iesniegšanas dienu nedrīkst būt nodokļu parāds, kas pārsniedz 150 EUR; </w:t>
      </w:r>
    </w:p>
    <w:p w14:paraId="7A10622D" w14:textId="77777777" w:rsidR="00AF6681" w:rsidRDefault="00DD75EA">
      <w:pPr>
        <w:numPr>
          <w:ilvl w:val="0"/>
          <w:numId w:val="1"/>
        </w:numPr>
        <w:spacing w:after="238" w:line="356" w:lineRule="auto"/>
        <w:ind w:hanging="127"/>
      </w:pPr>
      <w:r>
        <w:t xml:space="preserve">pretendents nedrīkst būt maksātnespējīgs, likvidācijas procesā vai sankciju sarakstos, kā arī tam nedrīkst būt spēkā esoši aizliegumi piedalīties publiskajos iepirkumos. </w:t>
      </w:r>
    </w:p>
    <w:p w14:paraId="61934837" w14:textId="77777777" w:rsidR="00AF6681" w:rsidRDefault="00DD75EA">
      <w:pPr>
        <w:pStyle w:val="Heading2"/>
        <w:ind w:left="439" w:hanging="454"/>
      </w:pPr>
      <w:r>
        <w:t xml:space="preserve">Iepirkuma prasības </w:t>
      </w:r>
    </w:p>
    <w:p w14:paraId="6A464729" w14:textId="77777777" w:rsidR="00AF6681" w:rsidRPr="00791200" w:rsidRDefault="00DD75EA">
      <w:pPr>
        <w:spacing w:after="237" w:line="356" w:lineRule="auto"/>
        <w:ind w:left="-5"/>
      </w:pPr>
      <w:r w:rsidRPr="00791200">
        <w:t xml:space="preserve">Piedāvājumā ir jāiekļauj pilnīga informācija atbilstoši tehniskajai specifikācijai. Pasūtītājs sniedz papildu informāciju par nolikuma prasībām piecu darba dienu laikā pēc pieprasījuma saņemšanas, bet ne vēlāk kā sešas dienas pirms piedāvājumu iesniegšanas termiņa. Ja Pasūtītājs pieprasa, pretendentam ir piecu darba dienu laikā jāiesniedz papildu informācija vai paskaidrojumi. Piedāvājumi, kas netiek iesniegti nolikumā noteiktajā kārtībā vai tiek iesniegti pēc termiņa, netiek izskatīti. </w:t>
      </w:r>
    </w:p>
    <w:p w14:paraId="2524E04A" w14:textId="77777777" w:rsidR="00AF6681" w:rsidRDefault="00DD75EA">
      <w:pPr>
        <w:pStyle w:val="Heading2"/>
        <w:spacing w:after="0" w:line="359" w:lineRule="auto"/>
        <w:ind w:left="-5"/>
      </w:pPr>
      <w:r>
        <w:t xml:space="preserve">Piedāvājumu iesniegšana kopīgiem pretendentiem vai ar apakšuzņēmējiem </w:t>
      </w:r>
    </w:p>
    <w:p w14:paraId="12BD3C0B" w14:textId="77777777" w:rsidR="00AF6681" w:rsidRDefault="00DD75EA">
      <w:pPr>
        <w:spacing w:line="356" w:lineRule="auto"/>
        <w:ind w:left="-5"/>
      </w:pPr>
      <w:r>
        <w:t>Piedāvājumu drīkst iesniegt viens pretendents vai personu apvienība. Ja piedāvājumu iesniedz personu apvienība, dalībniekiem kopīgi jāatbilst visām kvalifikācijas prasībām. Ja piedāvājuma izpildei tiek piesaistīti apakšuzņēmēji, pretendentam ir jānorāda apakšuzņēmēja nosaukums, reģistrācijas numurs, juridiskā adrese un plānotais darba apjoms procentos attiecībā pret kopējo līguma vērtību. Apakšuzņēmēji, kas veic būtiskus darbus (vairāk nekā 20% no līguma vērtības), jāatbilst visām prasībām. Pretendents ir p</w:t>
      </w:r>
      <w:r>
        <w:t xml:space="preserve">ilnībā atbildīgs par apakšuzņēmēju darbu. </w:t>
      </w:r>
    </w:p>
    <w:p w14:paraId="00B53E94" w14:textId="77777777" w:rsidR="00AF6681" w:rsidRDefault="00DD75EA">
      <w:pPr>
        <w:pStyle w:val="Heading2"/>
        <w:ind w:left="439" w:hanging="454"/>
      </w:pPr>
      <w:r>
        <w:lastRenderedPageBreak/>
        <w:t xml:space="preserve">Izslēgšanas noteikumi </w:t>
      </w:r>
    </w:p>
    <w:p w14:paraId="442E594E" w14:textId="77777777" w:rsidR="00AF6681" w:rsidRPr="00791200" w:rsidRDefault="00DD75EA">
      <w:pPr>
        <w:spacing w:after="237" w:line="356" w:lineRule="auto"/>
        <w:ind w:left="-5"/>
      </w:pPr>
      <w:r w:rsidRPr="00791200">
        <w:t xml:space="preserve">Pretendents tiek izslēgts no iepirkuma, ja ir pasludināts tā maksātnespējas vai likvidācijas process, ir spēkā tiesiskās aizsardzības vai sanācijas process, ja tas pēdējo trīs gadu laikā ir notiesāts par krāpniecību, korupciju vai citiem noziedzīgiem nodarījumiem uzņēmējdarbībā, ja tam ir spēkā esoši aizliegumi piedalīties publiskajos iepirkumos vai ja nodokļu vai valsts sociālās apdrošināšanas iemaksu parāds pārsniedz 150 EUR. </w:t>
      </w:r>
    </w:p>
    <w:p w14:paraId="4124DF40" w14:textId="77777777" w:rsidR="00AF6681" w:rsidRDefault="00DD75EA">
      <w:pPr>
        <w:pStyle w:val="Heading2"/>
        <w:ind w:left="439" w:hanging="454"/>
      </w:pPr>
      <w:r>
        <w:t xml:space="preserve">Līguma tiesību piešķiršana </w:t>
      </w:r>
    </w:p>
    <w:p w14:paraId="3E957E5B" w14:textId="77777777" w:rsidR="00AF6681" w:rsidRPr="00791200" w:rsidRDefault="00DD75EA">
      <w:pPr>
        <w:spacing w:after="538" w:line="356" w:lineRule="auto"/>
        <w:ind w:left="-5"/>
      </w:pPr>
      <w:r w:rsidRPr="00791200">
        <w:t xml:space="preserve">Līguma slēgšanas tiesības tiek piešķirtas pretendentam, kurš atbilst visām šī nolikuma prasībām un ir iesniedzis saimnieciski visizdevīgāko piedāvājumu saskaņā ar šī nolikuma vērtēšanas kritērijiem. </w:t>
      </w:r>
    </w:p>
    <w:p w14:paraId="081D3650" w14:textId="77777777" w:rsidR="00AF6681" w:rsidRDefault="00DD75EA">
      <w:pPr>
        <w:pStyle w:val="Heading1"/>
        <w:spacing w:after="311"/>
        <w:ind w:left="266" w:hanging="281"/>
      </w:pPr>
      <w:r>
        <w:t xml:space="preserve">Iepirkuma norise </w:t>
      </w:r>
    </w:p>
    <w:p w14:paraId="63B958F4" w14:textId="77777777" w:rsidR="00AF6681" w:rsidRDefault="00DD75EA">
      <w:pPr>
        <w:pStyle w:val="Heading2"/>
        <w:ind w:left="439" w:hanging="454"/>
      </w:pPr>
      <w:r>
        <w:t xml:space="preserve">Piedāvājumu iesniegšana </w:t>
      </w:r>
    </w:p>
    <w:p w14:paraId="589663D4" w14:textId="77777777" w:rsidR="00AF6681" w:rsidRDefault="00DD75EA">
      <w:pPr>
        <w:spacing w:after="238" w:line="356" w:lineRule="auto"/>
        <w:ind w:left="-5"/>
      </w:pPr>
      <w:r w:rsidRPr="00791200">
        <w:t xml:space="preserve">Piedāvājumi ir jāiesniedz elektroniski, nosūtot uz e-pastu segal@rpgroup.lv līdz IUB paziņojumā norādītajam termiņam. </w:t>
      </w:r>
      <w:r>
        <w:t xml:space="preserve">Piedāvājumiem jābūt parakstītiem ar drošu elektronisko parakstu (.edoc formātā). </w:t>
      </w:r>
    </w:p>
    <w:p w14:paraId="1C809808" w14:textId="77777777" w:rsidR="00AF6681" w:rsidRDefault="00DD75EA">
      <w:pPr>
        <w:pStyle w:val="Heading2"/>
        <w:ind w:left="439" w:hanging="454"/>
      </w:pPr>
      <w:r>
        <w:t xml:space="preserve">Piedāvājumu atvēršana un reģistrācija </w:t>
      </w:r>
    </w:p>
    <w:p w14:paraId="0C55207C" w14:textId="77777777" w:rsidR="00AF6681" w:rsidRDefault="00DD75EA">
      <w:pPr>
        <w:spacing w:after="240" w:line="356" w:lineRule="auto"/>
        <w:ind w:left="-5"/>
      </w:pPr>
      <w:r w:rsidRPr="00791200">
        <w:t xml:space="preserve">Visi saņemtie piedāvājumi tiek reģistrēti pēc to saņemšanas secības. Piedāvājumi tiek atvērti pēc iesniegšanas termiņa beigām, norādot pretendenta nosaukumu, iesniegšanas datumu un piedāvāto cenu. </w:t>
      </w:r>
      <w:r>
        <w:t xml:space="preserve">Piedāvājumu atvēršana notiek slēgtā sēdē. </w:t>
      </w:r>
    </w:p>
    <w:p w14:paraId="38CBE3A7" w14:textId="77777777" w:rsidR="00AF6681" w:rsidRDefault="00DD75EA">
      <w:pPr>
        <w:pStyle w:val="Heading2"/>
        <w:ind w:left="439" w:hanging="454"/>
      </w:pPr>
      <w:r>
        <w:t xml:space="preserve">Piedāvājumu izvērtēšanas kārtība </w:t>
      </w:r>
    </w:p>
    <w:p w14:paraId="787CF7F5" w14:textId="7AC8ADD4" w:rsidR="00791200" w:rsidRPr="0042746A" w:rsidRDefault="00DD75EA" w:rsidP="0042746A">
      <w:pPr>
        <w:spacing w:line="356" w:lineRule="auto"/>
        <w:ind w:left="-5"/>
      </w:pPr>
      <w:r w:rsidRPr="00791200">
        <w:t xml:space="preserve">Piedāvājumi tiek vērtēti šādā secībā: vispirms tiek pārbaudīta administratīvā atbilstība, pēc tam pretendenta kvalifikācija saskaņā ar šī nolikuma prasībām, tad tiek izvērtēta piedāvājuma atbilstība tehniskajai specifikācijai un visbeidzot tiek analizēts finanšu piedāvājums, piemērojot vērtēšanas kritērijus. </w:t>
      </w:r>
    </w:p>
    <w:p w14:paraId="12B22932" w14:textId="3892F2E4" w:rsidR="00AF6681" w:rsidRDefault="00DD75EA">
      <w:pPr>
        <w:spacing w:after="237" w:line="356" w:lineRule="auto"/>
        <w:ind w:left="-5"/>
      </w:pPr>
      <w:r>
        <w:t xml:space="preserve">Pretendents ir pilnībā atbildīgs par iesniegtās informācijas skaidrību un pilnīgumu. Piedāvājuma vērtēšanā tiek ņemta vērā tikai tā informācija, kas ir skaidri norādīta iesniegtajos dokumentos. Pasūtītājam nav pienākuma papildus meklēt, interpretēt vai pieprasīt precizējumus, ja pretendents nav sniedzis konkrētus datus. Ja pretendents nav iesniedzis skaidru un pārbaudāmu informāciju attiecīgajā kritērijā tiek piešķirti 0 (nulle) punkti. </w:t>
      </w:r>
    </w:p>
    <w:p w14:paraId="57E3190A" w14:textId="77777777" w:rsidR="00AF6681" w:rsidRDefault="00DD75EA">
      <w:pPr>
        <w:pStyle w:val="Heading2"/>
        <w:ind w:left="439" w:hanging="454"/>
      </w:pPr>
      <w:r>
        <w:lastRenderedPageBreak/>
        <w:t xml:space="preserve">Piedāvājumu vērtēšanas kritēriji </w:t>
      </w:r>
    </w:p>
    <w:p w14:paraId="3E446A9D" w14:textId="77777777" w:rsidR="00AF6681" w:rsidRPr="00791200" w:rsidRDefault="00DD75EA">
      <w:pPr>
        <w:spacing w:after="0"/>
        <w:ind w:left="-5"/>
      </w:pPr>
      <w:r w:rsidRPr="00791200">
        <w:t xml:space="preserve">Piedāvājumu vērtēšana tiek veikta pēc saimnieciski visizdevīgākā piedāvājuma principa: </w:t>
      </w:r>
    </w:p>
    <w:tbl>
      <w:tblPr>
        <w:tblStyle w:val="TableGrid"/>
        <w:tblW w:w="8632" w:type="dxa"/>
        <w:tblInd w:w="5" w:type="dxa"/>
        <w:tblCellMar>
          <w:top w:w="58" w:type="dxa"/>
          <w:left w:w="108" w:type="dxa"/>
          <w:right w:w="53" w:type="dxa"/>
        </w:tblCellMar>
        <w:tblLook w:val="04A0" w:firstRow="1" w:lastRow="0" w:firstColumn="1" w:lastColumn="0" w:noHBand="0" w:noVBand="1"/>
      </w:tblPr>
      <w:tblGrid>
        <w:gridCol w:w="2122"/>
        <w:gridCol w:w="4961"/>
        <w:gridCol w:w="1549"/>
      </w:tblGrid>
      <w:tr w:rsidR="00AF6681" w14:paraId="444158A7" w14:textId="77777777">
        <w:trPr>
          <w:trHeight w:val="780"/>
        </w:trPr>
        <w:tc>
          <w:tcPr>
            <w:tcW w:w="2122" w:type="dxa"/>
            <w:tcBorders>
              <w:top w:val="single" w:sz="4" w:space="0" w:color="B6DDE8"/>
              <w:left w:val="single" w:sz="4" w:space="0" w:color="B6DDE8"/>
              <w:bottom w:val="single" w:sz="12" w:space="0" w:color="92CDDC"/>
              <w:right w:val="single" w:sz="4" w:space="0" w:color="B6DDE8"/>
            </w:tcBorders>
          </w:tcPr>
          <w:p w14:paraId="61BAE040" w14:textId="77777777" w:rsidR="00AF6681" w:rsidRDefault="00DD75EA">
            <w:pPr>
              <w:spacing w:after="105" w:line="259" w:lineRule="auto"/>
              <w:ind w:left="7" w:firstLine="0"/>
              <w:jc w:val="left"/>
            </w:pPr>
            <w:r>
              <w:rPr>
                <w:b/>
              </w:rPr>
              <w:t xml:space="preserve">Vērtēšanas kritērija </w:t>
            </w:r>
          </w:p>
          <w:p w14:paraId="5939E192" w14:textId="77777777" w:rsidR="00AF6681" w:rsidRDefault="00DD75EA">
            <w:pPr>
              <w:spacing w:after="0" w:line="259" w:lineRule="auto"/>
              <w:ind w:left="0" w:right="56" w:firstLine="0"/>
              <w:jc w:val="center"/>
            </w:pPr>
            <w:r>
              <w:rPr>
                <w:b/>
              </w:rPr>
              <w:t xml:space="preserve">nosaukums </w:t>
            </w:r>
          </w:p>
        </w:tc>
        <w:tc>
          <w:tcPr>
            <w:tcW w:w="4961" w:type="dxa"/>
            <w:tcBorders>
              <w:top w:val="single" w:sz="4" w:space="0" w:color="B6DDE8"/>
              <w:left w:val="single" w:sz="4" w:space="0" w:color="B6DDE8"/>
              <w:bottom w:val="single" w:sz="12" w:space="0" w:color="92CDDC"/>
              <w:right w:val="single" w:sz="4" w:space="0" w:color="B6DDE8"/>
            </w:tcBorders>
            <w:vAlign w:val="center"/>
          </w:tcPr>
          <w:p w14:paraId="1C8F9494" w14:textId="77777777" w:rsidR="00AF6681" w:rsidRDefault="00DD75EA">
            <w:pPr>
              <w:spacing w:after="0" w:line="259" w:lineRule="auto"/>
              <w:ind w:left="0" w:right="57" w:firstLine="0"/>
              <w:jc w:val="center"/>
            </w:pPr>
            <w:r>
              <w:rPr>
                <w:b/>
              </w:rPr>
              <w:t xml:space="preserve">Aprēķina formula/ papildus skaidrojums </w:t>
            </w:r>
          </w:p>
        </w:tc>
        <w:tc>
          <w:tcPr>
            <w:tcW w:w="1549" w:type="dxa"/>
            <w:tcBorders>
              <w:top w:val="single" w:sz="4" w:space="0" w:color="B6DDE8"/>
              <w:left w:val="single" w:sz="4" w:space="0" w:color="B6DDE8"/>
              <w:bottom w:val="single" w:sz="12" w:space="0" w:color="92CDDC"/>
              <w:right w:val="single" w:sz="4" w:space="0" w:color="B6DDE8"/>
            </w:tcBorders>
          </w:tcPr>
          <w:p w14:paraId="4B43B2E1" w14:textId="77777777" w:rsidR="00AF6681" w:rsidRDefault="00DD75EA">
            <w:pPr>
              <w:spacing w:after="105" w:line="259" w:lineRule="auto"/>
              <w:ind w:left="65" w:firstLine="0"/>
              <w:jc w:val="left"/>
            </w:pPr>
            <w:r>
              <w:rPr>
                <w:b/>
              </w:rPr>
              <w:t xml:space="preserve">Maksimālais </w:t>
            </w:r>
          </w:p>
          <w:p w14:paraId="7F3235A8" w14:textId="77777777" w:rsidR="00AF6681" w:rsidRDefault="00DD75EA">
            <w:pPr>
              <w:spacing w:after="0" w:line="259" w:lineRule="auto"/>
              <w:ind w:left="27" w:firstLine="0"/>
              <w:jc w:val="left"/>
            </w:pPr>
            <w:r>
              <w:rPr>
                <w:b/>
              </w:rPr>
              <w:t xml:space="preserve">punktu skaits </w:t>
            </w:r>
          </w:p>
        </w:tc>
      </w:tr>
      <w:tr w:rsidR="00AF6681" w14:paraId="40F3779D" w14:textId="77777777">
        <w:trPr>
          <w:trHeight w:val="398"/>
        </w:trPr>
        <w:tc>
          <w:tcPr>
            <w:tcW w:w="2122" w:type="dxa"/>
            <w:tcBorders>
              <w:top w:val="single" w:sz="12" w:space="0" w:color="92CDDC"/>
              <w:left w:val="single" w:sz="4" w:space="0" w:color="B6DDE8"/>
              <w:bottom w:val="single" w:sz="4" w:space="0" w:color="B6DDE8"/>
              <w:right w:val="single" w:sz="4" w:space="0" w:color="B6DDE8"/>
            </w:tcBorders>
          </w:tcPr>
          <w:p w14:paraId="19F2EACB" w14:textId="77777777" w:rsidR="00AF6681" w:rsidRDefault="00DD75EA">
            <w:pPr>
              <w:spacing w:after="0" w:line="259" w:lineRule="auto"/>
              <w:ind w:left="0" w:firstLine="0"/>
              <w:jc w:val="left"/>
            </w:pPr>
            <w:r>
              <w:t xml:space="preserve">Piedāvātā cena </w:t>
            </w:r>
          </w:p>
        </w:tc>
        <w:tc>
          <w:tcPr>
            <w:tcW w:w="4961" w:type="dxa"/>
            <w:tcBorders>
              <w:top w:val="single" w:sz="12" w:space="0" w:color="92CDDC"/>
              <w:left w:val="single" w:sz="4" w:space="0" w:color="B6DDE8"/>
              <w:bottom w:val="single" w:sz="4" w:space="0" w:color="B6DDE8"/>
              <w:right w:val="single" w:sz="4" w:space="0" w:color="B6DDE8"/>
            </w:tcBorders>
          </w:tcPr>
          <w:p w14:paraId="17262559" w14:textId="77777777" w:rsidR="00AF6681" w:rsidRDefault="00DD75EA">
            <w:pPr>
              <w:spacing w:after="0" w:line="259" w:lineRule="auto"/>
              <w:ind w:left="0" w:firstLine="0"/>
              <w:jc w:val="left"/>
            </w:pPr>
            <w:r>
              <w:t xml:space="preserve">Aprēķina formula: zemākā </w:t>
            </w:r>
            <w:r>
              <w:t xml:space="preserve">cena / piedāvātā cena × 40 </w:t>
            </w:r>
          </w:p>
        </w:tc>
        <w:tc>
          <w:tcPr>
            <w:tcW w:w="1549" w:type="dxa"/>
            <w:tcBorders>
              <w:top w:val="single" w:sz="12" w:space="0" w:color="92CDDC"/>
              <w:left w:val="single" w:sz="4" w:space="0" w:color="B6DDE8"/>
              <w:bottom w:val="single" w:sz="4" w:space="0" w:color="B6DDE8"/>
              <w:right w:val="single" w:sz="4" w:space="0" w:color="B6DDE8"/>
            </w:tcBorders>
          </w:tcPr>
          <w:p w14:paraId="2D737244" w14:textId="77777777" w:rsidR="00AF6681" w:rsidRDefault="00DD75EA">
            <w:pPr>
              <w:spacing w:after="0" w:line="259" w:lineRule="auto"/>
              <w:ind w:left="0" w:right="57" w:firstLine="0"/>
              <w:jc w:val="center"/>
            </w:pPr>
            <w:r>
              <w:t xml:space="preserve">40 </w:t>
            </w:r>
          </w:p>
        </w:tc>
      </w:tr>
      <w:tr w:rsidR="00AF6681" w14:paraId="099CDF50" w14:textId="77777777">
        <w:trPr>
          <w:trHeight w:val="771"/>
        </w:trPr>
        <w:tc>
          <w:tcPr>
            <w:tcW w:w="2122" w:type="dxa"/>
            <w:tcBorders>
              <w:top w:val="single" w:sz="4" w:space="0" w:color="B6DDE8"/>
              <w:left w:val="single" w:sz="4" w:space="0" w:color="B6DDE8"/>
              <w:bottom w:val="single" w:sz="4" w:space="0" w:color="B6DDE8"/>
              <w:right w:val="single" w:sz="4" w:space="0" w:color="B6DDE8"/>
            </w:tcBorders>
          </w:tcPr>
          <w:p w14:paraId="5740A4DD" w14:textId="77777777" w:rsidR="00AF6681" w:rsidRDefault="00DD75EA">
            <w:pPr>
              <w:spacing w:after="0" w:line="259" w:lineRule="auto"/>
              <w:ind w:left="0" w:firstLine="0"/>
              <w:jc w:val="left"/>
            </w:pPr>
            <w:r>
              <w:t xml:space="preserve">Iekārtas energoefektivitāte </w:t>
            </w:r>
          </w:p>
        </w:tc>
        <w:tc>
          <w:tcPr>
            <w:tcW w:w="4961" w:type="dxa"/>
            <w:tcBorders>
              <w:top w:val="single" w:sz="4" w:space="0" w:color="B6DDE8"/>
              <w:left w:val="single" w:sz="4" w:space="0" w:color="B6DDE8"/>
              <w:bottom w:val="single" w:sz="4" w:space="0" w:color="B6DDE8"/>
              <w:right w:val="single" w:sz="4" w:space="0" w:color="B6DDE8"/>
            </w:tcBorders>
          </w:tcPr>
          <w:p w14:paraId="6601A287" w14:textId="77777777" w:rsidR="00AF6681" w:rsidRDefault="00DD75EA">
            <w:pPr>
              <w:spacing w:after="0" w:line="259" w:lineRule="auto"/>
              <w:ind w:left="0" w:firstLine="0"/>
            </w:pPr>
            <w:r>
              <w:t xml:space="preserve">Aprēķina formula: labākais enerģijas patēriņš kWh / piedāvātais rādītājs kWh × 20 </w:t>
            </w:r>
          </w:p>
        </w:tc>
        <w:tc>
          <w:tcPr>
            <w:tcW w:w="1549" w:type="dxa"/>
            <w:tcBorders>
              <w:top w:val="single" w:sz="4" w:space="0" w:color="B6DDE8"/>
              <w:left w:val="single" w:sz="4" w:space="0" w:color="B6DDE8"/>
              <w:bottom w:val="single" w:sz="4" w:space="0" w:color="B6DDE8"/>
              <w:right w:val="single" w:sz="4" w:space="0" w:color="B6DDE8"/>
            </w:tcBorders>
          </w:tcPr>
          <w:p w14:paraId="67C4F2A0" w14:textId="77777777" w:rsidR="00AF6681" w:rsidRDefault="00DD75EA">
            <w:pPr>
              <w:spacing w:after="0" w:line="259" w:lineRule="auto"/>
              <w:ind w:left="0" w:right="57" w:firstLine="0"/>
              <w:jc w:val="center"/>
            </w:pPr>
            <w:r>
              <w:t xml:space="preserve">20 </w:t>
            </w:r>
          </w:p>
        </w:tc>
      </w:tr>
      <w:tr w:rsidR="00AF6681" w14:paraId="0D9D840B" w14:textId="77777777">
        <w:trPr>
          <w:trHeight w:val="1526"/>
        </w:trPr>
        <w:tc>
          <w:tcPr>
            <w:tcW w:w="2122" w:type="dxa"/>
            <w:tcBorders>
              <w:top w:val="single" w:sz="4" w:space="0" w:color="B6DDE8"/>
              <w:left w:val="single" w:sz="4" w:space="0" w:color="B6DDE8"/>
              <w:bottom w:val="single" w:sz="4" w:space="0" w:color="B6DDE8"/>
              <w:right w:val="single" w:sz="4" w:space="0" w:color="B6DDE8"/>
            </w:tcBorders>
          </w:tcPr>
          <w:p w14:paraId="622FA4DA" w14:textId="77777777" w:rsidR="00AF6681" w:rsidRDefault="00DD75EA">
            <w:pPr>
              <w:spacing w:after="103" w:line="259" w:lineRule="auto"/>
              <w:ind w:left="0" w:firstLine="0"/>
              <w:jc w:val="left"/>
            </w:pPr>
            <w:r>
              <w:t xml:space="preserve">Finansiālā kapacitāte </w:t>
            </w:r>
          </w:p>
          <w:p w14:paraId="58D42027" w14:textId="77777777" w:rsidR="00AF6681" w:rsidRDefault="00DD75EA">
            <w:pPr>
              <w:spacing w:after="0" w:line="259" w:lineRule="auto"/>
              <w:ind w:left="0" w:firstLine="0"/>
              <w:jc w:val="left"/>
            </w:pPr>
            <w:r>
              <w:t xml:space="preserve">(neto apgrozījums)  </w:t>
            </w:r>
          </w:p>
        </w:tc>
        <w:tc>
          <w:tcPr>
            <w:tcW w:w="4961" w:type="dxa"/>
            <w:tcBorders>
              <w:top w:val="single" w:sz="4" w:space="0" w:color="B6DDE8"/>
              <w:left w:val="single" w:sz="4" w:space="0" w:color="B6DDE8"/>
              <w:bottom w:val="single" w:sz="4" w:space="0" w:color="B6DDE8"/>
              <w:right w:val="single" w:sz="4" w:space="0" w:color="B6DDE8"/>
            </w:tcBorders>
          </w:tcPr>
          <w:p w14:paraId="5CE253A7" w14:textId="77777777" w:rsidR="00AF6681" w:rsidRDefault="00DD75EA">
            <w:pPr>
              <w:spacing w:after="0" w:line="259" w:lineRule="auto"/>
              <w:ind w:left="0" w:right="53" w:firstLine="0"/>
            </w:pPr>
            <w:r>
              <w:t xml:space="preserve">Aprēķina formula: ((neto agrozījums pēdējā </w:t>
            </w:r>
            <w:r>
              <w:t xml:space="preserve">noslēgtajā gadā + neto apgrozījums pirmspēdējā noslēgtajā gadā + neto apgrozījums 3. noslēgtajā gadā) / Piedāvājuma summa) × 10. </w:t>
            </w:r>
          </w:p>
        </w:tc>
        <w:tc>
          <w:tcPr>
            <w:tcW w:w="1549" w:type="dxa"/>
            <w:tcBorders>
              <w:top w:val="single" w:sz="4" w:space="0" w:color="B6DDE8"/>
              <w:left w:val="single" w:sz="4" w:space="0" w:color="B6DDE8"/>
              <w:bottom w:val="single" w:sz="4" w:space="0" w:color="B6DDE8"/>
              <w:right w:val="single" w:sz="4" w:space="0" w:color="B6DDE8"/>
            </w:tcBorders>
          </w:tcPr>
          <w:p w14:paraId="71B0258D" w14:textId="77777777" w:rsidR="00AF6681" w:rsidRDefault="00DD75EA">
            <w:pPr>
              <w:spacing w:after="0" w:line="259" w:lineRule="auto"/>
              <w:ind w:left="0" w:right="57" w:firstLine="0"/>
              <w:jc w:val="center"/>
            </w:pPr>
            <w:r>
              <w:t xml:space="preserve">10 </w:t>
            </w:r>
          </w:p>
        </w:tc>
      </w:tr>
      <w:tr w:rsidR="00AF6681" w14:paraId="5CAE64EF" w14:textId="77777777">
        <w:trPr>
          <w:trHeight w:val="4566"/>
        </w:trPr>
        <w:tc>
          <w:tcPr>
            <w:tcW w:w="2122" w:type="dxa"/>
            <w:tcBorders>
              <w:top w:val="single" w:sz="4" w:space="0" w:color="B6DDE8"/>
              <w:left w:val="single" w:sz="4" w:space="0" w:color="B6DDE8"/>
              <w:bottom w:val="single" w:sz="4" w:space="0" w:color="B6DDE8"/>
              <w:right w:val="single" w:sz="4" w:space="0" w:color="B6DDE8"/>
            </w:tcBorders>
          </w:tcPr>
          <w:p w14:paraId="6EDF4A2C" w14:textId="77777777" w:rsidR="00AF6681" w:rsidRDefault="00DD75EA">
            <w:pPr>
              <w:tabs>
                <w:tab w:val="right" w:pos="1961"/>
              </w:tabs>
              <w:spacing w:after="111" w:line="259" w:lineRule="auto"/>
              <w:ind w:left="0" w:firstLine="0"/>
              <w:jc w:val="left"/>
            </w:pPr>
            <w:r>
              <w:t xml:space="preserve">Pieredze </w:t>
            </w:r>
            <w:r>
              <w:tab/>
              <w:t xml:space="preserve">līdzīgu </w:t>
            </w:r>
          </w:p>
          <w:p w14:paraId="072D7253" w14:textId="77777777" w:rsidR="00AF6681" w:rsidRDefault="00DD75EA">
            <w:pPr>
              <w:spacing w:after="0" w:line="259" w:lineRule="auto"/>
              <w:ind w:left="0" w:firstLine="0"/>
              <w:jc w:val="left"/>
            </w:pPr>
            <w:r>
              <w:t xml:space="preserve">iekārtu piegādē </w:t>
            </w:r>
          </w:p>
        </w:tc>
        <w:tc>
          <w:tcPr>
            <w:tcW w:w="4961" w:type="dxa"/>
            <w:tcBorders>
              <w:top w:val="single" w:sz="4" w:space="0" w:color="B6DDE8"/>
              <w:left w:val="single" w:sz="4" w:space="0" w:color="B6DDE8"/>
              <w:bottom w:val="single" w:sz="4" w:space="0" w:color="B6DDE8"/>
              <w:right w:val="single" w:sz="4" w:space="0" w:color="B6DDE8"/>
            </w:tcBorders>
          </w:tcPr>
          <w:p w14:paraId="758782D6" w14:textId="77777777" w:rsidR="00AF6681" w:rsidRDefault="00DD75EA">
            <w:pPr>
              <w:spacing w:after="0" w:line="356" w:lineRule="auto"/>
              <w:ind w:left="0" w:right="53" w:firstLine="0"/>
            </w:pPr>
            <w:r>
              <w:t xml:space="preserve">Pretendentam, kurš pēdējo 4 (četru) gadu laikā ir īstenojis 2 (divus) vai </w:t>
            </w:r>
            <w:r>
              <w:t xml:space="preserve">vairāk līdzīgu ražošanas iekārtu piegādes un uzstādīšanas projektus, un katras piegādes līgumcena (bez PVN) ir lielāka par šī iepirkuma paredzēto līgumcenu, tiek piešķirti 10 punkti. </w:t>
            </w:r>
          </w:p>
          <w:p w14:paraId="6AB33DC8" w14:textId="77777777" w:rsidR="00AF6681" w:rsidRDefault="00DD75EA">
            <w:pPr>
              <w:spacing w:after="103" w:line="259" w:lineRule="auto"/>
              <w:ind w:left="0" w:firstLine="0"/>
              <w:jc w:val="left"/>
            </w:pPr>
            <w:r>
              <w:t xml:space="preserve"> </w:t>
            </w:r>
          </w:p>
          <w:p w14:paraId="79560D2D" w14:textId="77777777" w:rsidR="00AF6681" w:rsidRDefault="00DD75EA">
            <w:pPr>
              <w:spacing w:after="0" w:line="259" w:lineRule="auto"/>
              <w:ind w:left="0" w:right="54" w:firstLine="0"/>
            </w:pPr>
            <w:r>
              <w:t>Pretendentam, kurš pēdējo 4 (četru) gadu laikā ir īstenojis mazāk kā</w:t>
            </w:r>
            <w:r>
              <w:t xml:space="preserve"> 2 (divus) līdzīgu ražošanas iekārtu piegādes un uzstādīšanas projektus, un/ vai katras piegādes līgumcena (bez PVN) ir mazāka par šī iepirkuma paredzēto līgumcenu, tiek piešķirti 0 punkti. </w:t>
            </w:r>
          </w:p>
        </w:tc>
        <w:tc>
          <w:tcPr>
            <w:tcW w:w="1549" w:type="dxa"/>
            <w:tcBorders>
              <w:top w:val="single" w:sz="4" w:space="0" w:color="B6DDE8"/>
              <w:left w:val="single" w:sz="4" w:space="0" w:color="B6DDE8"/>
              <w:bottom w:val="single" w:sz="4" w:space="0" w:color="B6DDE8"/>
              <w:right w:val="single" w:sz="4" w:space="0" w:color="B6DDE8"/>
            </w:tcBorders>
          </w:tcPr>
          <w:p w14:paraId="75446A49" w14:textId="77777777" w:rsidR="00AF6681" w:rsidRDefault="00DD75EA">
            <w:pPr>
              <w:spacing w:after="0" w:line="259" w:lineRule="auto"/>
              <w:ind w:left="0" w:right="57" w:firstLine="0"/>
              <w:jc w:val="center"/>
            </w:pPr>
            <w:r>
              <w:t xml:space="preserve">10 </w:t>
            </w:r>
          </w:p>
        </w:tc>
      </w:tr>
      <w:tr w:rsidR="00AF6681" w14:paraId="36FAC6DC" w14:textId="77777777">
        <w:trPr>
          <w:trHeight w:val="1147"/>
        </w:trPr>
        <w:tc>
          <w:tcPr>
            <w:tcW w:w="2122" w:type="dxa"/>
            <w:tcBorders>
              <w:top w:val="single" w:sz="4" w:space="0" w:color="B6DDE8"/>
              <w:left w:val="single" w:sz="4" w:space="0" w:color="B6DDE8"/>
              <w:bottom w:val="single" w:sz="4" w:space="0" w:color="B6DDE8"/>
              <w:right w:val="single" w:sz="4" w:space="0" w:color="B6DDE8"/>
            </w:tcBorders>
          </w:tcPr>
          <w:p w14:paraId="29630CC0" w14:textId="77777777" w:rsidR="00AF6681" w:rsidRDefault="00DD75EA">
            <w:pPr>
              <w:spacing w:after="0" w:line="259" w:lineRule="auto"/>
              <w:ind w:left="0" w:firstLine="0"/>
              <w:jc w:val="left"/>
            </w:pPr>
            <w:r>
              <w:t xml:space="preserve">Energoefektivitātes digitālie risinājumi </w:t>
            </w:r>
          </w:p>
        </w:tc>
        <w:tc>
          <w:tcPr>
            <w:tcW w:w="4961" w:type="dxa"/>
            <w:tcBorders>
              <w:top w:val="single" w:sz="4" w:space="0" w:color="B6DDE8"/>
              <w:left w:val="single" w:sz="4" w:space="0" w:color="B6DDE8"/>
              <w:bottom w:val="single" w:sz="4" w:space="0" w:color="B6DDE8"/>
              <w:right w:val="single" w:sz="4" w:space="0" w:color="B6DDE8"/>
            </w:tcBorders>
          </w:tcPr>
          <w:p w14:paraId="57ECF91E" w14:textId="77777777" w:rsidR="00AF6681" w:rsidRDefault="00DD75EA">
            <w:pPr>
              <w:spacing w:after="0" w:line="356" w:lineRule="auto"/>
              <w:ind w:left="0" w:firstLine="0"/>
            </w:pPr>
            <w:r>
              <w:t xml:space="preserve">Nodrošināts energoresursu patēriņa monitorings un automātiska gaidstāves vadība – 10 punkti. </w:t>
            </w:r>
          </w:p>
          <w:p w14:paraId="391DC5CC" w14:textId="77777777" w:rsidR="00AF6681" w:rsidRDefault="00DD75EA">
            <w:pPr>
              <w:spacing w:after="0" w:line="259" w:lineRule="auto"/>
              <w:ind w:left="0" w:firstLine="0"/>
              <w:jc w:val="left"/>
            </w:pPr>
            <w:r>
              <w:t xml:space="preserve"> </w:t>
            </w:r>
          </w:p>
        </w:tc>
        <w:tc>
          <w:tcPr>
            <w:tcW w:w="1549" w:type="dxa"/>
            <w:tcBorders>
              <w:top w:val="single" w:sz="4" w:space="0" w:color="B6DDE8"/>
              <w:left w:val="single" w:sz="4" w:space="0" w:color="B6DDE8"/>
              <w:bottom w:val="single" w:sz="4" w:space="0" w:color="B6DDE8"/>
              <w:right w:val="single" w:sz="4" w:space="0" w:color="B6DDE8"/>
            </w:tcBorders>
          </w:tcPr>
          <w:p w14:paraId="4639EB0A" w14:textId="77777777" w:rsidR="00AF6681" w:rsidRDefault="00DD75EA">
            <w:pPr>
              <w:spacing w:after="0" w:line="259" w:lineRule="auto"/>
              <w:ind w:left="0" w:right="57" w:firstLine="0"/>
              <w:jc w:val="center"/>
            </w:pPr>
            <w:r>
              <w:t xml:space="preserve">10 </w:t>
            </w:r>
          </w:p>
        </w:tc>
      </w:tr>
      <w:tr w:rsidR="00AF6681" w14:paraId="52A159AA" w14:textId="77777777">
        <w:trPr>
          <w:trHeight w:val="1529"/>
        </w:trPr>
        <w:tc>
          <w:tcPr>
            <w:tcW w:w="2122" w:type="dxa"/>
            <w:tcBorders>
              <w:top w:val="single" w:sz="4" w:space="0" w:color="B6DDE8"/>
              <w:left w:val="single" w:sz="4" w:space="0" w:color="B6DDE8"/>
              <w:bottom w:val="single" w:sz="4" w:space="0" w:color="B6DDE8"/>
              <w:right w:val="single" w:sz="4" w:space="0" w:color="B6DDE8"/>
            </w:tcBorders>
          </w:tcPr>
          <w:p w14:paraId="4DABB2CC" w14:textId="77777777" w:rsidR="00AF6681" w:rsidRDefault="00AF6681">
            <w:pPr>
              <w:spacing w:after="160" w:line="259" w:lineRule="auto"/>
              <w:ind w:left="0" w:firstLine="0"/>
              <w:jc w:val="left"/>
            </w:pPr>
          </w:p>
        </w:tc>
        <w:tc>
          <w:tcPr>
            <w:tcW w:w="4961" w:type="dxa"/>
            <w:tcBorders>
              <w:top w:val="single" w:sz="4" w:space="0" w:color="B6DDE8"/>
              <w:left w:val="single" w:sz="4" w:space="0" w:color="B6DDE8"/>
              <w:bottom w:val="single" w:sz="4" w:space="0" w:color="B6DDE8"/>
              <w:right w:val="single" w:sz="4" w:space="0" w:color="B6DDE8"/>
            </w:tcBorders>
          </w:tcPr>
          <w:p w14:paraId="4EF723E2" w14:textId="77777777" w:rsidR="00AF6681" w:rsidRDefault="00DD75EA">
            <w:pPr>
              <w:spacing w:after="0" w:line="356" w:lineRule="auto"/>
              <w:ind w:left="0" w:firstLine="0"/>
            </w:pPr>
            <w:r>
              <w:t xml:space="preserve">Nodrošināta tikai daļēja funkcionalitāte (piemēram, gaidstāves režīms) – 5 punkti </w:t>
            </w:r>
          </w:p>
          <w:p w14:paraId="7A2884E4" w14:textId="77777777" w:rsidR="00AF6681" w:rsidRDefault="00DD75EA">
            <w:pPr>
              <w:spacing w:after="103" w:line="259" w:lineRule="auto"/>
              <w:ind w:left="0" w:firstLine="0"/>
              <w:jc w:val="left"/>
            </w:pPr>
            <w:r>
              <w:t xml:space="preserve"> </w:t>
            </w:r>
          </w:p>
          <w:p w14:paraId="7F7F1F54" w14:textId="77777777" w:rsidR="00AF6681" w:rsidRDefault="00DD75EA">
            <w:pPr>
              <w:spacing w:after="0" w:line="259" w:lineRule="auto"/>
              <w:ind w:left="0" w:firstLine="0"/>
              <w:jc w:val="left"/>
            </w:pPr>
            <w:r>
              <w:t xml:space="preserve">Nav – 0 punkti. </w:t>
            </w:r>
          </w:p>
        </w:tc>
        <w:tc>
          <w:tcPr>
            <w:tcW w:w="1549" w:type="dxa"/>
            <w:tcBorders>
              <w:top w:val="single" w:sz="4" w:space="0" w:color="B6DDE8"/>
              <w:left w:val="single" w:sz="4" w:space="0" w:color="B6DDE8"/>
              <w:bottom w:val="single" w:sz="4" w:space="0" w:color="B6DDE8"/>
              <w:right w:val="single" w:sz="4" w:space="0" w:color="B6DDE8"/>
            </w:tcBorders>
          </w:tcPr>
          <w:p w14:paraId="4AE1C723" w14:textId="77777777" w:rsidR="00AF6681" w:rsidRDefault="00AF6681">
            <w:pPr>
              <w:spacing w:after="160" w:line="259" w:lineRule="auto"/>
              <w:ind w:left="0" w:firstLine="0"/>
              <w:jc w:val="left"/>
            </w:pPr>
          </w:p>
        </w:tc>
      </w:tr>
      <w:tr w:rsidR="00AF6681" w14:paraId="488C0CB9" w14:textId="77777777">
        <w:trPr>
          <w:trHeight w:val="2287"/>
        </w:trPr>
        <w:tc>
          <w:tcPr>
            <w:tcW w:w="2122" w:type="dxa"/>
            <w:tcBorders>
              <w:top w:val="single" w:sz="4" w:space="0" w:color="B6DDE8"/>
              <w:left w:val="single" w:sz="4" w:space="0" w:color="B6DDE8"/>
              <w:bottom w:val="single" w:sz="4" w:space="0" w:color="B6DDE8"/>
              <w:right w:val="single" w:sz="4" w:space="0" w:color="B6DDE8"/>
            </w:tcBorders>
          </w:tcPr>
          <w:p w14:paraId="12F9A155" w14:textId="77777777" w:rsidR="00AF6681" w:rsidRDefault="00DD75EA">
            <w:pPr>
              <w:spacing w:after="0" w:line="259" w:lineRule="auto"/>
              <w:ind w:left="0" w:firstLine="0"/>
              <w:jc w:val="left"/>
            </w:pPr>
            <w:r>
              <w:lastRenderedPageBreak/>
              <w:t xml:space="preserve">Piegādes termiņš </w:t>
            </w:r>
          </w:p>
        </w:tc>
        <w:tc>
          <w:tcPr>
            <w:tcW w:w="4961" w:type="dxa"/>
            <w:tcBorders>
              <w:top w:val="single" w:sz="4" w:space="0" w:color="B6DDE8"/>
              <w:left w:val="single" w:sz="4" w:space="0" w:color="B6DDE8"/>
              <w:bottom w:val="single" w:sz="4" w:space="0" w:color="B6DDE8"/>
              <w:right w:val="single" w:sz="4" w:space="0" w:color="B6DDE8"/>
            </w:tcBorders>
          </w:tcPr>
          <w:p w14:paraId="0DAEF3CD" w14:textId="77777777" w:rsidR="00AF6681" w:rsidRDefault="00DD75EA">
            <w:pPr>
              <w:spacing w:after="0" w:line="356" w:lineRule="auto"/>
              <w:ind w:left="0" w:firstLine="0"/>
            </w:pPr>
            <w:r>
              <w:t xml:space="preserve">īsākais piedāvātais termiņš / Attiecīgā </w:t>
            </w:r>
            <w:r>
              <w:t xml:space="preserve">pretendenta piedāvātais termiņš × 5. </w:t>
            </w:r>
          </w:p>
          <w:p w14:paraId="0BCBC29D" w14:textId="77777777" w:rsidR="00AF6681" w:rsidRDefault="00DD75EA">
            <w:pPr>
              <w:spacing w:after="105" w:line="259" w:lineRule="auto"/>
              <w:ind w:left="0" w:firstLine="0"/>
              <w:jc w:val="left"/>
            </w:pPr>
            <w:r>
              <w:t xml:space="preserve"> </w:t>
            </w:r>
          </w:p>
          <w:p w14:paraId="22F5AAEC" w14:textId="77777777" w:rsidR="00AF6681" w:rsidRDefault="00DD75EA">
            <w:pPr>
              <w:spacing w:after="0" w:line="259" w:lineRule="auto"/>
              <w:ind w:left="0" w:right="53" w:firstLine="0"/>
            </w:pPr>
            <w:r>
              <w:rPr>
                <w:i/>
              </w:rPr>
              <w:t>Punkti piešķirami tikai par termiņiem, kas nepārsniedz 6 mēnešus; ja pretendents piedāvā ilgāku, punkti = 0.</w:t>
            </w:r>
            <w:r>
              <w:t xml:space="preserve"> </w:t>
            </w:r>
          </w:p>
        </w:tc>
        <w:tc>
          <w:tcPr>
            <w:tcW w:w="1549" w:type="dxa"/>
            <w:tcBorders>
              <w:top w:val="single" w:sz="4" w:space="0" w:color="B6DDE8"/>
              <w:left w:val="single" w:sz="4" w:space="0" w:color="B6DDE8"/>
              <w:bottom w:val="single" w:sz="4" w:space="0" w:color="B6DDE8"/>
              <w:right w:val="single" w:sz="4" w:space="0" w:color="B6DDE8"/>
            </w:tcBorders>
          </w:tcPr>
          <w:p w14:paraId="45AAE7D1" w14:textId="77777777" w:rsidR="00AF6681" w:rsidRDefault="00DD75EA">
            <w:pPr>
              <w:spacing w:after="0" w:line="259" w:lineRule="auto"/>
              <w:ind w:left="0" w:right="56" w:firstLine="0"/>
              <w:jc w:val="center"/>
            </w:pPr>
            <w:r>
              <w:t xml:space="preserve">5 </w:t>
            </w:r>
          </w:p>
        </w:tc>
      </w:tr>
      <w:tr w:rsidR="00AF6681" w14:paraId="3B09A232" w14:textId="77777777">
        <w:trPr>
          <w:trHeight w:val="5703"/>
        </w:trPr>
        <w:tc>
          <w:tcPr>
            <w:tcW w:w="2122" w:type="dxa"/>
            <w:tcBorders>
              <w:top w:val="single" w:sz="4" w:space="0" w:color="B6DDE8"/>
              <w:left w:val="single" w:sz="4" w:space="0" w:color="B6DDE8"/>
              <w:bottom w:val="single" w:sz="4" w:space="0" w:color="B6DDE8"/>
              <w:right w:val="single" w:sz="4" w:space="0" w:color="B6DDE8"/>
            </w:tcBorders>
          </w:tcPr>
          <w:p w14:paraId="3FD10034" w14:textId="77777777" w:rsidR="00AF6681" w:rsidRDefault="00DD75EA">
            <w:pPr>
              <w:tabs>
                <w:tab w:val="right" w:pos="1961"/>
              </w:tabs>
              <w:spacing w:after="109" w:line="259" w:lineRule="auto"/>
              <w:ind w:left="0" w:firstLine="0"/>
              <w:jc w:val="left"/>
            </w:pPr>
            <w:r>
              <w:t xml:space="preserve">Servisa </w:t>
            </w:r>
            <w:r>
              <w:tab/>
              <w:t xml:space="preserve">centra </w:t>
            </w:r>
          </w:p>
          <w:p w14:paraId="5001B36A" w14:textId="77777777" w:rsidR="00AF6681" w:rsidRDefault="00DD75EA">
            <w:pPr>
              <w:spacing w:after="0" w:line="259" w:lineRule="auto"/>
              <w:ind w:left="0" w:firstLine="0"/>
              <w:jc w:val="left"/>
            </w:pPr>
            <w:r>
              <w:t xml:space="preserve">pieejamība </w:t>
            </w:r>
          </w:p>
        </w:tc>
        <w:tc>
          <w:tcPr>
            <w:tcW w:w="4961" w:type="dxa"/>
            <w:tcBorders>
              <w:top w:val="single" w:sz="4" w:space="0" w:color="B6DDE8"/>
              <w:left w:val="single" w:sz="4" w:space="0" w:color="B6DDE8"/>
              <w:bottom w:val="single" w:sz="4" w:space="0" w:color="B6DDE8"/>
              <w:right w:val="single" w:sz="4" w:space="0" w:color="B6DDE8"/>
            </w:tcBorders>
          </w:tcPr>
          <w:p w14:paraId="6C4CD241" w14:textId="77777777" w:rsidR="00AF6681" w:rsidRDefault="00DD75EA">
            <w:pPr>
              <w:spacing w:after="0" w:line="356" w:lineRule="auto"/>
              <w:ind w:left="0" w:firstLine="0"/>
              <w:jc w:val="left"/>
            </w:pPr>
            <w:r>
              <w:t xml:space="preserve">Ja servisa centrs pieejams Latvijā, tiek piešķirti 5 punkti.  </w:t>
            </w:r>
          </w:p>
          <w:p w14:paraId="5A2B0544" w14:textId="77777777" w:rsidR="00AF6681" w:rsidRDefault="00DD75EA">
            <w:pPr>
              <w:spacing w:after="0" w:line="356" w:lineRule="auto"/>
              <w:ind w:left="0" w:firstLine="0"/>
              <w:jc w:val="left"/>
            </w:pPr>
            <w:r>
              <w:t xml:space="preserve">Ja </w:t>
            </w:r>
            <w:r>
              <w:t xml:space="preserve">servisa centrs pieejams Baltijā, tiek piešķirti 3 punkti.  </w:t>
            </w:r>
          </w:p>
          <w:p w14:paraId="3F75F312" w14:textId="77777777" w:rsidR="00AF6681" w:rsidRDefault="00DD75EA">
            <w:pPr>
              <w:spacing w:after="105" w:line="259" w:lineRule="auto"/>
              <w:ind w:left="0" w:firstLine="0"/>
              <w:jc w:val="left"/>
            </w:pPr>
            <w:r>
              <w:t xml:space="preserve">Cits variants – tiek piešķirti 0 punkti. </w:t>
            </w:r>
          </w:p>
          <w:p w14:paraId="2AFACC90" w14:textId="77777777" w:rsidR="00AF6681" w:rsidRDefault="00DD75EA">
            <w:pPr>
              <w:spacing w:after="103" w:line="259" w:lineRule="auto"/>
              <w:ind w:left="0" w:firstLine="0"/>
              <w:jc w:val="left"/>
            </w:pPr>
            <w:r>
              <w:t xml:space="preserve"> </w:t>
            </w:r>
          </w:p>
          <w:p w14:paraId="72866DAD" w14:textId="77777777" w:rsidR="00AF6681" w:rsidRDefault="00DD75EA">
            <w:pPr>
              <w:spacing w:after="0" w:line="259" w:lineRule="auto"/>
              <w:ind w:left="0" w:right="53" w:firstLine="0"/>
            </w:pPr>
            <w:r>
              <w:t xml:space="preserve">Servisa pieejamība Latvijā nodrošina augstāku digitalizācijas procesa noturību un minimizē ražošanas un pakalpojumu pārtraukumus, kas ir tieši </w:t>
            </w:r>
            <w:r>
              <w:t xml:space="preserve">saistīts ar programmas “Atbalsts procesu digitalizācijai un mākslīgā intelekta risinājumiem” mērķi – paaugstināt uzņēmuma produktivitāti un konkurētspēju. Kritērijs tiek noteikts, lai samazinātu risku, ka programmas rezultāti netiek sasniegti tehniskās atbalsta nepieejamības dēļ. </w:t>
            </w:r>
          </w:p>
        </w:tc>
        <w:tc>
          <w:tcPr>
            <w:tcW w:w="1549" w:type="dxa"/>
            <w:tcBorders>
              <w:top w:val="single" w:sz="4" w:space="0" w:color="B6DDE8"/>
              <w:left w:val="single" w:sz="4" w:space="0" w:color="B6DDE8"/>
              <w:bottom w:val="single" w:sz="4" w:space="0" w:color="B6DDE8"/>
              <w:right w:val="single" w:sz="4" w:space="0" w:color="B6DDE8"/>
            </w:tcBorders>
          </w:tcPr>
          <w:p w14:paraId="2A2A7CFC" w14:textId="77777777" w:rsidR="00AF6681" w:rsidRDefault="00DD75EA">
            <w:pPr>
              <w:spacing w:after="0" w:line="259" w:lineRule="auto"/>
              <w:ind w:left="0" w:right="56" w:firstLine="0"/>
              <w:jc w:val="center"/>
            </w:pPr>
            <w:r>
              <w:t xml:space="preserve">5 </w:t>
            </w:r>
          </w:p>
        </w:tc>
      </w:tr>
    </w:tbl>
    <w:p w14:paraId="7BA0190C" w14:textId="77777777" w:rsidR="00AF6681" w:rsidRDefault="00DD75EA">
      <w:pPr>
        <w:pStyle w:val="Heading1"/>
        <w:ind w:left="266" w:hanging="281"/>
      </w:pPr>
      <w:r>
        <w:t xml:space="preserve">Īpašie līguma nosacījumi </w:t>
      </w:r>
    </w:p>
    <w:p w14:paraId="47EDED1A" w14:textId="77777777" w:rsidR="00AF6681" w:rsidRDefault="00DD75EA">
      <w:pPr>
        <w:spacing w:line="356" w:lineRule="auto"/>
        <w:ind w:left="-5"/>
      </w:pPr>
      <w:r w:rsidRPr="00791200">
        <w:t xml:space="preserve">Pasūtītājam ir tiesības prasīt, lai piegādātājs ievēro visus nolikumā un līgumā noteiktos termiņus. Piedāvātā cena ir fiksēta uz visu līguma izpildes periodu, un tā nedrīkst tikt mainīta, izņemot gadījumus, kas tieši paredzēti normatīvajos aktos. </w:t>
      </w:r>
    </w:p>
    <w:p w14:paraId="21EA689D" w14:textId="77777777" w:rsidR="00791200" w:rsidRPr="00791200" w:rsidRDefault="00791200">
      <w:pPr>
        <w:spacing w:line="356" w:lineRule="auto"/>
        <w:ind w:left="-5"/>
      </w:pPr>
    </w:p>
    <w:p w14:paraId="0DADCF25" w14:textId="77777777" w:rsidR="00AF6681" w:rsidRDefault="00DD75EA">
      <w:pPr>
        <w:pStyle w:val="Heading1"/>
        <w:spacing w:after="76"/>
        <w:ind w:left="266" w:hanging="281"/>
      </w:pPr>
      <w:r>
        <w:t xml:space="preserve">Nobeiguma noteikumi </w:t>
      </w:r>
    </w:p>
    <w:p w14:paraId="5FF089F8" w14:textId="77777777" w:rsidR="00AF6681" w:rsidRPr="00791200" w:rsidRDefault="00DD75EA">
      <w:pPr>
        <w:spacing w:after="537" w:line="356" w:lineRule="auto"/>
        <w:ind w:left="-5"/>
      </w:pPr>
      <w:r w:rsidRPr="00791200">
        <w:t xml:space="preserve">Pasūtītājam ir tiesības grozīt nolikumu, ja tas ir nepieciešams, pagarinot piedāvājumu iesniegšanas termiņu vismaz par piecām darba dienām. Visi iesniegtie piedāvājumi un to izvērtēšana notiek saskaņā ar spēkā esošajiem Latvijas Republikas normatīvajiem aktiem, tai skaitā Publisko iepirkumu likumu, MK noteikumiem Nr. 104 un programmas “Atbalsts procesu digitalizācijai un mākslīgā intelekta risinājumiem” noteikumiem. </w:t>
      </w:r>
    </w:p>
    <w:p w14:paraId="29E9CC88" w14:textId="77777777" w:rsidR="00AF6681" w:rsidRDefault="00DD75EA" w:rsidP="0042746A">
      <w:pPr>
        <w:pStyle w:val="Heading1"/>
        <w:ind w:left="266" w:hanging="281"/>
        <w:jc w:val="both"/>
      </w:pPr>
      <w:r>
        <w:lastRenderedPageBreak/>
        <w:t xml:space="preserve">Tehniskā specifikācija </w:t>
      </w:r>
    </w:p>
    <w:p w14:paraId="19BC555F" w14:textId="4E80B2E1" w:rsidR="00635DE1" w:rsidRPr="0042746A" w:rsidRDefault="00DD75EA" w:rsidP="0042746A">
      <w:pPr>
        <w:spacing w:after="197" w:line="358" w:lineRule="auto"/>
        <w:ind w:left="-5"/>
      </w:pPr>
      <w:r w:rsidRPr="00AA1688">
        <w:t xml:space="preserve">6.1. </w:t>
      </w:r>
      <w:r w:rsidR="00F01CBC" w:rsidRPr="00AA1688">
        <w:t>A</w:t>
      </w:r>
      <w:r w:rsidRPr="00AA1688">
        <w:t>utomātiska maliņu apstrādes iekārta vai ekvivalents aprīkojums, kas paredzēts</w:t>
      </w:r>
      <w:r w:rsidRPr="0042746A">
        <w:t xml:space="preserve"> uzņēmuma ražošanas procesu digitalizācijai un automatizācijai. </w:t>
      </w:r>
    </w:p>
    <w:p w14:paraId="1A409E48" w14:textId="10BF99C1" w:rsidR="00AF6681" w:rsidRPr="00F01CBC" w:rsidRDefault="00DD75EA" w:rsidP="0042746A">
      <w:pPr>
        <w:ind w:left="-5"/>
        <w:rPr>
          <w:u w:val="single"/>
        </w:rPr>
      </w:pPr>
      <w:r w:rsidRPr="00F01CBC">
        <w:rPr>
          <w:u w:val="single"/>
        </w:rPr>
        <w:t>6.</w:t>
      </w:r>
      <w:r w:rsidR="00F01CBC" w:rsidRPr="00F01CBC">
        <w:rPr>
          <w:u w:val="single"/>
        </w:rPr>
        <w:t>1</w:t>
      </w:r>
      <w:r w:rsidRPr="00F01CBC">
        <w:rPr>
          <w:u w:val="single"/>
        </w:rPr>
        <w:t>.</w:t>
      </w:r>
      <w:r w:rsidR="00F01CBC" w:rsidRPr="00F01CBC">
        <w:rPr>
          <w:u w:val="single"/>
        </w:rPr>
        <w:t>1.</w:t>
      </w:r>
      <w:r w:rsidRPr="00F01CBC">
        <w:rPr>
          <w:u w:val="single"/>
        </w:rPr>
        <w:t xml:space="preserve"> Minimālās tehniskās prasības: </w:t>
      </w:r>
    </w:p>
    <w:p w14:paraId="3C04EA00" w14:textId="77777777" w:rsidR="00AF6681" w:rsidRDefault="00DD75EA" w:rsidP="0042746A">
      <w:pPr>
        <w:numPr>
          <w:ilvl w:val="0"/>
          <w:numId w:val="2"/>
        </w:numPr>
        <w:ind w:hanging="127"/>
      </w:pPr>
      <w:r>
        <w:t xml:space="preserve">Maksimālais maliņu materiāla biezums: vismaz 8 mm; </w:t>
      </w:r>
    </w:p>
    <w:p w14:paraId="2391E488" w14:textId="77777777" w:rsidR="00AF6681" w:rsidRDefault="00DD75EA" w:rsidP="0042746A">
      <w:pPr>
        <w:numPr>
          <w:ilvl w:val="0"/>
          <w:numId w:val="2"/>
        </w:numPr>
        <w:spacing w:after="103" w:line="259" w:lineRule="auto"/>
        <w:ind w:hanging="127"/>
      </w:pPr>
      <w:r>
        <w:t xml:space="preserve">Minimālais sagatavju biezums: ne lielāks 8 mm </w:t>
      </w:r>
    </w:p>
    <w:p w14:paraId="2EF909C7" w14:textId="77777777" w:rsidR="00AF6681" w:rsidRDefault="00DD75EA" w:rsidP="0042746A">
      <w:pPr>
        <w:numPr>
          <w:ilvl w:val="0"/>
          <w:numId w:val="2"/>
        </w:numPr>
        <w:spacing w:after="103" w:line="259" w:lineRule="auto"/>
        <w:ind w:hanging="127"/>
      </w:pPr>
      <w:r>
        <w:t xml:space="preserve">Maksimālais sagatavju biezums ne mazāks kā 60 mm. </w:t>
      </w:r>
    </w:p>
    <w:p w14:paraId="22F8DF00" w14:textId="77777777" w:rsidR="00AF6681" w:rsidRDefault="00DD75EA" w:rsidP="0042746A">
      <w:pPr>
        <w:numPr>
          <w:ilvl w:val="0"/>
          <w:numId w:val="2"/>
        </w:numPr>
        <w:ind w:hanging="127"/>
      </w:pPr>
      <w:r>
        <w:t xml:space="preserve">Minimālais sagataves garums: vismaz 150 mm. </w:t>
      </w:r>
    </w:p>
    <w:p w14:paraId="408FD652" w14:textId="77777777" w:rsidR="00AF6681" w:rsidRDefault="00DD75EA" w:rsidP="0042746A">
      <w:pPr>
        <w:numPr>
          <w:ilvl w:val="0"/>
          <w:numId w:val="2"/>
        </w:numPr>
        <w:ind w:hanging="127"/>
      </w:pPr>
      <w:r>
        <w:t xml:space="preserve">Minimālais sagataves platums: vismaz 100 mm. </w:t>
      </w:r>
    </w:p>
    <w:p w14:paraId="691DE107" w14:textId="77777777" w:rsidR="00AF6681" w:rsidRDefault="00DD75EA" w:rsidP="0042746A">
      <w:pPr>
        <w:numPr>
          <w:ilvl w:val="0"/>
          <w:numId w:val="2"/>
        </w:numPr>
        <w:ind w:hanging="127"/>
      </w:pPr>
      <w:r>
        <w:t xml:space="preserve">Maksimālais padeves ātrums: ne mazāks kā 15 metri minūtē. </w:t>
      </w:r>
    </w:p>
    <w:p w14:paraId="3A4EB032" w14:textId="77777777" w:rsidR="00AF6681" w:rsidRDefault="00DD75EA" w:rsidP="0042746A">
      <w:pPr>
        <w:numPr>
          <w:ilvl w:val="0"/>
          <w:numId w:val="2"/>
        </w:numPr>
        <w:ind w:hanging="127"/>
      </w:pPr>
      <w:r>
        <w:t xml:space="preserve">Iekārtai jābūt aprīkotai ar sekojošiem apstrādes mezgliem un to raksturojumu: </w:t>
      </w:r>
    </w:p>
    <w:p w14:paraId="77CA4228" w14:textId="77777777" w:rsidR="00AF6681" w:rsidRDefault="00DD75EA" w:rsidP="0042746A">
      <w:pPr>
        <w:numPr>
          <w:ilvl w:val="0"/>
          <w:numId w:val="2"/>
        </w:numPr>
        <w:ind w:hanging="127"/>
      </w:pPr>
      <w:r>
        <w:t xml:space="preserve">priekšfrēzēšanas mezgls: </w:t>
      </w:r>
    </w:p>
    <w:p w14:paraId="2558EA20" w14:textId="77777777" w:rsidR="00AF6681" w:rsidRDefault="00DD75EA" w:rsidP="0042746A">
      <w:pPr>
        <w:numPr>
          <w:ilvl w:val="0"/>
          <w:numId w:val="2"/>
        </w:numPr>
        <w:ind w:hanging="127"/>
      </w:pPr>
      <w:r>
        <w:t xml:space="preserve">divi motori ar savstarpēji pretēji rotējošām frēzgalvām; </w:t>
      </w:r>
    </w:p>
    <w:p w14:paraId="5F1A8F30" w14:textId="77777777" w:rsidR="00AF6681" w:rsidRDefault="00DD75EA" w:rsidP="0042746A">
      <w:pPr>
        <w:numPr>
          <w:ilvl w:val="0"/>
          <w:numId w:val="2"/>
        </w:numPr>
        <w:ind w:hanging="127"/>
      </w:pPr>
      <w:r>
        <w:t xml:space="preserve">frēzgalvu apstrādes augstums ne mazāks kā 43 mm; </w:t>
      </w:r>
    </w:p>
    <w:p w14:paraId="18F3FBCE" w14:textId="77777777" w:rsidR="00AF6681" w:rsidRDefault="00DD75EA" w:rsidP="0042746A">
      <w:pPr>
        <w:numPr>
          <w:ilvl w:val="0"/>
          <w:numId w:val="2"/>
        </w:numPr>
        <w:spacing w:after="124"/>
        <w:ind w:hanging="127"/>
      </w:pPr>
      <w:r>
        <w:t xml:space="preserve">frēzgalvu nažu materiāls – dimants; </w:t>
      </w:r>
    </w:p>
    <w:p w14:paraId="630FDFBB" w14:textId="77777777" w:rsidR="00AF6681" w:rsidRDefault="00DD75EA" w:rsidP="0042746A">
      <w:pPr>
        <w:numPr>
          <w:ilvl w:val="0"/>
          <w:numId w:val="2"/>
        </w:numPr>
        <w:spacing w:after="130"/>
        <w:ind w:hanging="127"/>
      </w:pPr>
      <w:r>
        <w:t xml:space="preserve">līmes mezgls: </w:t>
      </w:r>
    </w:p>
    <w:p w14:paraId="7306F73A" w14:textId="77777777" w:rsidR="00AF6681" w:rsidRDefault="00DD75EA" w:rsidP="0042746A">
      <w:pPr>
        <w:numPr>
          <w:ilvl w:val="0"/>
          <w:numId w:val="2"/>
        </w:numPr>
        <w:spacing w:after="133"/>
        <w:ind w:hanging="127"/>
      </w:pPr>
      <w:r>
        <w:t xml:space="preserve">līmes mezgla novietojums – virs padeves konveijera; </w:t>
      </w:r>
    </w:p>
    <w:p w14:paraId="6D47544B" w14:textId="77777777" w:rsidR="00AF6681" w:rsidRDefault="00DD75EA" w:rsidP="0042746A">
      <w:pPr>
        <w:numPr>
          <w:ilvl w:val="0"/>
          <w:numId w:val="2"/>
        </w:numPr>
        <w:spacing w:after="130"/>
        <w:ind w:hanging="127"/>
      </w:pPr>
      <w:r>
        <w:t xml:space="preserve">līmes </w:t>
      </w:r>
      <w:r>
        <w:t xml:space="preserve">veltņa rotācija – reversējama; </w:t>
      </w:r>
    </w:p>
    <w:p w14:paraId="6479B48F" w14:textId="77777777" w:rsidR="00AF6681" w:rsidRDefault="00DD75EA" w:rsidP="0042746A">
      <w:pPr>
        <w:numPr>
          <w:ilvl w:val="0"/>
          <w:numId w:val="2"/>
        </w:numPr>
        <w:spacing w:after="130"/>
        <w:ind w:hanging="127"/>
      </w:pPr>
      <w:r>
        <w:t xml:space="preserve">iespēja izmantot gan karsto līmi (EVA), gan poliuretāna līmi (PUR); </w:t>
      </w:r>
    </w:p>
    <w:p w14:paraId="545D6C2B" w14:textId="77777777" w:rsidR="00AA1688" w:rsidRDefault="00DD75EA" w:rsidP="0042746A">
      <w:pPr>
        <w:numPr>
          <w:ilvl w:val="0"/>
          <w:numId w:val="2"/>
        </w:numPr>
        <w:spacing w:after="0" w:line="387" w:lineRule="auto"/>
        <w:ind w:hanging="127"/>
      </w:pPr>
      <w:r>
        <w:t>jābūt aprīkotam ar līmes katla ātrās nomaiņas sistēmu;</w:t>
      </w:r>
    </w:p>
    <w:p w14:paraId="2C10C0C5" w14:textId="18754A40" w:rsidR="00AF6681" w:rsidRDefault="00DD75EA" w:rsidP="0042746A">
      <w:pPr>
        <w:numPr>
          <w:ilvl w:val="0"/>
          <w:numId w:val="2"/>
        </w:numPr>
        <w:spacing w:after="0" w:line="387" w:lineRule="auto"/>
        <w:ind w:hanging="127"/>
      </w:pPr>
      <w:r>
        <w:t xml:space="preserve">maliņas garināšanas mezgls ar zāģripām: </w:t>
      </w:r>
    </w:p>
    <w:p w14:paraId="19C011D9" w14:textId="77777777" w:rsidR="00AF6681" w:rsidRDefault="00DD75EA" w:rsidP="0042746A">
      <w:pPr>
        <w:numPr>
          <w:ilvl w:val="0"/>
          <w:numId w:val="2"/>
        </w:numPr>
        <w:spacing w:after="130"/>
        <w:ind w:hanging="127"/>
      </w:pPr>
      <w:r>
        <w:t xml:space="preserve">ne mazāk kā divi motori; </w:t>
      </w:r>
    </w:p>
    <w:p w14:paraId="1B761638" w14:textId="77777777" w:rsidR="00AA1688" w:rsidRDefault="00DD75EA" w:rsidP="0042746A">
      <w:pPr>
        <w:numPr>
          <w:ilvl w:val="0"/>
          <w:numId w:val="2"/>
        </w:numPr>
        <w:spacing w:after="0" w:line="387" w:lineRule="auto"/>
        <w:ind w:hanging="127"/>
      </w:pPr>
      <w:r>
        <w:t>zāģripu rotācijas ātrums ne mazāks kā 16 000 apgr./min;</w:t>
      </w:r>
      <w:r w:rsidR="00AA1688">
        <w:t xml:space="preserve"> </w:t>
      </w:r>
    </w:p>
    <w:p w14:paraId="787961DC" w14:textId="3D2ED433" w:rsidR="00AF6681" w:rsidRDefault="00DD75EA" w:rsidP="0042746A">
      <w:pPr>
        <w:numPr>
          <w:ilvl w:val="0"/>
          <w:numId w:val="2"/>
        </w:numPr>
        <w:spacing w:after="0" w:line="387" w:lineRule="auto"/>
        <w:ind w:hanging="127"/>
      </w:pPr>
      <w:r>
        <w:t xml:space="preserve">pirmais maliņas pārkaru nofrēzēšanas mezgls: </w:t>
      </w:r>
    </w:p>
    <w:p w14:paraId="63AC1F51" w14:textId="77777777" w:rsidR="00AF6681" w:rsidRDefault="00DD75EA" w:rsidP="0042746A">
      <w:pPr>
        <w:numPr>
          <w:ilvl w:val="0"/>
          <w:numId w:val="2"/>
        </w:numPr>
        <w:ind w:hanging="127"/>
      </w:pPr>
      <w:r>
        <w:t xml:space="preserve">ne mazāk kā divi motori; </w:t>
      </w:r>
    </w:p>
    <w:p w14:paraId="5D3A63EE" w14:textId="77777777" w:rsidR="00AF6681" w:rsidRDefault="00DD75EA" w:rsidP="0042746A">
      <w:pPr>
        <w:numPr>
          <w:ilvl w:val="0"/>
          <w:numId w:val="2"/>
        </w:numPr>
        <w:ind w:hanging="127"/>
      </w:pPr>
      <w:r>
        <w:t xml:space="preserve">frēzgalvu rotācijas ātrums ne mazāks kā 16 000 apgr./min; </w:t>
      </w:r>
    </w:p>
    <w:p w14:paraId="19977EC3" w14:textId="77777777" w:rsidR="00AA1688" w:rsidRDefault="00DD75EA" w:rsidP="0042746A">
      <w:pPr>
        <w:numPr>
          <w:ilvl w:val="0"/>
          <w:numId w:val="2"/>
        </w:numPr>
        <w:spacing w:after="27" w:line="356" w:lineRule="auto"/>
        <w:ind w:hanging="127"/>
      </w:pPr>
      <w:r>
        <w:t>pneimatiskā pozicionēšana 3 dažādās pozīcijās no centrālās vadības pults;</w:t>
      </w:r>
    </w:p>
    <w:p w14:paraId="241884D1" w14:textId="27617BEC" w:rsidR="00AF6681" w:rsidRDefault="00DD75EA" w:rsidP="0042746A">
      <w:pPr>
        <w:numPr>
          <w:ilvl w:val="0"/>
          <w:numId w:val="2"/>
        </w:numPr>
        <w:spacing w:after="27" w:line="356" w:lineRule="auto"/>
        <w:ind w:hanging="127"/>
      </w:pPr>
      <w:r>
        <w:t xml:space="preserve">frēzglvām jābūt aprīkotām ar 3 dažāda profila nažiem, 3 dažādu maliņas profilu apstrādei; </w:t>
      </w:r>
    </w:p>
    <w:p w14:paraId="5BAC1A38" w14:textId="77777777" w:rsidR="00AF6681" w:rsidRDefault="00DD75EA" w:rsidP="0042746A">
      <w:pPr>
        <w:numPr>
          <w:ilvl w:val="0"/>
          <w:numId w:val="2"/>
        </w:numPr>
        <w:spacing w:after="130"/>
        <w:ind w:hanging="127"/>
      </w:pPr>
      <w:r>
        <w:t xml:space="preserve">otrais maliņas pārkaru nofrēzēšanas mezgls: </w:t>
      </w:r>
    </w:p>
    <w:p w14:paraId="7476BD71" w14:textId="77777777" w:rsidR="00AF6681" w:rsidRDefault="00DD75EA" w:rsidP="0042746A">
      <w:pPr>
        <w:numPr>
          <w:ilvl w:val="0"/>
          <w:numId w:val="2"/>
        </w:numPr>
        <w:spacing w:after="130"/>
        <w:ind w:hanging="127"/>
      </w:pPr>
      <w:r>
        <w:t xml:space="preserve">ne mazāk kā divi motori; </w:t>
      </w:r>
    </w:p>
    <w:p w14:paraId="7C14E516" w14:textId="77777777" w:rsidR="00AA1688" w:rsidRDefault="00DD75EA" w:rsidP="0042746A">
      <w:pPr>
        <w:numPr>
          <w:ilvl w:val="0"/>
          <w:numId w:val="2"/>
        </w:numPr>
        <w:spacing w:after="0" w:line="387" w:lineRule="auto"/>
        <w:ind w:hanging="127"/>
      </w:pPr>
      <w:r>
        <w:t>frēzgalvu rotācijas ātrums ne mazāks kā 16 000 apgr./min;</w:t>
      </w:r>
    </w:p>
    <w:p w14:paraId="0A4E95DC" w14:textId="44D35FF4" w:rsidR="00AF6681" w:rsidRDefault="00DD75EA" w:rsidP="0042746A">
      <w:pPr>
        <w:numPr>
          <w:ilvl w:val="0"/>
          <w:numId w:val="2"/>
        </w:numPr>
        <w:spacing w:after="0" w:line="387" w:lineRule="auto"/>
        <w:ind w:hanging="127"/>
      </w:pPr>
      <w:r>
        <w:lastRenderedPageBreak/>
        <w:t xml:space="preserve">- stūru noapaļošanas mezgls: </w:t>
      </w:r>
    </w:p>
    <w:p w14:paraId="03D7CB81" w14:textId="77777777" w:rsidR="00AF6681" w:rsidRDefault="00DD75EA" w:rsidP="0042746A">
      <w:pPr>
        <w:numPr>
          <w:ilvl w:val="0"/>
          <w:numId w:val="2"/>
        </w:numPr>
        <w:ind w:hanging="127"/>
      </w:pPr>
      <w:r>
        <w:t xml:space="preserve">jābūt aprīkotam ar motora </w:t>
      </w:r>
      <w:r>
        <w:t xml:space="preserve">ātrās nomaiņas sistēmu; </w:t>
      </w:r>
    </w:p>
    <w:p w14:paraId="08A6B848" w14:textId="77777777" w:rsidR="00AF6681" w:rsidRDefault="00DD75EA" w:rsidP="0042746A">
      <w:pPr>
        <w:numPr>
          <w:ilvl w:val="0"/>
          <w:numId w:val="2"/>
        </w:numPr>
        <w:spacing w:after="25" w:line="358" w:lineRule="auto"/>
        <w:ind w:hanging="127"/>
      </w:pPr>
      <w:r>
        <w:t xml:space="preserve">komplektā jābūt diviem ātri maināmiem motoriem ar frēgalvām divu dažādu maliņas profilu apstrādei; </w:t>
      </w:r>
    </w:p>
    <w:p w14:paraId="7EF86045" w14:textId="77777777" w:rsidR="00AF6681" w:rsidRDefault="00DD75EA" w:rsidP="0042746A">
      <w:pPr>
        <w:numPr>
          <w:ilvl w:val="0"/>
          <w:numId w:val="2"/>
        </w:numPr>
        <w:spacing w:after="130"/>
        <w:ind w:hanging="127"/>
      </w:pPr>
      <w:r>
        <w:t xml:space="preserve">maliņas cīkliņošanas mezgls: </w:t>
      </w:r>
    </w:p>
    <w:p w14:paraId="19922729" w14:textId="77777777" w:rsidR="00AF6681" w:rsidRDefault="00DD75EA" w:rsidP="0042746A">
      <w:pPr>
        <w:numPr>
          <w:ilvl w:val="0"/>
          <w:numId w:val="2"/>
        </w:numPr>
        <w:spacing w:after="130"/>
        <w:ind w:hanging="127"/>
      </w:pPr>
      <w:r>
        <w:t xml:space="preserve">pneimatiskā pozicionēšana vismaz 2 dažādās pozīcijās no centrālās vadības pults; </w:t>
      </w:r>
    </w:p>
    <w:p w14:paraId="16F51F8C" w14:textId="77777777" w:rsidR="00AF6681" w:rsidRDefault="00DD75EA" w:rsidP="0042746A">
      <w:pPr>
        <w:numPr>
          <w:ilvl w:val="0"/>
          <w:numId w:val="2"/>
        </w:numPr>
        <w:spacing w:after="130"/>
        <w:ind w:hanging="127"/>
      </w:pPr>
      <w:r>
        <w:t xml:space="preserve">līmes </w:t>
      </w:r>
      <w:r>
        <w:t xml:space="preserve">cīkliņošanas mezgls; </w:t>
      </w:r>
    </w:p>
    <w:p w14:paraId="54C7F48E" w14:textId="77777777" w:rsidR="00AF6681" w:rsidRDefault="00DD75EA" w:rsidP="0042746A">
      <w:pPr>
        <w:numPr>
          <w:ilvl w:val="0"/>
          <w:numId w:val="2"/>
        </w:numPr>
        <w:ind w:hanging="127"/>
      </w:pPr>
      <w:r>
        <w:t xml:space="preserve">suku pulēšanas mezgls; </w:t>
      </w:r>
    </w:p>
    <w:p w14:paraId="15FDDC5B" w14:textId="77777777" w:rsidR="00AF6681" w:rsidRDefault="00DD75EA" w:rsidP="0042746A">
      <w:pPr>
        <w:numPr>
          <w:ilvl w:val="0"/>
          <w:numId w:val="2"/>
        </w:numPr>
        <w:spacing w:after="0" w:line="356" w:lineRule="auto"/>
        <w:ind w:hanging="127"/>
      </w:pPr>
      <w:r>
        <w:t xml:space="preserve">iekārtai jābūt aprīkotai ar vismaz diviem smidzināšanas mezgliem līmes atvieglotai tīrīšanai no sagataves un vienu smidzināšanas mezglu, kas paredzēts delikātu virsmu sagatavju apstrādei; </w:t>
      </w:r>
    </w:p>
    <w:p w14:paraId="46FB50B2" w14:textId="77777777" w:rsidR="00AF6681" w:rsidRDefault="00DD75EA" w:rsidP="0042746A">
      <w:pPr>
        <w:numPr>
          <w:ilvl w:val="0"/>
          <w:numId w:val="2"/>
        </w:numPr>
        <w:ind w:hanging="127"/>
      </w:pPr>
      <w:r>
        <w:t xml:space="preserve">iekārtas ievirzes lineālam jābūt ar sagataves apsildes sistēmu; </w:t>
      </w:r>
    </w:p>
    <w:p w14:paraId="32539B00" w14:textId="77777777" w:rsidR="00AF6681" w:rsidRDefault="00DD75EA" w:rsidP="0042746A">
      <w:pPr>
        <w:numPr>
          <w:ilvl w:val="0"/>
          <w:numId w:val="2"/>
        </w:numPr>
        <w:spacing w:after="0" w:line="358" w:lineRule="auto"/>
        <w:ind w:hanging="127"/>
      </w:pPr>
      <w:r>
        <w:t xml:space="preserve">iekārtas komplektā jābūt konteineram līmes katla, kurš uzpildīts ar poliuretāna līmi (PUR), uzglabāšanai; </w:t>
      </w:r>
    </w:p>
    <w:p w14:paraId="4C6E1CC6" w14:textId="77777777" w:rsidR="00AF6681" w:rsidRDefault="00DD75EA" w:rsidP="0042746A">
      <w:pPr>
        <w:numPr>
          <w:ilvl w:val="0"/>
          <w:numId w:val="2"/>
        </w:numPr>
        <w:spacing w:after="240" w:line="356" w:lineRule="auto"/>
        <w:ind w:hanging="127"/>
      </w:pPr>
      <w:r>
        <w:t xml:space="preserve">vadības sistēma: digitāla vadība ar lietotājam draudzīgu interfeisu, ar skārienjūtīgu ekrānu. - Papildaprīkojums: risinājumi, kas nodrošina uzlabotu ražošanas procesu digitalizāciju, piemēram, datu uzskaites iespējas, energoefektivitātes uzlabojumus un kvalitātes kontroles automatizāciju. </w:t>
      </w:r>
    </w:p>
    <w:p w14:paraId="70AC8A6D" w14:textId="668E4A0E" w:rsidR="00635DE1" w:rsidRPr="00F01CBC" w:rsidRDefault="00635DE1" w:rsidP="0042746A">
      <w:pPr>
        <w:spacing w:after="240" w:line="356" w:lineRule="auto"/>
        <w:rPr>
          <w:b/>
          <w:bCs/>
        </w:rPr>
      </w:pPr>
      <w:r w:rsidRPr="00F01CBC">
        <w:rPr>
          <w:b/>
          <w:bCs/>
        </w:rPr>
        <w:t>6.</w:t>
      </w:r>
      <w:r w:rsidR="00F01CBC" w:rsidRPr="00F01CBC">
        <w:rPr>
          <w:b/>
          <w:bCs/>
        </w:rPr>
        <w:t>2</w:t>
      </w:r>
      <w:r w:rsidRPr="00F01CBC">
        <w:rPr>
          <w:b/>
          <w:bCs/>
        </w:rPr>
        <w:t xml:space="preserve">. </w:t>
      </w:r>
      <w:r w:rsidR="00742181" w:rsidRPr="00F01CBC">
        <w:rPr>
          <w:b/>
          <w:bCs/>
        </w:rPr>
        <w:t>Mākslīgā intelekta vizuālās kvalitātes kontroles sistēma</w:t>
      </w:r>
    </w:p>
    <w:p w14:paraId="29834871" w14:textId="7117EBEE" w:rsidR="00742181" w:rsidRPr="00F01CBC" w:rsidRDefault="00742181" w:rsidP="00AA2F5C">
      <w:pPr>
        <w:spacing w:after="0" w:line="356" w:lineRule="auto"/>
        <w:rPr>
          <w:u w:val="single"/>
        </w:rPr>
      </w:pPr>
      <w:r w:rsidRPr="00F01CBC">
        <w:rPr>
          <w:u w:val="single"/>
        </w:rPr>
        <w:t>6.</w:t>
      </w:r>
      <w:r w:rsidR="00F01CBC" w:rsidRPr="00F01CBC">
        <w:rPr>
          <w:u w:val="single"/>
        </w:rPr>
        <w:t>2</w:t>
      </w:r>
      <w:r w:rsidRPr="00F01CBC">
        <w:rPr>
          <w:u w:val="single"/>
        </w:rPr>
        <w:t>.1. Industriālā kamera</w:t>
      </w:r>
    </w:p>
    <w:p w14:paraId="4D9DE99F" w14:textId="77777777" w:rsidR="00742181" w:rsidRDefault="00742181" w:rsidP="00AA2F5C">
      <w:pPr>
        <w:spacing w:after="0" w:line="240" w:lineRule="auto"/>
      </w:pPr>
      <w:r>
        <w:t>Sistēmas sastāvā jābūt vismaz vienai industriālai kamerai, kas atbilst šādām vispārīgām prasībām:</w:t>
      </w:r>
    </w:p>
    <w:p w14:paraId="3E1863D6" w14:textId="5033A745" w:rsidR="00742181" w:rsidRDefault="00742181" w:rsidP="00AA2F5C">
      <w:pPr>
        <w:pStyle w:val="ListParagraph"/>
        <w:numPr>
          <w:ilvl w:val="0"/>
          <w:numId w:val="2"/>
        </w:numPr>
        <w:spacing w:after="0" w:line="360" w:lineRule="auto"/>
      </w:pPr>
      <w:r>
        <w:t>paredzēta nepārtrauktam darbam industriālā vidē;</w:t>
      </w:r>
    </w:p>
    <w:p w14:paraId="48BAD1DF" w14:textId="28B9026C" w:rsidR="00742181" w:rsidRDefault="00742181" w:rsidP="00AA2F5C">
      <w:pPr>
        <w:pStyle w:val="ListParagraph"/>
        <w:numPr>
          <w:ilvl w:val="0"/>
          <w:numId w:val="2"/>
        </w:numPr>
        <w:spacing w:after="0" w:line="360" w:lineRule="auto"/>
      </w:pPr>
      <w:r>
        <w:t>piemērota ražošanas produktu virsmu, maliņu vai ģeometrisko elementu vizuālai fiksēšanai;</w:t>
      </w:r>
    </w:p>
    <w:p w14:paraId="42123CA4" w14:textId="7CC8496F" w:rsidR="00742181" w:rsidRDefault="00742181" w:rsidP="00AA2F5C">
      <w:pPr>
        <w:pStyle w:val="ListParagraph"/>
        <w:numPr>
          <w:ilvl w:val="0"/>
          <w:numId w:val="2"/>
        </w:numPr>
        <w:spacing w:after="0" w:line="360" w:lineRule="auto"/>
      </w:pPr>
      <w:r>
        <w:t>nodrošina attēlu iegūšanu kvalitātes kontroles nolūkos ražošanas procesā;</w:t>
      </w:r>
    </w:p>
    <w:p w14:paraId="334C8F44" w14:textId="77777777" w:rsidR="00742181" w:rsidRDefault="00742181" w:rsidP="00AA2F5C">
      <w:pPr>
        <w:pStyle w:val="ListParagraph"/>
        <w:numPr>
          <w:ilvl w:val="0"/>
          <w:numId w:val="2"/>
        </w:numPr>
        <w:spacing w:after="0" w:line="360" w:lineRule="auto"/>
      </w:pPr>
      <w:r>
        <w:t>integrējama ar AI programmatūru reāllaika vai tuva reāllaika analīzei;</w:t>
      </w:r>
    </w:p>
    <w:p w14:paraId="0A8733A6" w14:textId="65BA333D" w:rsidR="00742181" w:rsidRDefault="00742181" w:rsidP="00AA2F5C">
      <w:pPr>
        <w:pStyle w:val="ListParagraph"/>
        <w:numPr>
          <w:ilvl w:val="0"/>
          <w:numId w:val="2"/>
        </w:numPr>
        <w:spacing w:after="0" w:line="360" w:lineRule="auto"/>
      </w:pPr>
      <w:r>
        <w:t>kamera un tās stiprinājumi ir piemēroti uzstādīšanai ražošanas iekārtas tuvumā vai uz tās.</w:t>
      </w:r>
    </w:p>
    <w:p w14:paraId="59C8A4E5" w14:textId="3518AAAE" w:rsidR="00742181" w:rsidRPr="0042746A" w:rsidRDefault="00742181" w:rsidP="00AA2F5C">
      <w:pPr>
        <w:spacing w:after="0" w:line="240" w:lineRule="auto"/>
        <w:rPr>
          <w:u w:val="single"/>
        </w:rPr>
      </w:pPr>
      <w:r w:rsidRPr="0042746A">
        <w:rPr>
          <w:u w:val="single"/>
        </w:rPr>
        <w:t>Kameras tehniskie parametri:</w:t>
      </w:r>
    </w:p>
    <w:p w14:paraId="0C6D1AD6" w14:textId="195EA6D9" w:rsidR="00742181" w:rsidRDefault="00742181" w:rsidP="00AA2F5C">
      <w:pPr>
        <w:pStyle w:val="ListParagraph"/>
        <w:numPr>
          <w:ilvl w:val="0"/>
          <w:numId w:val="2"/>
        </w:numPr>
        <w:spacing w:after="0" w:line="360" w:lineRule="auto"/>
      </w:pPr>
      <w:r>
        <w:t>attēla izšķirtspēja – ne mazāka kā 5 megapikseļi, nodrošinot pietiekamu detalizācijas līmeni virsmu, maliņu un struktūras defektu identificēšanai;</w:t>
      </w:r>
    </w:p>
    <w:p w14:paraId="50AB3186" w14:textId="45F7E480" w:rsidR="00742181" w:rsidRDefault="00742181" w:rsidP="0042746A">
      <w:pPr>
        <w:pStyle w:val="ListParagraph"/>
        <w:numPr>
          <w:ilvl w:val="0"/>
          <w:numId w:val="2"/>
        </w:numPr>
        <w:spacing w:after="240" w:line="360" w:lineRule="auto"/>
      </w:pPr>
      <w:r>
        <w:t>attēlu iegūšanas ātrums – ne mazāks kā 20 kadri sekundē, lai nodrošinātu nepārtrauktu kvalitātes kontroli ražošanas procesā;</w:t>
      </w:r>
    </w:p>
    <w:p w14:paraId="5297BAD8" w14:textId="76BB7399" w:rsidR="00742181" w:rsidRDefault="00742181" w:rsidP="0042746A">
      <w:pPr>
        <w:pStyle w:val="ListParagraph"/>
        <w:numPr>
          <w:ilvl w:val="0"/>
          <w:numId w:val="2"/>
        </w:numPr>
        <w:spacing w:after="240" w:line="360" w:lineRule="auto"/>
      </w:pPr>
      <w:r>
        <w:t>objektīvs piemērots industriālai lietošanai, ar fokusēšanas attālumu, kas nodrošina skaidru attēlu ražošanas iekārtas darba zonā;</w:t>
      </w:r>
    </w:p>
    <w:p w14:paraId="21E7D028" w14:textId="5B77B6B2" w:rsidR="00742181" w:rsidRDefault="00742181" w:rsidP="0042746A">
      <w:pPr>
        <w:pStyle w:val="ListParagraph"/>
        <w:numPr>
          <w:ilvl w:val="0"/>
          <w:numId w:val="2"/>
        </w:numPr>
        <w:spacing w:after="240" w:line="360" w:lineRule="auto"/>
      </w:pPr>
      <w:r>
        <w:lastRenderedPageBreak/>
        <w:t>kamera piemērota darbam nepārtrauktā industriālā režīmā, ar vibrāciju un putekļu noturību;</w:t>
      </w:r>
    </w:p>
    <w:p w14:paraId="53D33B09" w14:textId="77777777" w:rsidR="00742181" w:rsidRDefault="00742181" w:rsidP="0042746A">
      <w:pPr>
        <w:pStyle w:val="ListParagraph"/>
        <w:numPr>
          <w:ilvl w:val="0"/>
          <w:numId w:val="2"/>
        </w:numPr>
        <w:spacing w:after="240" w:line="360" w:lineRule="auto"/>
      </w:pPr>
      <w:r>
        <w:t>saderība ar AI attēlapstrādes programmatūru un iespēja nodrošināt attēlu nodošanu reāllaika vai tuva reāllaika analīzei;</w:t>
      </w:r>
    </w:p>
    <w:p w14:paraId="79F2E665" w14:textId="11AA783B" w:rsidR="00742181" w:rsidRDefault="00742181" w:rsidP="0042746A">
      <w:pPr>
        <w:pStyle w:val="ListParagraph"/>
        <w:numPr>
          <w:ilvl w:val="0"/>
          <w:numId w:val="2"/>
        </w:numPr>
        <w:spacing w:after="240" w:line="360" w:lineRule="auto"/>
      </w:pPr>
      <w:r>
        <w:t>iespēja darboties kontrolētā apgaismojumā vai integrācijā ar industriālu apgaismojuma risinājumu, kas nodrošina stabilus attēla kvalitātes apstākļus.</w:t>
      </w:r>
    </w:p>
    <w:p w14:paraId="54C92B9C" w14:textId="7B70F1DE" w:rsidR="00742181" w:rsidRPr="00F01CBC" w:rsidRDefault="00742181" w:rsidP="00AA4C08">
      <w:pPr>
        <w:spacing w:after="0" w:line="240" w:lineRule="auto"/>
        <w:rPr>
          <w:u w:val="single"/>
        </w:rPr>
      </w:pPr>
      <w:r w:rsidRPr="00F01CBC">
        <w:rPr>
          <w:u w:val="single"/>
        </w:rPr>
        <w:t>6.</w:t>
      </w:r>
      <w:r w:rsidR="00F01CBC" w:rsidRPr="00F01CBC">
        <w:rPr>
          <w:u w:val="single"/>
        </w:rPr>
        <w:t>2</w:t>
      </w:r>
      <w:r w:rsidRPr="00F01CBC">
        <w:rPr>
          <w:u w:val="single"/>
        </w:rPr>
        <w:t>.2. Mākslīgā intelekta programmatūra un licence</w:t>
      </w:r>
    </w:p>
    <w:p w14:paraId="3F65C46F" w14:textId="77777777" w:rsidR="00742181" w:rsidRDefault="00742181" w:rsidP="00AA4C08">
      <w:pPr>
        <w:spacing w:after="0" w:line="240" w:lineRule="auto"/>
      </w:pPr>
      <w:r>
        <w:t>Piedāvājumā obligāti jāiekļauj AI programmatūras licence, kas nodrošina:</w:t>
      </w:r>
    </w:p>
    <w:p w14:paraId="3E2DB6C2" w14:textId="1B06FD29" w:rsidR="00742181" w:rsidRDefault="00742181" w:rsidP="00AA4C08">
      <w:pPr>
        <w:pStyle w:val="ListParagraph"/>
        <w:numPr>
          <w:ilvl w:val="0"/>
          <w:numId w:val="2"/>
        </w:numPr>
        <w:spacing w:after="0" w:line="360" w:lineRule="auto"/>
      </w:pPr>
      <w:r>
        <w:t>attēlu analīzi, izmantojot mašīnmācīšanās vai dziļās mācīšanās algoritmus;</w:t>
      </w:r>
    </w:p>
    <w:p w14:paraId="7AC9018C" w14:textId="047B877F" w:rsidR="00742181" w:rsidRDefault="00742181" w:rsidP="00AA4C08">
      <w:pPr>
        <w:pStyle w:val="ListParagraph"/>
        <w:numPr>
          <w:ilvl w:val="0"/>
          <w:numId w:val="2"/>
        </w:numPr>
        <w:spacing w:after="0" w:line="360" w:lineRule="auto"/>
      </w:pPr>
      <w:r>
        <w:t>vizuālu defektu, neatbilstību vai kvalitātes noviržu automātisku atpazīšanu;</w:t>
      </w:r>
    </w:p>
    <w:p w14:paraId="0C4D463B" w14:textId="2A9CBF6E" w:rsidR="00742181" w:rsidRDefault="00742181" w:rsidP="00AA4C08">
      <w:pPr>
        <w:pStyle w:val="ListParagraph"/>
        <w:numPr>
          <w:ilvl w:val="0"/>
          <w:numId w:val="2"/>
        </w:numPr>
        <w:spacing w:after="0" w:line="360" w:lineRule="auto"/>
      </w:pPr>
      <w:r>
        <w:t>sistēmas apmācīšanu, izmantojot ražošanas piemērus (kvalitatīvi / nekvalitatīvi izstrādājumi);</w:t>
      </w:r>
    </w:p>
    <w:p w14:paraId="0B8C0E58" w14:textId="57BD949E" w:rsidR="00742181" w:rsidRDefault="00742181" w:rsidP="00AA4C08">
      <w:pPr>
        <w:pStyle w:val="ListParagraph"/>
        <w:numPr>
          <w:ilvl w:val="0"/>
          <w:numId w:val="2"/>
        </w:numPr>
        <w:spacing w:after="0" w:line="360" w:lineRule="auto"/>
      </w:pPr>
      <w:r>
        <w:t>kvalitātes kontroles rezultātu saglabāšanu un pārskatīšanu digitālā formā.</w:t>
      </w:r>
    </w:p>
    <w:p w14:paraId="170EEF55" w14:textId="77777777" w:rsidR="00742181" w:rsidRPr="0042746A" w:rsidRDefault="00742181" w:rsidP="00AA4C08">
      <w:pPr>
        <w:spacing w:after="0" w:line="240" w:lineRule="auto"/>
        <w:rPr>
          <w:u w:val="single"/>
        </w:rPr>
      </w:pPr>
      <w:r w:rsidRPr="0042746A">
        <w:rPr>
          <w:u w:val="single"/>
        </w:rPr>
        <w:t>Licences nosacījumi:</w:t>
      </w:r>
    </w:p>
    <w:p w14:paraId="33004D8C" w14:textId="1D863B53" w:rsidR="00742181" w:rsidRDefault="00742181" w:rsidP="00AA4C08">
      <w:pPr>
        <w:pStyle w:val="ListParagraph"/>
        <w:numPr>
          <w:ilvl w:val="0"/>
          <w:numId w:val="2"/>
        </w:numPr>
        <w:spacing w:after="0" w:line="360" w:lineRule="auto"/>
      </w:pPr>
      <w:r>
        <w:t>licencei jābūt legālai, sertificētai un izmantošanai tiesiskai Eiropas Savienībā;</w:t>
      </w:r>
    </w:p>
    <w:p w14:paraId="2DABBA25" w14:textId="5E2272B2" w:rsidR="00742181" w:rsidRDefault="00742181" w:rsidP="00AA4C08">
      <w:pPr>
        <w:pStyle w:val="ListParagraph"/>
        <w:numPr>
          <w:ilvl w:val="0"/>
          <w:numId w:val="2"/>
        </w:numPr>
        <w:spacing w:after="0" w:line="360" w:lineRule="auto"/>
      </w:pPr>
      <w:r>
        <w:t>licencei jānodrošina sistēmas darbība vismaz garantijas periodā;</w:t>
      </w:r>
    </w:p>
    <w:p w14:paraId="3010DF74" w14:textId="50CC823B" w:rsidR="00742181" w:rsidRPr="0042746A" w:rsidRDefault="00742181" w:rsidP="00AA4C08">
      <w:pPr>
        <w:spacing w:after="0" w:line="240" w:lineRule="auto"/>
        <w:rPr>
          <w:u w:val="single"/>
        </w:rPr>
      </w:pPr>
      <w:r w:rsidRPr="0042746A">
        <w:rPr>
          <w:u w:val="single"/>
        </w:rPr>
        <w:t>Licence var būt:</w:t>
      </w:r>
    </w:p>
    <w:p w14:paraId="12593FF5" w14:textId="1B12C89E" w:rsidR="00742181" w:rsidRDefault="00742181" w:rsidP="00AA4C08">
      <w:pPr>
        <w:pStyle w:val="ListParagraph"/>
        <w:numPr>
          <w:ilvl w:val="0"/>
          <w:numId w:val="2"/>
        </w:numPr>
        <w:spacing w:after="0" w:line="360" w:lineRule="auto"/>
      </w:pPr>
      <w:r>
        <w:t>termiņlicence vai</w:t>
      </w:r>
    </w:p>
    <w:p w14:paraId="5FA309ED" w14:textId="77777777" w:rsidR="00742181" w:rsidRDefault="00742181" w:rsidP="00AA4C08">
      <w:pPr>
        <w:pStyle w:val="ListParagraph"/>
        <w:numPr>
          <w:ilvl w:val="0"/>
          <w:numId w:val="2"/>
        </w:numPr>
        <w:spacing w:after="0" w:line="360" w:lineRule="auto"/>
      </w:pPr>
      <w:r>
        <w:t>pastāvīga licence,</w:t>
      </w:r>
    </w:p>
    <w:p w14:paraId="70F66626" w14:textId="2433D590" w:rsidR="00F01CBC" w:rsidRDefault="00742181" w:rsidP="00AA4C08">
      <w:pPr>
        <w:pStyle w:val="ListParagraph"/>
        <w:numPr>
          <w:ilvl w:val="0"/>
          <w:numId w:val="2"/>
        </w:numPr>
        <w:spacing w:after="0" w:line="360" w:lineRule="auto"/>
      </w:pPr>
      <w:r>
        <w:t>ar nosacījumu, ka tā nodrošina pilnvērtīgu AI funkcionalitāti.</w:t>
      </w:r>
    </w:p>
    <w:p w14:paraId="5759CA49" w14:textId="7504D17F" w:rsidR="00742181" w:rsidRPr="00F01CBC" w:rsidRDefault="00742181" w:rsidP="00AA4C08">
      <w:pPr>
        <w:spacing w:after="0" w:line="240" w:lineRule="auto"/>
        <w:rPr>
          <w:u w:val="single"/>
        </w:rPr>
      </w:pPr>
      <w:r w:rsidRPr="00F01CBC">
        <w:rPr>
          <w:u w:val="single"/>
        </w:rPr>
        <w:t>6.</w:t>
      </w:r>
      <w:r w:rsidR="00F01CBC" w:rsidRPr="00F01CBC">
        <w:rPr>
          <w:u w:val="single"/>
        </w:rPr>
        <w:t>2</w:t>
      </w:r>
      <w:r w:rsidRPr="00F01CBC">
        <w:rPr>
          <w:u w:val="single"/>
        </w:rPr>
        <w:t>.3. AI risinājuma funkcionalitāte</w:t>
      </w:r>
    </w:p>
    <w:p w14:paraId="3F970268" w14:textId="77777777" w:rsidR="00742181" w:rsidRDefault="00742181" w:rsidP="00AA4C08">
      <w:pPr>
        <w:spacing w:after="0" w:line="240" w:lineRule="auto"/>
      </w:pPr>
      <w:r>
        <w:t>AI vizuālās kontroles sistēmai jānodrošina vismaz šādas funkcijas:</w:t>
      </w:r>
    </w:p>
    <w:p w14:paraId="1F44299F" w14:textId="6EEA28B7" w:rsidR="00742181" w:rsidRDefault="00742181" w:rsidP="0042746A">
      <w:pPr>
        <w:pStyle w:val="ListParagraph"/>
        <w:numPr>
          <w:ilvl w:val="0"/>
          <w:numId w:val="2"/>
        </w:numPr>
        <w:spacing w:after="240" w:line="360" w:lineRule="auto"/>
      </w:pPr>
      <w:r>
        <w:t>automātiska produkta vizuālā novērtēšana bez cilvēka iejaukšanās;</w:t>
      </w:r>
    </w:p>
    <w:p w14:paraId="14FD8A70" w14:textId="79CC140E" w:rsidR="00742181" w:rsidRDefault="00742181" w:rsidP="0042746A">
      <w:pPr>
        <w:pStyle w:val="ListParagraph"/>
        <w:numPr>
          <w:ilvl w:val="0"/>
          <w:numId w:val="2"/>
        </w:numPr>
        <w:spacing w:after="240" w:line="360" w:lineRule="auto"/>
      </w:pPr>
      <w:r>
        <w:t>defektu vai neatbilstību identificēšana pēc iepriekš apmācītiem modeļiem;</w:t>
      </w:r>
    </w:p>
    <w:p w14:paraId="5DB49DB6" w14:textId="457A7F5C" w:rsidR="00742181" w:rsidRDefault="00742181" w:rsidP="0042746A">
      <w:pPr>
        <w:pStyle w:val="ListParagraph"/>
        <w:numPr>
          <w:ilvl w:val="0"/>
          <w:numId w:val="2"/>
        </w:numPr>
        <w:spacing w:after="240" w:line="360" w:lineRule="auto"/>
      </w:pPr>
      <w:r>
        <w:t>iespēja pielāgot vai atkārtoti apmācīt AI modeli ražošanas procesa izmaiņu gadījumā;</w:t>
      </w:r>
    </w:p>
    <w:p w14:paraId="40150A53" w14:textId="679D01C4" w:rsidR="00742181" w:rsidRDefault="00742181" w:rsidP="0042746A">
      <w:pPr>
        <w:pStyle w:val="ListParagraph"/>
        <w:numPr>
          <w:ilvl w:val="0"/>
          <w:numId w:val="2"/>
        </w:numPr>
        <w:spacing w:after="240" w:line="360" w:lineRule="auto"/>
      </w:pPr>
      <w:r>
        <w:t>integrācija ar iekārtas digitālo vadības sistēmu vai datu uzkrāšanas vidi.</w:t>
      </w:r>
    </w:p>
    <w:p w14:paraId="3752C69A" w14:textId="79860CB7" w:rsidR="00AF6681" w:rsidRPr="00F01CBC" w:rsidRDefault="00DD75EA" w:rsidP="0042746A">
      <w:pPr>
        <w:ind w:left="-5"/>
        <w:rPr>
          <w:b/>
          <w:bCs/>
        </w:rPr>
      </w:pPr>
      <w:r w:rsidRPr="00F01CBC">
        <w:rPr>
          <w:b/>
          <w:bCs/>
        </w:rPr>
        <w:t xml:space="preserve">6.3. Vispārīgās prasības: </w:t>
      </w:r>
    </w:p>
    <w:p w14:paraId="7D99C048" w14:textId="77777777" w:rsidR="00AF6681" w:rsidRDefault="00DD75EA" w:rsidP="0042746A">
      <w:pPr>
        <w:numPr>
          <w:ilvl w:val="0"/>
          <w:numId w:val="2"/>
        </w:numPr>
        <w:ind w:hanging="127"/>
      </w:pPr>
      <w:r>
        <w:t xml:space="preserve">Piegādātājam ir jānodrošina piegāde un uzstādīšana Pasūtītāja norādītajā adresē Rīgā. </w:t>
      </w:r>
    </w:p>
    <w:p w14:paraId="0E728F28" w14:textId="77777777" w:rsidR="00AF6681" w:rsidRDefault="00DD75EA" w:rsidP="0042746A">
      <w:pPr>
        <w:numPr>
          <w:ilvl w:val="0"/>
          <w:numId w:val="2"/>
        </w:numPr>
        <w:ind w:hanging="127"/>
      </w:pPr>
      <w:r>
        <w:t xml:space="preserve">Piegādātājam ir jānodrošina personāla apmācība par iekārtas lietošanu. </w:t>
      </w:r>
    </w:p>
    <w:p w14:paraId="5BEAB4E4" w14:textId="77777777" w:rsidR="00AF6681" w:rsidRDefault="00DD75EA" w:rsidP="0042746A">
      <w:pPr>
        <w:numPr>
          <w:ilvl w:val="0"/>
          <w:numId w:val="2"/>
        </w:numPr>
        <w:spacing w:after="338"/>
        <w:ind w:hanging="127"/>
      </w:pPr>
      <w:r>
        <w:t xml:space="preserve">Piegādātājam ir jāsniedz apliecinājums par servisa pieejamību Latvijā vai Baltijas valstīs. </w:t>
      </w:r>
    </w:p>
    <w:p w14:paraId="5ED74BBF" w14:textId="77777777" w:rsidR="00D03175" w:rsidRDefault="00DD75EA" w:rsidP="0042746A">
      <w:pPr>
        <w:spacing w:after="0" w:line="357" w:lineRule="auto"/>
        <w:ind w:left="0" w:firstLine="0"/>
      </w:pPr>
      <w:r w:rsidRPr="00F01CBC">
        <w:rPr>
          <w:b/>
          <w:bCs/>
        </w:rPr>
        <w:t>6.4. Atbilstība programmas nosacījumiem</w:t>
      </w:r>
      <w:r>
        <w:t>:</w:t>
      </w:r>
      <w:r w:rsidR="00E77AFA" w:rsidRPr="00E77AFA">
        <w:t xml:space="preserve"> </w:t>
      </w:r>
    </w:p>
    <w:p w14:paraId="562A73FB" w14:textId="0ACC68A5" w:rsidR="00AF6681" w:rsidRDefault="00E77AFA" w:rsidP="0042746A">
      <w:pPr>
        <w:spacing w:after="0" w:line="357" w:lineRule="auto"/>
        <w:ind w:left="0" w:firstLine="0"/>
      </w:pPr>
      <w:r w:rsidRPr="00E77AFA">
        <w:t>Iekārta ir paredzēta ražošanas procesu digitalizācijai un automatizācijai, lai paaugstinātu uzņēmuma efektivitāti, kvalitātes kontroli un resursu izmantošanas efektivitāti, integrējot mākslīgā intelekta (AI) balstītus risinājumus</w:t>
      </w:r>
      <w:r>
        <w:t xml:space="preserve">. Iekārtas ieviešana ļaus: </w:t>
      </w:r>
    </w:p>
    <w:p w14:paraId="35B04644" w14:textId="77777777" w:rsidR="00AF6681" w:rsidRDefault="00DD75EA" w:rsidP="0042746A">
      <w:pPr>
        <w:numPr>
          <w:ilvl w:val="0"/>
          <w:numId w:val="3"/>
        </w:numPr>
        <w:ind w:firstLine="427"/>
      </w:pPr>
      <w:r>
        <w:lastRenderedPageBreak/>
        <w:t xml:space="preserve">digitalizēt ražošanas procesu, samazinot manuālo darbu un kļūdu risku, </w:t>
      </w:r>
    </w:p>
    <w:p w14:paraId="46846FA0" w14:textId="77777777" w:rsidR="00AF6681" w:rsidRDefault="00DD75EA" w:rsidP="0042746A">
      <w:pPr>
        <w:numPr>
          <w:ilvl w:val="0"/>
          <w:numId w:val="3"/>
        </w:numPr>
        <w:ind w:firstLine="427"/>
      </w:pPr>
      <w:r>
        <w:t xml:space="preserve">automatizēt kvalitātes kontroli, </w:t>
      </w:r>
    </w:p>
    <w:p w14:paraId="61BB2D8E" w14:textId="77777777" w:rsidR="00AF6681" w:rsidRDefault="00DD75EA" w:rsidP="0042746A">
      <w:pPr>
        <w:numPr>
          <w:ilvl w:val="0"/>
          <w:numId w:val="3"/>
        </w:numPr>
        <w:ind w:firstLine="427"/>
      </w:pPr>
      <w:r>
        <w:t xml:space="preserve">uzlabot energoefektivitāti un resursu izmantošanu, </w:t>
      </w:r>
    </w:p>
    <w:p w14:paraId="64CF9805" w14:textId="77777777" w:rsidR="00AF6681" w:rsidRDefault="00DD75EA" w:rsidP="0042746A">
      <w:pPr>
        <w:numPr>
          <w:ilvl w:val="0"/>
          <w:numId w:val="3"/>
        </w:numPr>
        <w:ind w:firstLine="427"/>
      </w:pPr>
      <w:r>
        <w:t xml:space="preserve">iekārtas darba parametru uzskaite centrālajā vadībā, </w:t>
      </w:r>
    </w:p>
    <w:p w14:paraId="0B07E630" w14:textId="77777777" w:rsidR="00AF6681" w:rsidRDefault="00DD75EA" w:rsidP="0042746A">
      <w:pPr>
        <w:numPr>
          <w:ilvl w:val="0"/>
          <w:numId w:val="3"/>
        </w:numPr>
        <w:spacing w:after="0" w:line="356" w:lineRule="auto"/>
        <w:ind w:firstLine="427"/>
      </w:pPr>
      <w:r>
        <w:t xml:space="preserve">centrālā vadība ar digitālo kontroli, iestatījumu saglabāšanu, un </w:t>
      </w:r>
      <w:r>
        <w:t xml:space="preserve">automātisku parametru pārvaldību, </w:t>
      </w:r>
    </w:p>
    <w:p w14:paraId="49168844" w14:textId="77777777" w:rsidR="00AF6681" w:rsidRDefault="00DD75EA" w:rsidP="0042746A">
      <w:pPr>
        <w:numPr>
          <w:ilvl w:val="0"/>
          <w:numId w:val="3"/>
        </w:numPr>
        <w:ind w:firstLine="427"/>
      </w:pPr>
      <w:r>
        <w:t xml:space="preserve">automātiska režīmu maiņa no centrālās vadības, </w:t>
      </w:r>
    </w:p>
    <w:p w14:paraId="007687D3" w14:textId="77777777" w:rsidR="00AF6681" w:rsidRDefault="00DD75EA" w:rsidP="0042746A">
      <w:pPr>
        <w:numPr>
          <w:ilvl w:val="0"/>
          <w:numId w:val="3"/>
        </w:numPr>
        <w:ind w:firstLine="427"/>
      </w:pPr>
      <w:r>
        <w:t xml:space="preserve">digitalizēta līmes procesa vadība (digitalizēts līmes patēriņš, līmes uzsildīšana un padeve), </w:t>
      </w:r>
    </w:p>
    <w:p w14:paraId="5E456B70" w14:textId="77777777" w:rsidR="00AF6681" w:rsidRDefault="00DD75EA" w:rsidP="0042746A">
      <w:pPr>
        <w:numPr>
          <w:ilvl w:val="0"/>
          <w:numId w:val="3"/>
        </w:numPr>
        <w:ind w:firstLine="427"/>
      </w:pPr>
      <w:r>
        <w:t xml:space="preserve">automātiska iekārtas pašattīrīšanās; </w:t>
      </w:r>
    </w:p>
    <w:p w14:paraId="283793F6" w14:textId="77777777" w:rsidR="00AF6681" w:rsidRDefault="00DD75EA" w:rsidP="0042746A">
      <w:pPr>
        <w:numPr>
          <w:ilvl w:val="0"/>
          <w:numId w:val="3"/>
        </w:numPr>
        <w:spacing w:line="356" w:lineRule="auto"/>
        <w:ind w:firstLine="427"/>
      </w:pPr>
      <w:r>
        <w:t xml:space="preserve">iekārta paredzēta cilvēkresursu iesaistes un kļūdu risku samazināšanai, tādējādi aizstājot manuālās darbības ar automatizētu procesu vadību. </w:t>
      </w:r>
    </w:p>
    <w:p w14:paraId="13A527A1" w14:textId="3479FF6C" w:rsidR="00E77AFA" w:rsidRPr="0042746A" w:rsidRDefault="00E77AFA" w:rsidP="0042746A">
      <w:pPr>
        <w:spacing w:line="356" w:lineRule="auto"/>
        <w:rPr>
          <w:u w:val="single"/>
        </w:rPr>
      </w:pPr>
      <w:r w:rsidRPr="0042746A">
        <w:rPr>
          <w:u w:val="single"/>
        </w:rPr>
        <w:t>Mākslīgā intelekta integrācija, nodrošinās:</w:t>
      </w:r>
    </w:p>
    <w:p w14:paraId="15AB67EA" w14:textId="5F6FC5CC" w:rsidR="00E77AFA" w:rsidRDefault="00E77AFA" w:rsidP="0042746A">
      <w:pPr>
        <w:pStyle w:val="ListParagraph"/>
        <w:numPr>
          <w:ilvl w:val="0"/>
          <w:numId w:val="6"/>
        </w:numPr>
        <w:spacing w:line="356" w:lineRule="auto"/>
      </w:pPr>
      <w:r>
        <w:t>automatizētu vizuālo kvalitātes kontroli, izmantojot AI algoritmus un industriālo kameru;</w:t>
      </w:r>
    </w:p>
    <w:p w14:paraId="6BBE291D" w14:textId="77777777" w:rsidR="00E77AFA" w:rsidRDefault="00E77AFA" w:rsidP="0042746A">
      <w:pPr>
        <w:pStyle w:val="ListParagraph"/>
        <w:numPr>
          <w:ilvl w:val="0"/>
          <w:numId w:val="6"/>
        </w:numPr>
        <w:spacing w:line="356" w:lineRule="auto"/>
      </w:pPr>
      <w:r>
        <w:t>ražošanas procesā iegūto datu analīzi un interpretāciju ar mašīnmācīšanās metodēm;</w:t>
      </w:r>
    </w:p>
    <w:p w14:paraId="793C24B5" w14:textId="77777777" w:rsidR="00E77AFA" w:rsidRDefault="00E77AFA" w:rsidP="0042746A">
      <w:pPr>
        <w:pStyle w:val="ListParagraph"/>
        <w:numPr>
          <w:ilvl w:val="0"/>
          <w:numId w:val="6"/>
        </w:numPr>
        <w:spacing w:line="356" w:lineRule="auto"/>
      </w:pPr>
      <w:r>
        <w:t>defektu un neatbilstību savlaicīgu identificēšanu bez cilvēka pastāvīgas iesaistes;</w:t>
      </w:r>
    </w:p>
    <w:p w14:paraId="1359389B" w14:textId="77777777" w:rsidR="00E77AFA" w:rsidRDefault="00E77AFA" w:rsidP="0042746A">
      <w:pPr>
        <w:pStyle w:val="ListParagraph"/>
        <w:numPr>
          <w:ilvl w:val="0"/>
          <w:numId w:val="6"/>
        </w:numPr>
        <w:spacing w:line="356" w:lineRule="auto"/>
      </w:pPr>
      <w:r>
        <w:t>ražošanas procesa stabilitātes un atkārtojamības uzlabošanu;</w:t>
      </w:r>
    </w:p>
    <w:p w14:paraId="49DBA820" w14:textId="60DD47BB" w:rsidR="00E77AFA" w:rsidRDefault="00E77AFA" w:rsidP="0042746A">
      <w:pPr>
        <w:pStyle w:val="ListParagraph"/>
        <w:numPr>
          <w:ilvl w:val="0"/>
          <w:numId w:val="6"/>
        </w:numPr>
        <w:spacing w:line="356" w:lineRule="auto"/>
      </w:pPr>
      <w:r>
        <w:t>lēmumu pieņemšanas atbalstu, balstoties uz AI ģenerētiem kvalitātes un procesa datiem.</w:t>
      </w:r>
    </w:p>
    <w:p w14:paraId="4325BFF5" w14:textId="77777777" w:rsidR="007C7286" w:rsidRDefault="007C7286" w:rsidP="007C7286">
      <w:pPr>
        <w:spacing w:line="356" w:lineRule="auto"/>
        <w:rPr>
          <w:b/>
          <w:bCs/>
        </w:rPr>
      </w:pPr>
    </w:p>
    <w:p w14:paraId="410F1F69" w14:textId="1C1A9729" w:rsidR="007C7286" w:rsidRDefault="007C7286" w:rsidP="00AA1688">
      <w:pPr>
        <w:spacing w:after="0" w:line="356" w:lineRule="auto"/>
        <w:rPr>
          <w:b/>
          <w:bCs/>
        </w:rPr>
      </w:pPr>
      <w:r w:rsidRPr="007C7286">
        <w:rPr>
          <w:b/>
          <w:bCs/>
        </w:rPr>
        <w:t>Plānotie projekta rezultātu rādītāji</w:t>
      </w:r>
      <w:r>
        <w:rPr>
          <w:b/>
          <w:bCs/>
        </w:rPr>
        <w:t>:</w:t>
      </w:r>
    </w:p>
    <w:p w14:paraId="517E2308" w14:textId="1D7C3522" w:rsidR="003B03D3" w:rsidRPr="003B03D3" w:rsidRDefault="003B03D3" w:rsidP="00AA1688">
      <w:pPr>
        <w:spacing w:after="0" w:line="356" w:lineRule="auto"/>
        <w:rPr>
          <w:lang w:val="en-US"/>
        </w:rPr>
      </w:pPr>
      <w:r w:rsidRPr="003B03D3">
        <w:rPr>
          <w:lang w:val="en-US"/>
        </w:rPr>
        <w:t>Pirms projekta īstenošanas (esošais stāvoklis)</w:t>
      </w:r>
    </w:p>
    <w:p w14:paraId="6F12BB47" w14:textId="77777777" w:rsidR="003B03D3" w:rsidRPr="003B03D3" w:rsidRDefault="003B03D3" w:rsidP="00AA1688">
      <w:pPr>
        <w:numPr>
          <w:ilvl w:val="0"/>
          <w:numId w:val="7"/>
        </w:numPr>
        <w:spacing w:after="0" w:line="356" w:lineRule="auto"/>
        <w:rPr>
          <w:lang w:val="en-US"/>
        </w:rPr>
      </w:pPr>
      <w:r w:rsidRPr="003B03D3">
        <w:rPr>
          <w:lang w:val="en-US"/>
        </w:rPr>
        <w:t>Kvalitātes kontrole tiek veikta manuāli, bez automatizētas uzskaites sistēmas.</w:t>
      </w:r>
    </w:p>
    <w:p w14:paraId="3CA776AC" w14:textId="77777777" w:rsidR="003B03D3" w:rsidRPr="003B03D3" w:rsidRDefault="003B03D3" w:rsidP="00AA1688">
      <w:pPr>
        <w:numPr>
          <w:ilvl w:val="0"/>
          <w:numId w:val="7"/>
        </w:numPr>
        <w:spacing w:after="0" w:line="356" w:lineRule="auto"/>
        <w:rPr>
          <w:lang w:val="en-US"/>
        </w:rPr>
      </w:pPr>
      <w:r w:rsidRPr="003B03D3">
        <w:rPr>
          <w:lang w:val="en-US"/>
        </w:rPr>
        <w:t>Nav pieejami strukturēti dati par:</w:t>
      </w:r>
    </w:p>
    <w:p w14:paraId="7F808344" w14:textId="77777777" w:rsidR="003B03D3" w:rsidRPr="003B03D3" w:rsidRDefault="003B03D3" w:rsidP="00AA1688">
      <w:pPr>
        <w:numPr>
          <w:ilvl w:val="1"/>
          <w:numId w:val="7"/>
        </w:numPr>
        <w:spacing w:after="0" w:line="356" w:lineRule="auto"/>
        <w:rPr>
          <w:lang w:val="en-US"/>
        </w:rPr>
      </w:pPr>
      <w:r w:rsidRPr="003B03D3">
        <w:rPr>
          <w:lang w:val="en-US"/>
        </w:rPr>
        <w:t>izstrādājumu skaitu, kas tiek pārbaudīti noteiktā laika periodā,</w:t>
      </w:r>
    </w:p>
    <w:p w14:paraId="0038BF4B" w14:textId="77777777" w:rsidR="003B03D3" w:rsidRPr="003B03D3" w:rsidRDefault="003B03D3" w:rsidP="00AA1688">
      <w:pPr>
        <w:numPr>
          <w:ilvl w:val="1"/>
          <w:numId w:val="7"/>
        </w:numPr>
        <w:spacing w:after="0" w:line="356" w:lineRule="auto"/>
        <w:rPr>
          <w:lang w:val="en-US"/>
        </w:rPr>
      </w:pPr>
      <w:r w:rsidRPr="003B03D3">
        <w:rPr>
          <w:lang w:val="en-US"/>
        </w:rPr>
        <w:t>kvalitātes kontroles procesa ilgumu uz vienu izstrādājumu.</w:t>
      </w:r>
    </w:p>
    <w:p w14:paraId="1C0F4FD4" w14:textId="77777777" w:rsidR="003B03D3" w:rsidRPr="003B03D3" w:rsidRDefault="003B03D3" w:rsidP="00AA1688">
      <w:pPr>
        <w:numPr>
          <w:ilvl w:val="0"/>
          <w:numId w:val="7"/>
        </w:numPr>
        <w:spacing w:after="0" w:line="356" w:lineRule="auto"/>
        <w:rPr>
          <w:lang w:val="en-US"/>
        </w:rPr>
      </w:pPr>
      <w:r w:rsidRPr="003B03D3">
        <w:rPr>
          <w:lang w:val="en-US"/>
        </w:rPr>
        <w:t>Kvalitātes kontroles process ir atkarīgs no darbinieku subjektīva vizuālā novērtējuma, un kontroles laiks uz vienu izstrādājumu netiek fiksēts digitāli.</w:t>
      </w:r>
    </w:p>
    <w:p w14:paraId="1FE0F56E" w14:textId="77777777" w:rsidR="00AA1688" w:rsidRDefault="00AA1688" w:rsidP="00AA1688">
      <w:pPr>
        <w:spacing w:after="0" w:line="356" w:lineRule="auto"/>
        <w:rPr>
          <w:lang w:val="en-US"/>
        </w:rPr>
      </w:pPr>
    </w:p>
    <w:p w14:paraId="6264F886" w14:textId="296196BF" w:rsidR="005E60AA" w:rsidRPr="005E60AA" w:rsidRDefault="005E60AA" w:rsidP="00AA1688">
      <w:pPr>
        <w:spacing w:after="0" w:line="356" w:lineRule="auto"/>
        <w:rPr>
          <w:lang w:val="en-US"/>
        </w:rPr>
      </w:pPr>
      <w:r w:rsidRPr="005E60AA">
        <w:rPr>
          <w:lang w:val="en-US"/>
        </w:rPr>
        <w:t>Pēc projekta īstenošanas, ieviešot automatizētu ražošanas iekārtu ar integrētu mākslīgā intelekta vizuālās kvalitātes kontroles sistēmu, tiks sasniegti šādi rādītāji:</w:t>
      </w:r>
    </w:p>
    <w:p w14:paraId="569F18CD" w14:textId="77777777" w:rsidR="005E60AA" w:rsidRPr="005E60AA" w:rsidRDefault="005E60AA" w:rsidP="00AA1688">
      <w:pPr>
        <w:numPr>
          <w:ilvl w:val="0"/>
          <w:numId w:val="8"/>
        </w:numPr>
        <w:spacing w:after="0" w:line="356" w:lineRule="auto"/>
        <w:rPr>
          <w:lang w:val="en-US"/>
        </w:rPr>
      </w:pPr>
      <w:r w:rsidRPr="005E60AA">
        <w:rPr>
          <w:lang w:val="en-US"/>
        </w:rPr>
        <w:t>Mākslīgā intelekta vizuālās kontroles sistēma nodrošinās nepārtrauktu kvalitātes kontroli ražošanas procesā, apstrādājot ne mazāk kā 10 izstrādājumus minūtē.</w:t>
      </w:r>
    </w:p>
    <w:p w14:paraId="30874E6F" w14:textId="77777777" w:rsidR="005E60AA" w:rsidRPr="005E60AA" w:rsidRDefault="005E60AA" w:rsidP="00AA1688">
      <w:pPr>
        <w:numPr>
          <w:ilvl w:val="0"/>
          <w:numId w:val="8"/>
        </w:numPr>
        <w:spacing w:after="0" w:line="356" w:lineRule="auto"/>
        <w:rPr>
          <w:lang w:val="en-US"/>
        </w:rPr>
      </w:pPr>
      <w:r w:rsidRPr="005E60AA">
        <w:rPr>
          <w:lang w:val="en-US"/>
        </w:rPr>
        <w:lastRenderedPageBreak/>
        <w:t>Kvalitātes kontroles process tiks veikts reāllaikā, bez nepieciešamības katram izstrādājumam veikt atsevišķu manuālu pārbaudi.</w:t>
      </w:r>
    </w:p>
    <w:p w14:paraId="51D8C99F" w14:textId="77777777" w:rsidR="005E60AA" w:rsidRPr="005E60AA" w:rsidRDefault="005E60AA" w:rsidP="00AA1688">
      <w:pPr>
        <w:numPr>
          <w:ilvl w:val="0"/>
          <w:numId w:val="8"/>
        </w:numPr>
        <w:spacing w:after="0" w:line="356" w:lineRule="auto"/>
        <w:rPr>
          <w:lang w:val="en-US"/>
        </w:rPr>
      </w:pPr>
      <w:r w:rsidRPr="005E60AA">
        <w:rPr>
          <w:lang w:val="en-US"/>
        </w:rPr>
        <w:t>MI sistēma automātiski reģistrēs kvalitātes kontroles rezultātus katram apstrādātajam izstrādājumam, nodrošinot ne mazāk kā 600 digitālus kvalitātes ierakstus stundā.</w:t>
      </w:r>
    </w:p>
    <w:p w14:paraId="04BBB5AD" w14:textId="77777777" w:rsidR="005E60AA" w:rsidRPr="005E60AA" w:rsidRDefault="005E60AA" w:rsidP="00AA1688">
      <w:pPr>
        <w:numPr>
          <w:ilvl w:val="0"/>
          <w:numId w:val="8"/>
        </w:numPr>
        <w:spacing w:after="0" w:line="356" w:lineRule="auto"/>
        <w:rPr>
          <w:lang w:val="en-US"/>
        </w:rPr>
      </w:pPr>
      <w:r w:rsidRPr="005E60AA">
        <w:rPr>
          <w:lang w:val="en-US"/>
        </w:rPr>
        <w:t>Manuālā kvalitātes kontrole tiks veikta tikai uzraudzības līmenī, iesaistot ne vairāk kā vienu darbinieku procesa uzraudzībai, nevis pastāvīgai vizuālai pārbaudei.</w:t>
      </w:r>
    </w:p>
    <w:p w14:paraId="30356A51" w14:textId="77777777" w:rsidR="005E60AA" w:rsidRPr="005E60AA" w:rsidRDefault="005E60AA" w:rsidP="00AA1688">
      <w:pPr>
        <w:numPr>
          <w:ilvl w:val="0"/>
          <w:numId w:val="8"/>
        </w:numPr>
        <w:spacing w:after="0" w:line="356" w:lineRule="auto"/>
        <w:rPr>
          <w:lang w:val="en-US"/>
        </w:rPr>
      </w:pPr>
      <w:r w:rsidRPr="005E60AA">
        <w:rPr>
          <w:lang w:val="en-US"/>
        </w:rPr>
        <w:t>Tiks izveidota digitāla kvalitātes datu uzkrāšanas sistēma, kas ļaus analizēt defektu veidus un biežumu laika griezumā.</w:t>
      </w:r>
    </w:p>
    <w:p w14:paraId="40FF3586" w14:textId="77777777" w:rsidR="003B03D3" w:rsidRPr="00270A22" w:rsidRDefault="003B03D3" w:rsidP="00270A22">
      <w:pPr>
        <w:spacing w:line="356" w:lineRule="auto"/>
        <w:ind w:hanging="360"/>
      </w:pPr>
    </w:p>
    <w:sectPr w:rsidR="003B03D3" w:rsidRPr="00270A22">
      <w:footerReference w:type="even" r:id="rId7"/>
      <w:footerReference w:type="default" r:id="rId8"/>
      <w:footerReference w:type="first" r:id="rId9"/>
      <w:pgSz w:w="12240" w:h="15840"/>
      <w:pgMar w:top="713" w:right="1796" w:bottom="2605" w:left="1800" w:header="720" w:footer="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AD4E4" w14:textId="77777777" w:rsidR="00DD75EA" w:rsidRDefault="00DD75EA">
      <w:pPr>
        <w:spacing w:after="0" w:line="240" w:lineRule="auto"/>
      </w:pPr>
      <w:r>
        <w:separator/>
      </w:r>
    </w:p>
  </w:endnote>
  <w:endnote w:type="continuationSeparator" w:id="0">
    <w:p w14:paraId="0FAC3155" w14:textId="77777777" w:rsidR="00DD75EA" w:rsidRDefault="00DD7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D493" w14:textId="77777777" w:rsidR="00AF6681" w:rsidRDefault="00DD75EA">
    <w:pPr>
      <w:spacing w:after="18" w:line="259" w:lineRule="auto"/>
      <w:ind w:left="-1133" w:firstLine="0"/>
      <w:jc w:val="left"/>
    </w:pPr>
    <w:r>
      <w:rPr>
        <w:b/>
      </w:rPr>
      <w:t xml:space="preserve"> </w:t>
    </w:r>
  </w:p>
  <w:p w14:paraId="31E5DB0D" w14:textId="77777777" w:rsidR="00AF6681" w:rsidRDefault="00DD75EA">
    <w:pPr>
      <w:spacing w:after="14" w:line="259" w:lineRule="auto"/>
      <w:ind w:left="-1133" w:firstLine="0"/>
      <w:jc w:val="left"/>
    </w:pPr>
    <w:r>
      <w:rPr>
        <w:b/>
      </w:rPr>
      <w:t>SIA “Rīgas Partneri Art”</w:t>
    </w:r>
    <w:r>
      <w:t xml:space="preserve"> </w:t>
    </w:r>
  </w:p>
  <w:p w14:paraId="5A115EC8" w14:textId="77777777" w:rsidR="00AF6681" w:rsidRDefault="00DD75EA">
    <w:pPr>
      <w:spacing w:after="17" w:line="259" w:lineRule="auto"/>
      <w:ind w:left="-1133" w:firstLine="0"/>
      <w:jc w:val="left"/>
    </w:pPr>
    <w:r>
      <w:t xml:space="preserve">Reģ. Nr. 50203084841 </w:t>
    </w:r>
  </w:p>
  <w:p w14:paraId="676E0F6C" w14:textId="77777777" w:rsidR="00AF6681" w:rsidRDefault="00DD75EA">
    <w:pPr>
      <w:spacing w:after="14" w:line="259" w:lineRule="auto"/>
      <w:ind w:left="-1133" w:firstLine="0"/>
      <w:jc w:val="left"/>
    </w:pPr>
    <w:r>
      <w:t xml:space="preserve">Juridiskā adrese: </w:t>
    </w:r>
    <w:r>
      <w:t xml:space="preserve">Tvaikoņu iela 5, Rīga, LV-1007 </w:t>
    </w:r>
  </w:p>
  <w:p w14:paraId="04528A3D" w14:textId="77777777" w:rsidR="00AF6681" w:rsidRDefault="00DD75EA">
    <w:pPr>
      <w:spacing w:after="15" w:line="259" w:lineRule="auto"/>
      <w:ind w:left="-1133" w:firstLine="0"/>
      <w:jc w:val="left"/>
    </w:pPr>
    <w:r>
      <w:t xml:space="preserve">Kontaktpersona: Sergejs Segals, valdes loceklis </w:t>
    </w:r>
  </w:p>
  <w:p w14:paraId="6D8DFE21" w14:textId="77777777" w:rsidR="00AF6681" w:rsidRDefault="00DD75EA">
    <w:pPr>
      <w:spacing w:after="0" w:line="272" w:lineRule="auto"/>
      <w:ind w:left="-1133" w:right="6583" w:firstLine="0"/>
      <w:jc w:val="left"/>
    </w:pPr>
    <w:r>
      <w:t xml:space="preserve">E-pasts: segal@rpgroup.lv Tālrunis: +371 29277617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B671" w14:textId="77777777" w:rsidR="00AF6681" w:rsidRDefault="00DD75EA">
    <w:pPr>
      <w:spacing w:after="18" w:line="259" w:lineRule="auto"/>
      <w:ind w:left="-1133" w:firstLine="0"/>
      <w:jc w:val="left"/>
    </w:pPr>
    <w:r>
      <w:rPr>
        <w:b/>
      </w:rPr>
      <w:t xml:space="preserve"> </w:t>
    </w:r>
  </w:p>
  <w:p w14:paraId="103BFFC5" w14:textId="77777777" w:rsidR="00AF6681" w:rsidRDefault="00DD75EA">
    <w:pPr>
      <w:spacing w:after="14" w:line="259" w:lineRule="auto"/>
      <w:ind w:left="-1133" w:firstLine="0"/>
      <w:jc w:val="left"/>
    </w:pPr>
    <w:r>
      <w:rPr>
        <w:b/>
      </w:rPr>
      <w:t>SIA “Rīgas Partneri Art”</w:t>
    </w:r>
    <w:r>
      <w:t xml:space="preserve"> </w:t>
    </w:r>
  </w:p>
  <w:p w14:paraId="68CFDFA3" w14:textId="77777777" w:rsidR="00AF6681" w:rsidRDefault="00DD75EA">
    <w:pPr>
      <w:spacing w:after="17" w:line="259" w:lineRule="auto"/>
      <w:ind w:left="-1133" w:firstLine="0"/>
      <w:jc w:val="left"/>
    </w:pPr>
    <w:r>
      <w:t xml:space="preserve">Reģ. Nr. 50203084841 </w:t>
    </w:r>
  </w:p>
  <w:p w14:paraId="09C35D77" w14:textId="77777777" w:rsidR="00AF6681" w:rsidRDefault="00DD75EA">
    <w:pPr>
      <w:spacing w:after="14" w:line="259" w:lineRule="auto"/>
      <w:ind w:left="-1133" w:firstLine="0"/>
      <w:jc w:val="left"/>
    </w:pPr>
    <w:r>
      <w:t xml:space="preserve">Juridiskā adrese: Tvaikoņu iela 5, Rīga, LV-1007 </w:t>
    </w:r>
  </w:p>
  <w:p w14:paraId="26E54B44" w14:textId="77777777" w:rsidR="00AF6681" w:rsidRDefault="00DD75EA">
    <w:pPr>
      <w:spacing w:after="15" w:line="259" w:lineRule="auto"/>
      <w:ind w:left="-1133" w:firstLine="0"/>
      <w:jc w:val="left"/>
    </w:pPr>
    <w:r>
      <w:t xml:space="preserve">Kontaktpersona: Sergejs Segals, valdes loceklis </w:t>
    </w:r>
  </w:p>
  <w:p w14:paraId="4585298C" w14:textId="77777777" w:rsidR="00AF6681" w:rsidRDefault="00DD75EA">
    <w:pPr>
      <w:spacing w:after="0" w:line="272" w:lineRule="auto"/>
      <w:ind w:left="-1133" w:right="6583" w:firstLine="0"/>
      <w:jc w:val="left"/>
    </w:pPr>
    <w:r>
      <w:t xml:space="preserve">E-pasts: segal@rpgroup.lv Tālrunis: +371 29277617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4AB2" w14:textId="77777777" w:rsidR="00AF6681" w:rsidRDefault="00DD75EA">
    <w:pPr>
      <w:spacing w:after="18" w:line="259" w:lineRule="auto"/>
      <w:ind w:left="-1133" w:firstLine="0"/>
      <w:jc w:val="left"/>
    </w:pPr>
    <w:r>
      <w:rPr>
        <w:b/>
      </w:rPr>
      <w:t xml:space="preserve"> </w:t>
    </w:r>
  </w:p>
  <w:p w14:paraId="74837CBB" w14:textId="77777777" w:rsidR="00AF6681" w:rsidRDefault="00DD75EA">
    <w:pPr>
      <w:spacing w:after="14" w:line="259" w:lineRule="auto"/>
      <w:ind w:left="-1133" w:firstLine="0"/>
      <w:jc w:val="left"/>
    </w:pPr>
    <w:r>
      <w:rPr>
        <w:b/>
      </w:rPr>
      <w:t>SIA “Rīgas Partneri Art”</w:t>
    </w:r>
    <w:r>
      <w:t xml:space="preserve"> </w:t>
    </w:r>
  </w:p>
  <w:p w14:paraId="73550BB0" w14:textId="77777777" w:rsidR="00AF6681" w:rsidRDefault="00DD75EA">
    <w:pPr>
      <w:spacing w:after="17" w:line="259" w:lineRule="auto"/>
      <w:ind w:left="-1133" w:firstLine="0"/>
      <w:jc w:val="left"/>
    </w:pPr>
    <w:r>
      <w:t xml:space="preserve">Reģ. Nr. 50203084841 </w:t>
    </w:r>
  </w:p>
  <w:p w14:paraId="20AE6596" w14:textId="77777777" w:rsidR="00AF6681" w:rsidRDefault="00DD75EA">
    <w:pPr>
      <w:spacing w:after="14" w:line="259" w:lineRule="auto"/>
      <w:ind w:left="-1133" w:firstLine="0"/>
      <w:jc w:val="left"/>
    </w:pPr>
    <w:r>
      <w:t xml:space="preserve">Juridiskā adrese: Tvaikoņu iela 5, Rīga, LV-1007 </w:t>
    </w:r>
  </w:p>
  <w:p w14:paraId="5D7BEEB4" w14:textId="77777777" w:rsidR="00AF6681" w:rsidRDefault="00DD75EA">
    <w:pPr>
      <w:spacing w:after="15" w:line="259" w:lineRule="auto"/>
      <w:ind w:left="-1133" w:firstLine="0"/>
      <w:jc w:val="left"/>
    </w:pPr>
    <w:r>
      <w:t xml:space="preserve">Kontaktpersona: Sergejs Segals, valdes loceklis </w:t>
    </w:r>
  </w:p>
  <w:p w14:paraId="7681469B" w14:textId="77777777" w:rsidR="00AF6681" w:rsidRDefault="00DD75EA">
    <w:pPr>
      <w:spacing w:after="0" w:line="272" w:lineRule="auto"/>
      <w:ind w:left="-1133" w:right="6583" w:firstLine="0"/>
      <w:jc w:val="left"/>
    </w:pPr>
    <w:r>
      <w:t xml:space="preserve">E-pasts: segal@rpgroup.lv Tālrunis: +371 29277617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9B55A" w14:textId="77777777" w:rsidR="00DD75EA" w:rsidRDefault="00DD75EA">
      <w:pPr>
        <w:spacing w:after="0" w:line="240" w:lineRule="auto"/>
      </w:pPr>
      <w:r>
        <w:separator/>
      </w:r>
    </w:p>
  </w:footnote>
  <w:footnote w:type="continuationSeparator" w:id="0">
    <w:p w14:paraId="4AD3CE6B" w14:textId="77777777" w:rsidR="00DD75EA" w:rsidRDefault="00DD75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6DD0"/>
    <w:multiLevelType w:val="hybridMultilevel"/>
    <w:tmpl w:val="324A942A"/>
    <w:lvl w:ilvl="0" w:tplc="9B802D0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D07F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6D4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447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B87C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2259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DA92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8009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B4FA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8F6272"/>
    <w:multiLevelType w:val="multilevel"/>
    <w:tmpl w:val="1AD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12F7A"/>
    <w:multiLevelType w:val="multilevel"/>
    <w:tmpl w:val="50EE4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B5124"/>
    <w:multiLevelType w:val="hybridMultilevel"/>
    <w:tmpl w:val="517208F2"/>
    <w:lvl w:ilvl="0" w:tplc="9D00B52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81CF6">
      <w:start w:val="1"/>
      <w:numFmt w:val="bullet"/>
      <w:lvlText w:val="o"/>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C8330">
      <w:start w:val="1"/>
      <w:numFmt w:val="bullet"/>
      <w:lvlText w:val="▪"/>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344B72">
      <w:start w:val="1"/>
      <w:numFmt w:val="bullet"/>
      <w:lvlText w:val="•"/>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F89A86">
      <w:start w:val="1"/>
      <w:numFmt w:val="bullet"/>
      <w:lvlText w:val="o"/>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B8983C">
      <w:start w:val="1"/>
      <w:numFmt w:val="bullet"/>
      <w:lvlText w:val="▪"/>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6C1134">
      <w:start w:val="1"/>
      <w:numFmt w:val="bullet"/>
      <w:lvlText w:val="•"/>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92FACA">
      <w:start w:val="1"/>
      <w:numFmt w:val="bullet"/>
      <w:lvlText w:val="o"/>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F46978">
      <w:start w:val="1"/>
      <w:numFmt w:val="bullet"/>
      <w:lvlText w:val="▪"/>
      <w:lvlJc w:val="left"/>
      <w:pPr>
        <w:ind w:left="6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4345A4"/>
    <w:multiLevelType w:val="multilevel"/>
    <w:tmpl w:val="A9E071FE"/>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6EF7DD8"/>
    <w:multiLevelType w:val="hybridMultilevel"/>
    <w:tmpl w:val="3594ECF6"/>
    <w:lvl w:ilvl="0" w:tplc="1E6459D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AE9DD6">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C4FF7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DA1576">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0CF33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2443B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D060F4">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1877F2">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E32C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E611D8"/>
    <w:multiLevelType w:val="hybridMultilevel"/>
    <w:tmpl w:val="B212D20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70A9A"/>
    <w:multiLevelType w:val="hybridMultilevel"/>
    <w:tmpl w:val="5EC2C610"/>
    <w:lvl w:ilvl="0" w:tplc="1E6459D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618825">
    <w:abstractNumId w:val="0"/>
  </w:num>
  <w:num w:numId="2" w16cid:durableId="564877473">
    <w:abstractNumId w:val="3"/>
  </w:num>
  <w:num w:numId="3" w16cid:durableId="506678534">
    <w:abstractNumId w:val="5"/>
  </w:num>
  <w:num w:numId="4" w16cid:durableId="82729880">
    <w:abstractNumId w:val="4"/>
  </w:num>
  <w:num w:numId="5" w16cid:durableId="698238629">
    <w:abstractNumId w:val="6"/>
  </w:num>
  <w:num w:numId="6" w16cid:durableId="1246190874">
    <w:abstractNumId w:val="7"/>
  </w:num>
  <w:num w:numId="7" w16cid:durableId="1064840190">
    <w:abstractNumId w:val="2"/>
  </w:num>
  <w:num w:numId="8" w16cid:durableId="21123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81"/>
    <w:rsid w:val="00270A22"/>
    <w:rsid w:val="00334581"/>
    <w:rsid w:val="003B03D3"/>
    <w:rsid w:val="0042746A"/>
    <w:rsid w:val="0058184F"/>
    <w:rsid w:val="005E60AA"/>
    <w:rsid w:val="006246F8"/>
    <w:rsid w:val="00635DE1"/>
    <w:rsid w:val="006B2C5E"/>
    <w:rsid w:val="00742181"/>
    <w:rsid w:val="00791200"/>
    <w:rsid w:val="007C7286"/>
    <w:rsid w:val="008B7DEA"/>
    <w:rsid w:val="008C3888"/>
    <w:rsid w:val="008F7A78"/>
    <w:rsid w:val="00AA1688"/>
    <w:rsid w:val="00AA2F5C"/>
    <w:rsid w:val="00AA4C08"/>
    <w:rsid w:val="00AF6681"/>
    <w:rsid w:val="00D03175"/>
    <w:rsid w:val="00DD75EA"/>
    <w:rsid w:val="00E77AFA"/>
    <w:rsid w:val="00F01CBC"/>
    <w:rsid w:val="00F405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CCD8"/>
  <w15:docId w15:val="{E443E122-F765-3945-9859-5588960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65" w:lineRule="auto"/>
      <w:ind w:left="10"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numPr>
        <w:numId w:val="4"/>
      </w:numPr>
      <w:spacing w:after="75"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4"/>
      </w:numPr>
      <w:spacing w:after="87" w:line="259"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semiHidden/>
    <w:unhideWhenUsed/>
    <w:qFormat/>
    <w:rsid w:val="003B03D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2181"/>
    <w:pPr>
      <w:ind w:left="720"/>
      <w:contextualSpacing/>
    </w:pPr>
  </w:style>
  <w:style w:type="character" w:customStyle="1" w:styleId="Heading3Char">
    <w:name w:val="Heading 3 Char"/>
    <w:basedOn w:val="DefaultParagraphFont"/>
    <w:link w:val="Heading3"/>
    <w:uiPriority w:val="9"/>
    <w:semiHidden/>
    <w:rsid w:val="003B03D3"/>
    <w:rPr>
      <w:rFonts w:asciiTheme="majorHAnsi" w:eastAsiaTheme="majorEastAsia" w:hAnsiTheme="majorHAnsi" w:cstheme="majorBidi"/>
      <w:color w:val="0A2F40" w:themeColor="accent1" w:themeShade="7F"/>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10</Pages>
  <Words>2554</Words>
  <Characters>14562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Corex</dc:creator>
  <cp:keywords/>
  <cp:lastModifiedBy>Mara Ikere</cp:lastModifiedBy>
  <cp:revision>14</cp:revision>
  <dcterms:created xsi:type="dcterms:W3CDTF">2025-12-23T12:03:00Z</dcterms:created>
  <dcterms:modified xsi:type="dcterms:W3CDTF">2026-01-13T08:00:00Z</dcterms:modified>
</cp:coreProperties>
</file>