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9C15" w14:textId="77777777" w:rsidR="00B24576" w:rsidRPr="00FC0B03" w:rsidRDefault="00B24576" w:rsidP="00B24576">
      <w:pPr>
        <w:jc w:val="center"/>
        <w:rPr>
          <w:rFonts w:asciiTheme="majorHAnsi" w:hAnsiTheme="majorHAnsi" w:cstheme="majorHAnsi"/>
          <w:sz w:val="28"/>
          <w:szCs w:val="28"/>
        </w:rPr>
      </w:pPr>
      <w:r w:rsidRPr="00FC0B03">
        <w:rPr>
          <w:rFonts w:asciiTheme="majorHAnsi" w:hAnsiTheme="majorHAnsi" w:cstheme="majorHAnsi"/>
          <w:sz w:val="28"/>
          <w:szCs w:val="28"/>
        </w:rPr>
        <w:t>IEPIRKUMA</w:t>
      </w:r>
    </w:p>
    <w:p w14:paraId="12A9A4A7" w14:textId="77777777" w:rsidR="00B24576" w:rsidRPr="00FC0B03" w:rsidRDefault="00B24576" w:rsidP="00B24576">
      <w:pPr>
        <w:jc w:val="center"/>
        <w:rPr>
          <w:rFonts w:asciiTheme="majorHAnsi" w:hAnsiTheme="majorHAnsi" w:cstheme="majorHAnsi"/>
          <w:sz w:val="28"/>
          <w:szCs w:val="28"/>
        </w:rPr>
      </w:pPr>
      <w:r w:rsidRPr="00FC0B03">
        <w:rPr>
          <w:rFonts w:asciiTheme="majorHAnsi" w:hAnsiTheme="majorHAnsi" w:cstheme="majorHAnsi"/>
          <w:sz w:val="28"/>
          <w:szCs w:val="28"/>
        </w:rPr>
        <w:t xml:space="preserve">“Iekšējo procesu automatizācijas </w:t>
      </w:r>
      <w:r w:rsidR="00F55279" w:rsidRPr="00FC0B03">
        <w:rPr>
          <w:rFonts w:asciiTheme="majorHAnsi" w:hAnsiTheme="majorHAnsi" w:cstheme="majorHAnsi"/>
          <w:sz w:val="28"/>
          <w:szCs w:val="28"/>
        </w:rPr>
        <w:t>MODULIS</w:t>
      </w:r>
      <w:r w:rsidRPr="00FC0B03">
        <w:rPr>
          <w:rFonts w:asciiTheme="majorHAnsi" w:hAnsiTheme="majorHAnsi" w:cstheme="majorHAnsi"/>
          <w:sz w:val="28"/>
          <w:szCs w:val="28"/>
        </w:rPr>
        <w:t xml:space="preserve"> enerģijas balansēšanai ar mākslīgā intelekta komponentēm”</w:t>
      </w:r>
      <w:r w:rsidRPr="00FC0B03">
        <w:rPr>
          <w:rFonts w:asciiTheme="majorHAnsi" w:hAnsiTheme="majorHAnsi" w:cstheme="majorHAnsi"/>
          <w:sz w:val="28"/>
          <w:szCs w:val="28"/>
        </w:rPr>
        <w:br/>
        <w:t>TEHNISKĀ SPECIFIKĀCIJA</w:t>
      </w:r>
    </w:p>
    <w:p w14:paraId="111E580A" w14:textId="77777777" w:rsidR="00B24576" w:rsidRPr="00FC0B03" w:rsidRDefault="00B24576" w:rsidP="00B24576">
      <w:pPr>
        <w:rPr>
          <w:rFonts w:asciiTheme="majorHAnsi" w:hAnsiTheme="majorHAnsi" w:cstheme="majorHAnsi"/>
        </w:rPr>
      </w:pPr>
    </w:p>
    <w:p w14:paraId="2FFF01D3" w14:textId="77777777" w:rsidR="00FC0B03" w:rsidRDefault="00FC0B03" w:rsidP="008B2CD7">
      <w:pPr>
        <w:rPr>
          <w:rFonts w:asciiTheme="majorHAnsi" w:hAnsiTheme="majorHAnsi" w:cstheme="majorHAnsi"/>
        </w:rPr>
      </w:pPr>
    </w:p>
    <w:p w14:paraId="5424220B" w14:textId="611CFC11" w:rsidR="008B2CD7" w:rsidRPr="00FC0B03" w:rsidRDefault="008B2CD7" w:rsidP="008B2CD7">
      <w:pPr>
        <w:rPr>
          <w:rFonts w:asciiTheme="majorHAnsi" w:hAnsiTheme="majorHAnsi" w:cstheme="majorHAnsi"/>
        </w:rPr>
      </w:pPr>
      <w:r w:rsidRPr="00FC0B03">
        <w:rPr>
          <w:rFonts w:asciiTheme="majorHAnsi" w:hAnsiTheme="majorHAnsi" w:cstheme="majorHAnsi"/>
        </w:rPr>
        <w:t>1. Informācija par pasūtītāju</w:t>
      </w:r>
    </w:p>
    <w:p w14:paraId="093AD27F" w14:textId="77777777" w:rsidR="008B2CD7" w:rsidRPr="00FC0B03" w:rsidRDefault="008B2CD7" w:rsidP="008B2CD7">
      <w:pPr>
        <w:rPr>
          <w:rFonts w:asciiTheme="majorHAnsi" w:hAnsiTheme="majorHAnsi" w:cstheme="majorHAnsi"/>
        </w:rPr>
      </w:pPr>
      <w:r w:rsidRPr="00FC0B03">
        <w:rPr>
          <w:rFonts w:asciiTheme="majorHAnsi" w:hAnsiTheme="majorHAnsi" w:cstheme="majorHAnsi"/>
        </w:rPr>
        <w:t>1.1. Pasūtītājs</w:t>
      </w:r>
    </w:p>
    <w:p w14:paraId="30AA0517" w14:textId="77777777" w:rsidR="008B2CD7" w:rsidRPr="00FC0B03" w:rsidRDefault="008B2CD7" w:rsidP="008B2CD7">
      <w:pPr>
        <w:rPr>
          <w:rFonts w:asciiTheme="majorHAnsi" w:hAnsiTheme="majorHAnsi" w:cstheme="majorHAnsi"/>
        </w:rPr>
      </w:pPr>
      <w:r w:rsidRPr="00FC0B03">
        <w:rPr>
          <w:rFonts w:asciiTheme="majorHAnsi" w:hAnsiTheme="majorHAnsi" w:cstheme="majorHAnsi"/>
        </w:rPr>
        <w:t>Sabiedrība ar ierobežotu atbildību "L.C.E."</w:t>
      </w:r>
      <w:r w:rsidRPr="00FC0B03">
        <w:rPr>
          <w:rFonts w:asciiTheme="majorHAnsi" w:hAnsiTheme="majorHAnsi" w:cstheme="majorHAnsi"/>
        </w:rPr>
        <w:br/>
        <w:t>Juridiskā adrese: Daugavgrīvas iela 83, Rīga, LV-1007</w:t>
      </w:r>
      <w:r w:rsidRPr="00FC0B03">
        <w:rPr>
          <w:rFonts w:asciiTheme="majorHAnsi" w:hAnsiTheme="majorHAnsi" w:cstheme="majorHAnsi"/>
        </w:rPr>
        <w:br/>
        <w:t xml:space="preserve">Reģistrācijas numurs: 40003168951 </w:t>
      </w:r>
    </w:p>
    <w:p w14:paraId="05920A9E" w14:textId="77777777" w:rsidR="008B2CD7" w:rsidRPr="00FC0B03" w:rsidRDefault="008B2CD7" w:rsidP="008B2CD7">
      <w:pPr>
        <w:rPr>
          <w:rFonts w:asciiTheme="majorHAnsi" w:hAnsiTheme="majorHAnsi" w:cstheme="majorHAnsi"/>
        </w:rPr>
      </w:pPr>
      <w:r w:rsidRPr="00FC0B03">
        <w:rPr>
          <w:rFonts w:asciiTheme="majorHAnsi" w:hAnsiTheme="majorHAnsi" w:cstheme="majorHAnsi"/>
        </w:rPr>
        <w:t>1.2. Pasūtītāja kontaktpersona</w:t>
      </w:r>
    </w:p>
    <w:p w14:paraId="4EADF8E8" w14:textId="77777777" w:rsidR="008B2CD7" w:rsidRPr="00FC0B03" w:rsidRDefault="008B2CD7" w:rsidP="008B2CD7">
      <w:pPr>
        <w:rPr>
          <w:rFonts w:asciiTheme="majorHAnsi" w:hAnsiTheme="majorHAnsi" w:cstheme="majorHAnsi"/>
        </w:rPr>
      </w:pPr>
      <w:r w:rsidRPr="00FC0B03">
        <w:rPr>
          <w:rFonts w:asciiTheme="majorHAnsi" w:hAnsiTheme="majorHAnsi" w:cstheme="majorHAnsi"/>
        </w:rPr>
        <w:t>Kirils Boruško</w:t>
      </w:r>
      <w:r w:rsidRPr="00FC0B03">
        <w:rPr>
          <w:rFonts w:asciiTheme="majorHAnsi" w:hAnsiTheme="majorHAnsi" w:cstheme="majorHAnsi"/>
        </w:rPr>
        <w:br/>
        <w:t>Valdes priekšsēdētājs/projekta vadītājs</w:t>
      </w:r>
      <w:r w:rsidRPr="00FC0B03">
        <w:rPr>
          <w:rFonts w:asciiTheme="majorHAnsi" w:hAnsiTheme="majorHAnsi" w:cstheme="majorHAnsi"/>
        </w:rPr>
        <w:br/>
        <w:t>Kontakti: +371 29516162</w:t>
      </w:r>
    </w:p>
    <w:p w14:paraId="0332CE40" w14:textId="77777777" w:rsidR="00B24576" w:rsidRPr="00FC0B03" w:rsidRDefault="00B24576" w:rsidP="00B24576">
      <w:pPr>
        <w:rPr>
          <w:rFonts w:asciiTheme="majorHAnsi" w:hAnsiTheme="majorHAnsi" w:cstheme="majorHAnsi"/>
        </w:rPr>
      </w:pPr>
    </w:p>
    <w:p w14:paraId="4F1F2B4A"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 Informācija par iepirkuma priekšmetu</w:t>
      </w:r>
    </w:p>
    <w:p w14:paraId="79CC9F02"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2.1. Iepirkuma nosaukums:</w:t>
      </w:r>
    </w:p>
    <w:p w14:paraId="39FCFA80"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“Iekšējo procesu automatizācijas “MODULIS” enerģijas balansēšanai ar mākslīgā intelekta komponentēm”, paredzēts SIA “L.C.E.” iekšējo procesu digitalizācijai enerģijas portfeļa prognozēšanas, nebalansa analīzes un Intraday lēmumu atbalsta jomā. Modulis kalpo kā iekšējs operatīvās vadības rīks L.C.E. pakalpojuma sniegšanai esošajiem un nākotnes B2B klientiem</w:t>
      </w:r>
    </w:p>
    <w:p w14:paraId="3922D432"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2.2. Iepirkums tiek rīkots saskaņā ar Ministru kabineta 28.02.2017. noteikumiem Nr.104 “Noteikumi par iepirkuma procedūru un tās piemērošanas kārtību pasūtītāja finansētiem projektiem”.</w:t>
      </w:r>
    </w:p>
    <w:p w14:paraId="083357E3"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 xml:space="preserve">2.3. Projekts tiek finansēts ar Latvijas Investīciju un attīstības aģentūras atbalsta programmu “Atbalsts procesu digitalizācijai un mākslīgā intelekta risinājumiem” saskaņā ar Līgumu Nr. 9.4-1-L-2026/34. </w:t>
      </w:r>
    </w:p>
    <w:p w14:paraId="34BF4B26"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2.4. Iepirkuma priekšmeta detalizēts raksturojums jeb tehniskās prasības apkopotas un pievienotas šī Nolikuma 2. pielikumā “Tehniskā specifikācija”.</w:t>
      </w:r>
    </w:p>
    <w:p w14:paraId="29B2C6AD"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5</w:t>
      </w:r>
      <w:r w:rsidRPr="00FC0B03">
        <w:rPr>
          <w:rFonts w:asciiTheme="majorHAnsi" w:hAnsiTheme="majorHAnsi" w:cstheme="majorHAnsi"/>
        </w:rPr>
        <w:t>. Iepirkuma paredzamā līguma cena ir 400 000 (četri simti tūkstoši) eiro bez PVN.</w:t>
      </w:r>
    </w:p>
    <w:p w14:paraId="4A7C9478"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6</w:t>
      </w:r>
      <w:r w:rsidRPr="00FC0B03">
        <w:rPr>
          <w:rFonts w:asciiTheme="majorHAnsi" w:hAnsiTheme="majorHAnsi" w:cstheme="majorHAnsi"/>
        </w:rPr>
        <w:t>. Piedāvājuma derīguma termiņš – ne mazāk kā 2 (divi) mēneši no piedāvājumu iesniegšanas termiņa dienas.</w:t>
      </w:r>
    </w:p>
    <w:p w14:paraId="28588D39"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7</w:t>
      </w:r>
      <w:r w:rsidRPr="00FC0B03">
        <w:rPr>
          <w:rFonts w:asciiTheme="majorHAnsi" w:hAnsiTheme="majorHAnsi" w:cstheme="majorHAnsi"/>
        </w:rPr>
        <w:t>. Produkts ir jāpiegādā laika periodā ne ilgāk kā divpadsmit (12) mēnešu laikā pēc iepirkuma līguma noslēgšanas.</w:t>
      </w:r>
    </w:p>
    <w:p w14:paraId="682E7E13"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8</w:t>
      </w:r>
      <w:r w:rsidRPr="00FC0B03">
        <w:rPr>
          <w:rFonts w:asciiTheme="majorHAnsi" w:hAnsiTheme="majorHAnsi" w:cstheme="majorHAnsi"/>
        </w:rPr>
        <w:t xml:space="preserve">. Piedāvājuma iesniegšanas termiņš: Pretendents iesniedz cenu piedāvājumu līdz 2026. gada </w:t>
      </w:r>
      <w:r w:rsidR="00F55279" w:rsidRPr="00FC0B03">
        <w:rPr>
          <w:rFonts w:asciiTheme="majorHAnsi" w:hAnsiTheme="majorHAnsi" w:cstheme="majorHAnsi"/>
        </w:rPr>
        <w:t>20</w:t>
      </w:r>
      <w:r w:rsidRPr="00FC0B03">
        <w:rPr>
          <w:rFonts w:asciiTheme="majorHAnsi" w:hAnsiTheme="majorHAnsi" w:cstheme="majorHAnsi"/>
        </w:rPr>
        <w:t xml:space="preserve">. </w:t>
      </w:r>
      <w:r w:rsidR="005E10C9" w:rsidRPr="00FC0B03">
        <w:rPr>
          <w:rFonts w:asciiTheme="majorHAnsi" w:hAnsiTheme="majorHAnsi" w:cstheme="majorHAnsi"/>
        </w:rPr>
        <w:t>februārim</w:t>
      </w:r>
      <w:r w:rsidRPr="00FC0B03">
        <w:rPr>
          <w:rFonts w:asciiTheme="majorHAnsi" w:hAnsiTheme="majorHAnsi" w:cstheme="majorHAnsi"/>
        </w:rPr>
        <w:t xml:space="preserve"> (ieskaitot).</w:t>
      </w:r>
    </w:p>
    <w:p w14:paraId="5AA78BD9"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9</w:t>
      </w:r>
      <w:r w:rsidRPr="00FC0B03">
        <w:rPr>
          <w:rFonts w:asciiTheme="majorHAnsi" w:hAnsiTheme="majorHAnsi" w:cstheme="majorHAnsi"/>
        </w:rPr>
        <w:t>. Piedāvājumu iesniegšanas vieta un kārtība: Piedāvājums jāiesniedz elektroniskā veidā, sūtot uz e-pasta adres</w:t>
      </w:r>
      <w:r w:rsidR="005E10C9" w:rsidRPr="00FC0B03">
        <w:rPr>
          <w:rFonts w:asciiTheme="majorHAnsi" w:hAnsiTheme="majorHAnsi" w:cstheme="majorHAnsi"/>
        </w:rPr>
        <w:t>i</w:t>
      </w:r>
      <w:r w:rsidRPr="00FC0B03">
        <w:rPr>
          <w:rFonts w:asciiTheme="majorHAnsi" w:hAnsiTheme="majorHAnsi" w:cstheme="majorHAnsi"/>
        </w:rPr>
        <w:t>: agija@vissbiznesam.lv.</w:t>
      </w:r>
    </w:p>
    <w:p w14:paraId="68ACE1B7"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10</w:t>
      </w:r>
      <w:r w:rsidRPr="00FC0B03">
        <w:rPr>
          <w:rFonts w:asciiTheme="majorHAnsi" w:hAnsiTheme="majorHAnsi" w:cstheme="majorHAnsi"/>
        </w:rPr>
        <w:t>. Pretendents sagatavo piedāvājumu datorrakstā latviešu valodā un iesniedz elektroniskā veidā, parakstītu ar derīgu drošu elektronisko parakstu.</w:t>
      </w:r>
      <w:r w:rsidRPr="00FC0B03">
        <w:rPr>
          <w:rFonts w:asciiTheme="majorHAnsi" w:hAnsiTheme="majorHAnsi" w:cstheme="majorHAnsi"/>
        </w:rPr>
        <w:br/>
        <w:t>Ja Pretendents iesniedz dokumentus svešvalodā, tiem jāpievieno paraksttiesīgās vai pilnvarotās personas (pievienojot pilnvaru vai tās kopiju) apliecināts tulkojums latviešu valodā.</w:t>
      </w:r>
    </w:p>
    <w:p w14:paraId="4B5C1A2C"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2.</w:t>
      </w:r>
      <w:r w:rsidR="00DE24D6" w:rsidRPr="00FC0B03">
        <w:rPr>
          <w:rFonts w:asciiTheme="majorHAnsi" w:hAnsiTheme="majorHAnsi" w:cstheme="majorHAnsi"/>
        </w:rPr>
        <w:t>11</w:t>
      </w:r>
      <w:r w:rsidRPr="00FC0B03">
        <w:rPr>
          <w:rFonts w:asciiTheme="majorHAnsi" w:hAnsiTheme="majorHAnsi" w:cstheme="majorHAnsi"/>
        </w:rPr>
        <w:t>. Pretendents ir tiesīgs iesniegt tikai vienu pieteikuma un piedāvājuma variantu par visu iepirkuma priekšmetu kopā.</w:t>
      </w:r>
    </w:p>
    <w:p w14:paraId="2764EB05"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lastRenderedPageBreak/>
        <w:t>2.1</w:t>
      </w:r>
      <w:r w:rsidR="00DE24D6" w:rsidRPr="00FC0B03">
        <w:rPr>
          <w:rFonts w:asciiTheme="majorHAnsi" w:hAnsiTheme="majorHAnsi" w:cstheme="majorHAnsi"/>
        </w:rPr>
        <w:t>2</w:t>
      </w:r>
      <w:r w:rsidRPr="00FC0B03">
        <w:rPr>
          <w:rFonts w:asciiTheme="majorHAnsi" w:hAnsiTheme="majorHAnsi" w:cstheme="majorHAnsi"/>
        </w:rPr>
        <w:t>. Finanšu piedāvājums: Pretendentam ir jāiesniedz finanšu piedāvājums saskaņā ar Nolikuma pielikuma “Finanšu piedāvājums” (1. pielikums) formu.</w:t>
      </w:r>
    </w:p>
    <w:p w14:paraId="6598DAE8" w14:textId="77777777" w:rsidR="005E10C9" w:rsidRPr="00FC0B03" w:rsidRDefault="005E10C9" w:rsidP="008A7019">
      <w:pPr>
        <w:rPr>
          <w:rFonts w:asciiTheme="majorHAnsi" w:hAnsiTheme="majorHAnsi" w:cstheme="majorHAnsi"/>
        </w:rPr>
      </w:pPr>
    </w:p>
    <w:p w14:paraId="3412EA0C" w14:textId="77777777" w:rsidR="005E10C9" w:rsidRPr="00FC0B03" w:rsidRDefault="005E10C9" w:rsidP="005E10C9">
      <w:pPr>
        <w:rPr>
          <w:rFonts w:asciiTheme="majorHAnsi" w:hAnsiTheme="majorHAnsi" w:cstheme="majorHAnsi"/>
          <w:color w:val="000000" w:themeColor="text1"/>
        </w:rPr>
      </w:pPr>
      <w:r w:rsidRPr="00FC0B03">
        <w:rPr>
          <w:rFonts w:asciiTheme="majorHAnsi" w:hAnsiTheme="majorHAnsi" w:cstheme="majorHAnsi"/>
          <w:color w:val="000000" w:themeColor="text1"/>
        </w:rPr>
        <w:t>3. Iepirkuma tehniskā specifikācija.</w:t>
      </w:r>
    </w:p>
    <w:p w14:paraId="54A99A30" w14:textId="77777777" w:rsidR="005E10C9" w:rsidRPr="00FC0B03" w:rsidRDefault="005E10C9" w:rsidP="005E10C9">
      <w:pPr>
        <w:rPr>
          <w:rFonts w:asciiTheme="majorHAnsi" w:hAnsiTheme="majorHAnsi" w:cstheme="majorHAnsi"/>
          <w:color w:val="000000" w:themeColor="text1"/>
        </w:rPr>
      </w:pPr>
      <w:r w:rsidRPr="00FC0B03">
        <w:rPr>
          <w:rFonts w:asciiTheme="majorHAnsi" w:hAnsiTheme="majorHAnsi" w:cstheme="majorHAnsi"/>
          <w:color w:val="000000" w:themeColor="text1"/>
        </w:rPr>
        <w:t>3.1. Pretendents nodrošina tehnisko prasību izpildi atbilstoši šī Nolikuma Pielikuma Nr. 2 “Tehniskā specifikācija” prasībām.</w:t>
      </w:r>
    </w:p>
    <w:p w14:paraId="098CF663" w14:textId="77777777" w:rsidR="005E10C9" w:rsidRPr="00FC0B03" w:rsidRDefault="005E10C9" w:rsidP="005E10C9">
      <w:pPr>
        <w:rPr>
          <w:rFonts w:asciiTheme="majorHAnsi" w:hAnsiTheme="majorHAnsi" w:cstheme="majorHAnsi"/>
          <w:color w:val="000000" w:themeColor="text1"/>
        </w:rPr>
      </w:pPr>
      <w:r w:rsidRPr="00FC0B03">
        <w:rPr>
          <w:rFonts w:asciiTheme="majorHAnsi" w:hAnsiTheme="majorHAnsi" w:cstheme="majorHAnsi"/>
          <w:color w:val="000000" w:themeColor="text1"/>
        </w:rPr>
        <w:t>3.2. Piedāvājums jāiesniedz par visu Tehniskajā specifikācijā noteikto iepirkuma priekšmetu (nav pieļauta daļēja piedāvājuma iesniegšana pa atsevišķām “MODUĻA” komponentēm).</w:t>
      </w:r>
    </w:p>
    <w:p w14:paraId="7FD4EA5C" w14:textId="77777777" w:rsidR="008A7019" w:rsidRPr="00FC0B03" w:rsidRDefault="008A7019" w:rsidP="008A7019">
      <w:pPr>
        <w:rPr>
          <w:rFonts w:asciiTheme="majorHAnsi" w:hAnsiTheme="majorHAnsi" w:cstheme="majorHAnsi"/>
        </w:rPr>
      </w:pPr>
    </w:p>
    <w:p w14:paraId="262FC6AE"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4. Citas Pretendentam izvirzītās prasības</w:t>
      </w:r>
    </w:p>
    <w:p w14:paraId="11E5D369"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4.1. Pieredze un kompetences</w:t>
      </w:r>
    </w:p>
    <w:p w14:paraId="38EC2096"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4.1.1. Pieredze</w:t>
      </w:r>
      <w:r w:rsidR="005E10C9" w:rsidRPr="00FC0B03">
        <w:rPr>
          <w:rFonts w:asciiTheme="majorHAnsi" w:hAnsiTheme="majorHAnsi" w:cstheme="majorHAnsi"/>
        </w:rPr>
        <w:t>: p</w:t>
      </w:r>
      <w:r w:rsidRPr="00FC0B03">
        <w:rPr>
          <w:rFonts w:asciiTheme="majorHAnsi" w:hAnsiTheme="majorHAnsi" w:cstheme="majorHAnsi"/>
        </w:rPr>
        <w:t>ēdējo 48 mēnešu laikā Pretendentam ir jābūt vismaz vienam realizētam un ražošanā esošam risinājumam, kas ietver:</w:t>
      </w:r>
    </w:p>
    <w:p w14:paraId="55AAF23B" w14:textId="77777777" w:rsidR="008A7019" w:rsidRPr="00FC0B03" w:rsidRDefault="005E10C9" w:rsidP="008A7019">
      <w:pPr>
        <w:numPr>
          <w:ilvl w:val="0"/>
          <w:numId w:val="8"/>
        </w:numPr>
        <w:rPr>
          <w:rFonts w:asciiTheme="majorHAnsi" w:hAnsiTheme="majorHAnsi" w:cstheme="majorHAnsi"/>
        </w:rPr>
      </w:pPr>
      <w:r w:rsidRPr="00FC0B03">
        <w:rPr>
          <w:rFonts w:asciiTheme="majorHAnsi" w:hAnsiTheme="majorHAnsi" w:cstheme="majorHAnsi"/>
        </w:rPr>
        <w:t xml:space="preserve">Datu analītkas un backend sistēmas </w:t>
      </w:r>
      <w:r w:rsidR="008A7019" w:rsidRPr="00FC0B03">
        <w:rPr>
          <w:rFonts w:asciiTheme="majorHAnsi" w:hAnsiTheme="majorHAnsi" w:cstheme="majorHAnsi"/>
        </w:rPr>
        <w:t>funkcionalitāti,</w:t>
      </w:r>
    </w:p>
    <w:p w14:paraId="1A1BB62D" w14:textId="77777777" w:rsidR="008A7019" w:rsidRPr="00FC0B03" w:rsidRDefault="008A7019" w:rsidP="008A7019">
      <w:pPr>
        <w:numPr>
          <w:ilvl w:val="0"/>
          <w:numId w:val="8"/>
        </w:numPr>
        <w:rPr>
          <w:rFonts w:asciiTheme="majorHAnsi" w:hAnsiTheme="majorHAnsi" w:cstheme="majorHAnsi"/>
        </w:rPr>
      </w:pPr>
      <w:r w:rsidRPr="00FC0B03">
        <w:rPr>
          <w:rFonts w:asciiTheme="majorHAnsi" w:hAnsiTheme="majorHAnsi" w:cstheme="majorHAnsi"/>
        </w:rPr>
        <w:t>integrācijas ar trešajām pusēm (</w:t>
      </w:r>
      <w:r w:rsidR="005E10C9" w:rsidRPr="00FC0B03">
        <w:rPr>
          <w:rFonts w:asciiTheme="majorHAnsi" w:hAnsiTheme="majorHAnsi" w:cstheme="majorHAnsi"/>
        </w:rPr>
        <w:t>var būt</w:t>
      </w:r>
      <w:r w:rsidR="00F55279" w:rsidRPr="00FC0B03">
        <w:rPr>
          <w:rFonts w:asciiTheme="majorHAnsi" w:hAnsiTheme="majorHAnsi" w:cstheme="majorHAnsi"/>
        </w:rPr>
        <w:t xml:space="preserve"> </w:t>
      </w:r>
      <w:r w:rsidRPr="00FC0B03">
        <w:rPr>
          <w:rFonts w:asciiTheme="majorHAnsi" w:hAnsiTheme="majorHAnsi" w:cstheme="majorHAnsi"/>
        </w:rPr>
        <w:t>maksājumu vārteja un/vai banku izraksti un/vai datu importi no ārējām sistēmām),</w:t>
      </w:r>
    </w:p>
    <w:p w14:paraId="34288FAD" w14:textId="77777777" w:rsidR="008A7019" w:rsidRPr="00FC0B03" w:rsidRDefault="005E10C9" w:rsidP="008A7019">
      <w:pPr>
        <w:rPr>
          <w:rFonts w:asciiTheme="majorHAnsi" w:hAnsiTheme="majorHAnsi" w:cstheme="majorHAnsi"/>
        </w:rPr>
      </w:pPr>
      <w:r w:rsidRPr="00FC0B03">
        <w:rPr>
          <w:rFonts w:asciiTheme="majorHAnsi" w:hAnsiTheme="majorHAnsi" w:cstheme="majorHAnsi"/>
        </w:rPr>
        <w:t>abi nosacījumi obligāti saistīti ar</w:t>
      </w:r>
      <w:r w:rsidR="008A7019" w:rsidRPr="00FC0B03">
        <w:rPr>
          <w:rFonts w:asciiTheme="majorHAnsi" w:hAnsiTheme="majorHAnsi" w:cstheme="majorHAnsi"/>
        </w:rPr>
        <w:t xml:space="preserve"> enerģētikas</w:t>
      </w:r>
      <w:r w:rsidRPr="00FC0B03">
        <w:rPr>
          <w:rFonts w:asciiTheme="majorHAnsi" w:hAnsiTheme="majorHAnsi" w:cstheme="majorHAnsi"/>
        </w:rPr>
        <w:t xml:space="preserve"> </w:t>
      </w:r>
      <w:r w:rsidR="008A7019" w:rsidRPr="00FC0B03">
        <w:rPr>
          <w:rFonts w:asciiTheme="majorHAnsi" w:hAnsiTheme="majorHAnsi" w:cstheme="majorHAnsi"/>
        </w:rPr>
        <w:t>pakalpojumu sektor</w:t>
      </w:r>
      <w:r w:rsidRPr="00FC0B03">
        <w:rPr>
          <w:rFonts w:asciiTheme="majorHAnsi" w:hAnsiTheme="majorHAnsi" w:cstheme="majorHAnsi"/>
        </w:rPr>
        <w:t>u</w:t>
      </w:r>
      <w:r w:rsidR="008A7019" w:rsidRPr="00FC0B03">
        <w:rPr>
          <w:rFonts w:asciiTheme="majorHAnsi" w:hAnsiTheme="majorHAnsi" w:cstheme="majorHAnsi"/>
        </w:rPr>
        <w:t>.</w:t>
      </w:r>
    </w:p>
    <w:p w14:paraId="131CA396"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Iesniedzamie dokumenti:</w:t>
      </w:r>
      <w:r w:rsidR="00F55279" w:rsidRPr="00FC0B03">
        <w:rPr>
          <w:rFonts w:asciiTheme="majorHAnsi" w:hAnsiTheme="majorHAnsi" w:cstheme="majorHAnsi"/>
        </w:rPr>
        <w:t xml:space="preserve"> p</w:t>
      </w:r>
      <w:r w:rsidRPr="00FC0B03">
        <w:rPr>
          <w:rFonts w:asciiTheme="majorHAnsi" w:hAnsiTheme="majorHAnsi" w:cstheme="majorHAnsi"/>
        </w:rPr>
        <w:t xml:space="preserve">rojekta apraksts ar klienta nosaukumu, īsu funkcionalitātes aprakstu un budžeta apmēru; </w:t>
      </w:r>
      <w:r w:rsidR="005E10C9" w:rsidRPr="00FC0B03">
        <w:rPr>
          <w:rFonts w:asciiTheme="majorHAnsi" w:hAnsiTheme="majorHAnsi" w:cstheme="majorHAnsi"/>
        </w:rPr>
        <w:t xml:space="preserve">iespējamie piemēri ar </w:t>
      </w:r>
      <w:r w:rsidRPr="00FC0B03">
        <w:rPr>
          <w:rFonts w:asciiTheme="majorHAnsi" w:hAnsiTheme="majorHAnsi" w:cstheme="majorHAnsi"/>
        </w:rPr>
        <w:t>vietnes vai risinājuma sait</w:t>
      </w:r>
      <w:r w:rsidR="005E10C9" w:rsidRPr="00FC0B03">
        <w:rPr>
          <w:rFonts w:asciiTheme="majorHAnsi" w:hAnsiTheme="majorHAnsi" w:cstheme="majorHAnsi"/>
        </w:rPr>
        <w:t>i</w:t>
      </w:r>
      <w:r w:rsidRPr="00FC0B03">
        <w:rPr>
          <w:rFonts w:asciiTheme="majorHAnsi" w:hAnsiTheme="majorHAnsi" w:cstheme="majorHAnsi"/>
        </w:rPr>
        <w:t>; atsauksmēm</w:t>
      </w:r>
      <w:r w:rsidR="005E10C9" w:rsidRPr="00FC0B03">
        <w:rPr>
          <w:rFonts w:asciiTheme="majorHAnsi" w:hAnsiTheme="majorHAnsi" w:cstheme="majorHAnsi"/>
        </w:rPr>
        <w:t xml:space="preserve"> norādāma</w:t>
      </w:r>
      <w:r w:rsidRPr="00FC0B03">
        <w:rPr>
          <w:rFonts w:asciiTheme="majorHAnsi" w:hAnsiTheme="majorHAnsi" w:cstheme="majorHAnsi"/>
        </w:rPr>
        <w:t xml:space="preserve"> kontaktpersona no klienta puses (vārds, uzvārds, tālrunis/e-pasts).</w:t>
      </w:r>
    </w:p>
    <w:p w14:paraId="4CBC6CC3"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4.1.2. Komanda</w:t>
      </w:r>
      <w:r w:rsidR="0049295A" w:rsidRPr="00FC0B03">
        <w:rPr>
          <w:rFonts w:asciiTheme="majorHAnsi" w:hAnsiTheme="majorHAnsi" w:cstheme="majorHAnsi"/>
        </w:rPr>
        <w:t xml:space="preserve">. </w:t>
      </w:r>
      <w:r w:rsidRPr="00FC0B03">
        <w:rPr>
          <w:rFonts w:asciiTheme="majorHAnsi" w:hAnsiTheme="majorHAnsi" w:cstheme="majorHAnsi"/>
        </w:rPr>
        <w:t>Pretendentam ir jānodrošina projekta īstenošanai šāda minimālā komanda:</w:t>
      </w:r>
    </w:p>
    <w:p w14:paraId="73A54250" w14:textId="77777777" w:rsidR="008A7019" w:rsidRPr="00FC0B03" w:rsidRDefault="008A7019" w:rsidP="008A7019">
      <w:pPr>
        <w:numPr>
          <w:ilvl w:val="0"/>
          <w:numId w:val="9"/>
        </w:numPr>
        <w:rPr>
          <w:rFonts w:asciiTheme="majorHAnsi" w:hAnsiTheme="majorHAnsi" w:cstheme="majorHAnsi"/>
        </w:rPr>
      </w:pPr>
      <w:r w:rsidRPr="00FC0B03">
        <w:rPr>
          <w:rFonts w:asciiTheme="majorHAnsi" w:hAnsiTheme="majorHAnsi" w:cstheme="majorHAnsi"/>
        </w:rPr>
        <w:t>IT projekta vadītājs/sistēmu arhitekts;</w:t>
      </w:r>
    </w:p>
    <w:p w14:paraId="25EDF039" w14:textId="77777777" w:rsidR="008A7019" w:rsidRPr="00FC0B03" w:rsidRDefault="008A7019" w:rsidP="008A7019">
      <w:pPr>
        <w:numPr>
          <w:ilvl w:val="0"/>
          <w:numId w:val="9"/>
        </w:numPr>
        <w:rPr>
          <w:rFonts w:asciiTheme="majorHAnsi" w:hAnsiTheme="majorHAnsi" w:cstheme="majorHAnsi"/>
        </w:rPr>
      </w:pPr>
      <w:r w:rsidRPr="00FC0B03">
        <w:rPr>
          <w:rFonts w:asciiTheme="majorHAnsi" w:hAnsiTheme="majorHAnsi" w:cstheme="majorHAnsi"/>
        </w:rPr>
        <w:t>vismaz 2 programmētāji (back-end);</w:t>
      </w:r>
    </w:p>
    <w:p w14:paraId="3425899C" w14:textId="77777777" w:rsidR="008A7019" w:rsidRPr="00FC0B03" w:rsidRDefault="008A7019" w:rsidP="008A7019">
      <w:pPr>
        <w:numPr>
          <w:ilvl w:val="0"/>
          <w:numId w:val="9"/>
        </w:numPr>
        <w:rPr>
          <w:rFonts w:asciiTheme="majorHAnsi" w:hAnsiTheme="majorHAnsi" w:cstheme="majorHAnsi"/>
        </w:rPr>
      </w:pPr>
      <w:r w:rsidRPr="00FC0B03">
        <w:rPr>
          <w:rFonts w:asciiTheme="majorHAnsi" w:hAnsiTheme="majorHAnsi" w:cstheme="majorHAnsi"/>
        </w:rPr>
        <w:t>testētājs;</w:t>
      </w:r>
    </w:p>
    <w:p w14:paraId="1F1CE36A" w14:textId="77777777" w:rsidR="008A7019" w:rsidRPr="00FC0B03" w:rsidRDefault="008A7019" w:rsidP="008A7019">
      <w:pPr>
        <w:numPr>
          <w:ilvl w:val="0"/>
          <w:numId w:val="9"/>
        </w:numPr>
        <w:rPr>
          <w:rFonts w:asciiTheme="majorHAnsi" w:hAnsiTheme="majorHAnsi" w:cstheme="majorHAnsi"/>
        </w:rPr>
      </w:pPr>
      <w:r w:rsidRPr="00FC0B03">
        <w:rPr>
          <w:rFonts w:asciiTheme="majorHAnsi" w:hAnsiTheme="majorHAnsi" w:cstheme="majorHAnsi"/>
        </w:rPr>
        <w:t>infrastruktūras/DevOps speciālists;</w:t>
      </w:r>
    </w:p>
    <w:p w14:paraId="324D26C3" w14:textId="77777777" w:rsidR="008A7019" w:rsidRPr="00FC0B03" w:rsidRDefault="008A7019" w:rsidP="008A7019">
      <w:pPr>
        <w:numPr>
          <w:ilvl w:val="0"/>
          <w:numId w:val="9"/>
        </w:numPr>
        <w:rPr>
          <w:rFonts w:asciiTheme="majorHAnsi" w:hAnsiTheme="majorHAnsi" w:cstheme="majorHAnsi"/>
        </w:rPr>
      </w:pPr>
      <w:r w:rsidRPr="00FC0B03">
        <w:rPr>
          <w:rFonts w:asciiTheme="majorHAnsi" w:hAnsiTheme="majorHAnsi" w:cstheme="majorHAnsi"/>
        </w:rPr>
        <w:t>datu/MI speciālists (datu kvalitātes un MI komponentēm).</w:t>
      </w:r>
    </w:p>
    <w:p w14:paraId="54D4C4BB"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Iesniedzamie dokumenti:</w:t>
      </w:r>
      <w:r w:rsidR="00F55279" w:rsidRPr="00FC0B03">
        <w:rPr>
          <w:rFonts w:asciiTheme="majorHAnsi" w:hAnsiTheme="majorHAnsi" w:cstheme="majorHAnsi"/>
        </w:rPr>
        <w:t xml:space="preserve"> k</w:t>
      </w:r>
      <w:r w:rsidRPr="00FC0B03">
        <w:rPr>
          <w:rFonts w:asciiTheme="majorHAnsi" w:hAnsiTheme="majorHAnsi" w:cstheme="majorHAnsi"/>
        </w:rPr>
        <w:t>omandas sastāva saraksts ar amatiem un īsu kompetenču aprakstu; katras personas CV; apliecinājums, ka šī komanda būs pieejama projekta īstenošanas laikā.</w:t>
      </w:r>
    </w:p>
    <w:p w14:paraId="018C1520"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4.1.3. Drošība un datu aizsardzība</w:t>
      </w:r>
      <w:r w:rsidR="0049295A" w:rsidRPr="00FC0B03">
        <w:rPr>
          <w:rFonts w:asciiTheme="majorHAnsi" w:hAnsiTheme="majorHAnsi" w:cstheme="majorHAnsi"/>
        </w:rPr>
        <w:t xml:space="preserve">. </w:t>
      </w:r>
      <w:r w:rsidRPr="00FC0B03">
        <w:rPr>
          <w:rFonts w:asciiTheme="majorHAnsi" w:hAnsiTheme="majorHAnsi" w:cstheme="majorHAnsi"/>
        </w:rPr>
        <w:t>Pretendentam jānodrošina atbilstība Vispārīgajai datu aizsardzības regulai (GDPR) un labās prakses drošības prasībām (pieejas kontrole, šifrēšana, incidentu vadība).</w:t>
      </w:r>
    </w:p>
    <w:p w14:paraId="76132245"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Iesniedzamie dokumenti:</w:t>
      </w:r>
    </w:p>
    <w:p w14:paraId="1ADCC83F" w14:textId="77777777" w:rsidR="00CA0BFB" w:rsidRPr="00CA0BFB" w:rsidRDefault="00CA0BFB" w:rsidP="00CA0BFB">
      <w:pPr>
        <w:numPr>
          <w:ilvl w:val="0"/>
          <w:numId w:val="10"/>
        </w:numPr>
        <w:rPr>
          <w:rFonts w:asciiTheme="majorHAnsi" w:hAnsiTheme="majorHAnsi" w:cstheme="majorHAnsi"/>
        </w:rPr>
      </w:pPr>
      <w:r w:rsidRPr="00CA0BFB">
        <w:rPr>
          <w:rFonts w:asciiTheme="majorHAnsi" w:hAnsiTheme="majorHAnsi" w:cstheme="majorHAnsi"/>
        </w:rPr>
        <w:t>Pretendentam jānodrošina atbilstība GDPR prasībām un jāparaksta datu apstrādes līgums (DPA) saskaņā ar Pasūtītāja instrukcijām. Pretendentam jāiesniedz parakstīts apliecinājums, ka Pasūtītāja/klientu dati netiks izmantoti Pretendenta vispārīgu vai trešo pušu MI modeļu apmācībai, atkārtotai izmantošanai ārpus šī Moduļa vai citu klientu interesēs bez rakstiskas Pasūtītāja piekrišanas.</w:t>
      </w:r>
    </w:p>
    <w:p w14:paraId="64E8E4B6" w14:textId="77777777" w:rsidR="00BF1277" w:rsidRPr="00BF1277" w:rsidRDefault="00CA0BFB" w:rsidP="00CA0BFB">
      <w:pPr>
        <w:numPr>
          <w:ilvl w:val="0"/>
          <w:numId w:val="10"/>
        </w:numPr>
        <w:rPr>
          <w:rFonts w:asciiTheme="majorHAnsi" w:hAnsiTheme="majorHAnsi" w:cstheme="majorHAnsi"/>
        </w:rPr>
      </w:pPr>
      <w:r w:rsidRPr="00CA0BFB">
        <w:rPr>
          <w:rFonts w:asciiTheme="majorHAnsi" w:hAnsiTheme="majorHAnsi" w:cstheme="majorHAnsi"/>
        </w:rPr>
        <w:t>Pasūtītāja/klientu dati drīkst tikt izmantoti tikai šī Moduļa MI komponentu apmācībai un/vai pārmācīšanai Pasūtītāja vajadzībām (projekta ietvaros), ievērojot DPA un Pasūtītāja norādījumus. Datu glabāšana un apstrāde jānodrošina ES/EEZ teritorijā (ja vien Pasūtītājs rakstiski nav noteicis citādi), kā arī jāievieš piekļuves kontrole, auditējami žurnāli un šifrēšana datu pārsūtē un glabāšanā.</w:t>
      </w:r>
    </w:p>
    <w:p w14:paraId="1CEBFD95" w14:textId="7B897F63" w:rsidR="008A7019" w:rsidRPr="00FC0B03" w:rsidRDefault="008A7019" w:rsidP="00CA0BFB">
      <w:pPr>
        <w:numPr>
          <w:ilvl w:val="0"/>
          <w:numId w:val="10"/>
        </w:numPr>
        <w:rPr>
          <w:rFonts w:asciiTheme="majorHAnsi" w:hAnsiTheme="majorHAnsi" w:cstheme="majorHAnsi"/>
        </w:rPr>
      </w:pPr>
      <w:r w:rsidRPr="00FC0B03">
        <w:rPr>
          <w:rFonts w:asciiTheme="majorHAnsi" w:hAnsiTheme="majorHAnsi" w:cstheme="majorHAnsi"/>
        </w:rPr>
        <w:t>datu apstrādes līguma projekts;</w:t>
      </w:r>
    </w:p>
    <w:p w14:paraId="246C0E34" w14:textId="77777777" w:rsidR="008A7019" w:rsidRPr="00FC0B03" w:rsidRDefault="008A7019" w:rsidP="008A7019">
      <w:pPr>
        <w:numPr>
          <w:ilvl w:val="0"/>
          <w:numId w:val="10"/>
        </w:numPr>
        <w:rPr>
          <w:rFonts w:asciiTheme="majorHAnsi" w:hAnsiTheme="majorHAnsi" w:cstheme="majorHAnsi"/>
        </w:rPr>
      </w:pPr>
      <w:r w:rsidRPr="00FC0B03">
        <w:rPr>
          <w:rFonts w:asciiTheme="majorHAnsi" w:hAnsiTheme="majorHAnsi" w:cstheme="majorHAnsi"/>
        </w:rPr>
        <w:t>aktuāls saraksts ar visiem apakšuzņēmējiem, kas iesaistīti datu apstrādē</w:t>
      </w:r>
      <w:r w:rsidR="005E10C9" w:rsidRPr="00FC0B03">
        <w:rPr>
          <w:rFonts w:asciiTheme="majorHAnsi" w:hAnsiTheme="majorHAnsi" w:cstheme="majorHAnsi"/>
        </w:rPr>
        <w:t>, ja tādi paredzēti</w:t>
      </w:r>
      <w:r w:rsidRPr="00FC0B03">
        <w:rPr>
          <w:rFonts w:asciiTheme="majorHAnsi" w:hAnsiTheme="majorHAnsi" w:cstheme="majorHAnsi"/>
        </w:rPr>
        <w:t>;</w:t>
      </w:r>
    </w:p>
    <w:p w14:paraId="6069A8E5" w14:textId="77777777" w:rsidR="008A7019" w:rsidRPr="00FC0B03" w:rsidRDefault="008A7019" w:rsidP="008A7019">
      <w:pPr>
        <w:numPr>
          <w:ilvl w:val="0"/>
          <w:numId w:val="10"/>
        </w:numPr>
        <w:rPr>
          <w:rFonts w:asciiTheme="majorHAnsi" w:hAnsiTheme="majorHAnsi" w:cstheme="majorHAnsi"/>
        </w:rPr>
      </w:pPr>
      <w:r w:rsidRPr="00FC0B03">
        <w:rPr>
          <w:rFonts w:asciiTheme="majorHAnsi" w:hAnsiTheme="majorHAnsi" w:cstheme="majorHAnsi"/>
        </w:rPr>
        <w:t>drošības incidentu pārvaldības procedūras apraksts;</w:t>
      </w:r>
    </w:p>
    <w:p w14:paraId="50814862" w14:textId="77777777" w:rsidR="008A7019" w:rsidRPr="00FC0B03" w:rsidRDefault="008A7019" w:rsidP="008A7019">
      <w:pPr>
        <w:numPr>
          <w:ilvl w:val="0"/>
          <w:numId w:val="10"/>
        </w:numPr>
        <w:rPr>
          <w:rFonts w:asciiTheme="majorHAnsi" w:hAnsiTheme="majorHAnsi" w:cstheme="majorHAnsi"/>
        </w:rPr>
      </w:pPr>
      <w:r w:rsidRPr="00FC0B03">
        <w:rPr>
          <w:rFonts w:asciiTheme="majorHAnsi" w:hAnsiTheme="majorHAnsi" w:cstheme="majorHAnsi"/>
        </w:rPr>
        <w:lastRenderedPageBreak/>
        <w:t>tehniskais apraksts par izmantotajiem šifrēšanas risinājumiem (dati tranzītā un miera stāvoklī);</w:t>
      </w:r>
    </w:p>
    <w:p w14:paraId="0AC2C6B9" w14:textId="77777777" w:rsidR="008A7019" w:rsidRPr="00FC0B03" w:rsidRDefault="008A7019" w:rsidP="008A7019">
      <w:pPr>
        <w:numPr>
          <w:ilvl w:val="0"/>
          <w:numId w:val="10"/>
        </w:numPr>
        <w:rPr>
          <w:rFonts w:asciiTheme="majorHAnsi" w:hAnsiTheme="majorHAnsi" w:cstheme="majorHAnsi"/>
        </w:rPr>
      </w:pPr>
      <w:r w:rsidRPr="00FC0B03">
        <w:rPr>
          <w:rFonts w:asciiTheme="majorHAnsi" w:hAnsiTheme="majorHAnsi" w:cstheme="majorHAnsi"/>
        </w:rPr>
        <w:t>piekļuves kontroles un audita mehānismu apraksts vai piemērs no sistēmas;</w:t>
      </w:r>
    </w:p>
    <w:p w14:paraId="6D4E68FE" w14:textId="7FE9302A" w:rsidR="008A7019" w:rsidRPr="00BF1277" w:rsidRDefault="00BF1277" w:rsidP="00BF1277">
      <w:pPr>
        <w:numPr>
          <w:ilvl w:val="0"/>
          <w:numId w:val="10"/>
        </w:numPr>
        <w:rPr>
          <w:rFonts w:asciiTheme="majorHAnsi" w:hAnsiTheme="majorHAnsi" w:cstheme="majorHAnsi"/>
        </w:rPr>
      </w:pPr>
      <w:r w:rsidRPr="00BF1277">
        <w:rPr>
          <w:rFonts w:asciiTheme="majorHAnsi" w:hAnsiTheme="majorHAnsi" w:cstheme="majorHAnsi"/>
        </w:rPr>
        <w:t>parakstīts apliecinājums, ka Pasūtītāja/klientu dati netiks izmantoti ārpus šī Moduļa (t.sk. citu klientu vai Pretendenta vispārīgu MI modeļu) apmācībai bez rakstiskas Pasūtītāja piekrišanas</w:t>
      </w:r>
      <w:r w:rsidR="008A7019" w:rsidRPr="00BF1277">
        <w:rPr>
          <w:rFonts w:asciiTheme="majorHAnsi" w:hAnsiTheme="majorHAnsi" w:cstheme="majorHAnsi"/>
        </w:rPr>
        <w:t>.</w:t>
      </w:r>
    </w:p>
    <w:p w14:paraId="741EC48B" w14:textId="31B2BEC6" w:rsidR="008A7019" w:rsidRPr="00FC0B03" w:rsidRDefault="008A7019" w:rsidP="008A7019">
      <w:pPr>
        <w:rPr>
          <w:rFonts w:asciiTheme="majorHAnsi" w:hAnsiTheme="majorHAnsi" w:cstheme="majorHAnsi"/>
        </w:rPr>
      </w:pPr>
      <w:r w:rsidRPr="00FC0B03">
        <w:rPr>
          <w:rFonts w:asciiTheme="majorHAnsi" w:hAnsiTheme="majorHAnsi" w:cstheme="majorHAnsi"/>
        </w:rPr>
        <w:t>4.1.</w:t>
      </w:r>
      <w:r w:rsidR="006E679C">
        <w:rPr>
          <w:rFonts w:asciiTheme="majorHAnsi" w:hAnsiTheme="majorHAnsi" w:cstheme="majorHAnsi"/>
        </w:rPr>
        <w:t>4</w:t>
      </w:r>
      <w:r w:rsidRPr="00FC0B03">
        <w:rPr>
          <w:rFonts w:asciiTheme="majorHAnsi" w:hAnsiTheme="majorHAnsi" w:cstheme="majorHAnsi"/>
        </w:rPr>
        <w:t>. Tehnoloģiskā kompetence</w:t>
      </w:r>
      <w:r w:rsidR="0049295A" w:rsidRPr="00FC0B03">
        <w:rPr>
          <w:rFonts w:asciiTheme="majorHAnsi" w:hAnsiTheme="majorHAnsi" w:cstheme="majorHAnsi"/>
        </w:rPr>
        <w:t xml:space="preserve">: </w:t>
      </w:r>
      <w:r w:rsidRPr="00FC0B03">
        <w:rPr>
          <w:rFonts w:asciiTheme="majorHAnsi" w:hAnsiTheme="majorHAnsi" w:cstheme="majorHAnsi"/>
        </w:rPr>
        <w:t xml:space="preserve">Plaša pieredze ar mūsdienu </w:t>
      </w:r>
      <w:r w:rsidR="005E10C9" w:rsidRPr="00FC0B03">
        <w:rPr>
          <w:rFonts w:asciiTheme="majorHAnsi" w:hAnsiTheme="majorHAnsi" w:cstheme="majorHAnsi"/>
        </w:rPr>
        <w:t>programmēšanas</w:t>
      </w:r>
      <w:r w:rsidRPr="00FC0B03">
        <w:rPr>
          <w:rFonts w:asciiTheme="majorHAnsi" w:hAnsiTheme="majorHAnsi" w:cstheme="majorHAnsi"/>
        </w:rPr>
        <w:t xml:space="preserve"> tehnoloģijām JavaScript/TypeScript (piemēram, React/Next.js, Node.js) un mākoņplatformām (piemēram, AWS, Azure vai GCP).</w:t>
      </w:r>
    </w:p>
    <w:p w14:paraId="5B66F477"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Iesniedzamie dokumenti:</w:t>
      </w:r>
      <w:r w:rsidR="0049295A" w:rsidRPr="00FC0B03">
        <w:rPr>
          <w:rFonts w:asciiTheme="majorHAnsi" w:hAnsiTheme="majorHAnsi" w:cstheme="majorHAnsi"/>
        </w:rPr>
        <w:t xml:space="preserve"> p</w:t>
      </w:r>
      <w:r w:rsidRPr="00FC0B03">
        <w:rPr>
          <w:rFonts w:asciiTheme="majorHAnsi" w:hAnsiTheme="majorHAnsi" w:cstheme="majorHAnsi"/>
        </w:rPr>
        <w:t xml:space="preserve">rojekta(-u) apraksts ar izmantotajām tehnoloģijām; atsauksmēm </w:t>
      </w:r>
      <w:r w:rsidR="005E10C9" w:rsidRPr="00FC0B03">
        <w:rPr>
          <w:rFonts w:asciiTheme="majorHAnsi" w:hAnsiTheme="majorHAnsi" w:cstheme="majorHAnsi"/>
        </w:rPr>
        <w:t xml:space="preserve">norādāma </w:t>
      </w:r>
      <w:r w:rsidRPr="00FC0B03">
        <w:rPr>
          <w:rFonts w:asciiTheme="majorHAnsi" w:hAnsiTheme="majorHAnsi" w:cstheme="majorHAnsi"/>
        </w:rPr>
        <w:t>kontaktpersona no klienta puses (vārds, uzvārds, tālrunis/e-pasts).</w:t>
      </w:r>
    </w:p>
    <w:p w14:paraId="5972B9CF" w14:textId="047C92D3" w:rsidR="008A7019" w:rsidRPr="006E679C" w:rsidRDefault="008A7019" w:rsidP="006E679C">
      <w:r w:rsidRPr="00FC0B03">
        <w:rPr>
          <w:rFonts w:asciiTheme="majorHAnsi" w:hAnsiTheme="majorHAnsi" w:cstheme="majorHAnsi"/>
        </w:rPr>
        <w:t>4.1.</w:t>
      </w:r>
      <w:r w:rsidR="006E679C">
        <w:rPr>
          <w:rFonts w:asciiTheme="majorHAnsi" w:hAnsiTheme="majorHAnsi" w:cstheme="majorHAnsi"/>
        </w:rPr>
        <w:t>5</w:t>
      </w:r>
      <w:r w:rsidRPr="00FC0B03">
        <w:rPr>
          <w:rFonts w:asciiTheme="majorHAnsi" w:hAnsiTheme="majorHAnsi" w:cstheme="majorHAnsi"/>
        </w:rPr>
        <w:t>. EV uzlādes menedžmenta kompetence</w:t>
      </w:r>
      <w:r w:rsidR="0049295A" w:rsidRPr="00FC0B03">
        <w:rPr>
          <w:rFonts w:asciiTheme="majorHAnsi" w:hAnsiTheme="majorHAnsi" w:cstheme="majorHAnsi"/>
        </w:rPr>
        <w:t>: s</w:t>
      </w:r>
      <w:r w:rsidRPr="00FC0B03">
        <w:rPr>
          <w:rFonts w:asciiTheme="majorHAnsi" w:hAnsiTheme="majorHAnsi" w:cstheme="majorHAnsi"/>
        </w:rPr>
        <w:t xml:space="preserve">akarā ar to, ka viens no SIA “L.C.E.” klientiem no 2027. gada plāno piedāvāt saviem </w:t>
      </w:r>
      <w:r w:rsidR="00F55279" w:rsidRPr="00FC0B03">
        <w:rPr>
          <w:rFonts w:asciiTheme="majorHAnsi" w:hAnsiTheme="majorHAnsi" w:cstheme="majorHAnsi"/>
        </w:rPr>
        <w:t xml:space="preserve">gala </w:t>
      </w:r>
      <w:r w:rsidRPr="00FC0B03">
        <w:rPr>
          <w:rFonts w:asciiTheme="majorHAnsi" w:hAnsiTheme="majorHAnsi" w:cstheme="majorHAnsi"/>
        </w:rPr>
        <w:t xml:space="preserve">klientiem EV uzlādes menedžmenta risinājumus mājas un komercpartneru vajadzībām </w:t>
      </w:r>
      <w:r w:rsidR="006E679C" w:rsidRPr="006E679C">
        <w:rPr>
          <w:rFonts w:asciiTheme="majorHAnsi" w:hAnsiTheme="majorHAnsi" w:cstheme="majorHAnsi"/>
        </w:rPr>
        <w:t>vēlams, lai Pretendentam būtu pieredze EV uzlādes infrastruktūras datu integrācijā un vadības algoritmu izstrādē (piem., uzlādes profilu optimizācija, slodzes ierobežojumi, dinamiskā tarifikācija), ņemot vērā iespējamu funkcionalitātes paplašināšanu nākotnē. Šī prasība nav obligāta un neietekmē atbilstības izvērtējumu.</w:t>
      </w:r>
    </w:p>
    <w:p w14:paraId="214F123E" w14:textId="77777777" w:rsidR="008A7019" w:rsidRPr="00FC0B03" w:rsidRDefault="008A7019" w:rsidP="005E10C9">
      <w:pPr>
        <w:numPr>
          <w:ilvl w:val="0"/>
          <w:numId w:val="11"/>
        </w:numPr>
        <w:ind w:left="426" w:hanging="284"/>
        <w:rPr>
          <w:rFonts w:asciiTheme="majorHAnsi" w:hAnsiTheme="majorHAnsi" w:cstheme="majorHAnsi"/>
        </w:rPr>
      </w:pPr>
      <w:r w:rsidRPr="00FC0B03">
        <w:rPr>
          <w:rFonts w:asciiTheme="majorHAnsi" w:hAnsiTheme="majorHAnsi" w:cstheme="majorHAnsi"/>
        </w:rPr>
        <w:t>sistēmas apraksts, kas ir saistīta ar EV elektrības patēriņa menedžmentu un ietver:</w:t>
      </w:r>
    </w:p>
    <w:p w14:paraId="717B9868" w14:textId="77777777" w:rsidR="008A7019" w:rsidRPr="00FC0B03" w:rsidRDefault="008A7019" w:rsidP="005E10C9">
      <w:pPr>
        <w:numPr>
          <w:ilvl w:val="1"/>
          <w:numId w:val="13"/>
        </w:numPr>
        <w:ind w:left="709" w:hanging="284"/>
        <w:rPr>
          <w:rFonts w:asciiTheme="majorHAnsi" w:hAnsiTheme="majorHAnsi" w:cstheme="majorHAnsi"/>
        </w:rPr>
      </w:pPr>
      <w:r w:rsidRPr="00FC0B03">
        <w:rPr>
          <w:rFonts w:asciiTheme="majorHAnsi" w:hAnsiTheme="majorHAnsi" w:cstheme="majorHAnsi"/>
        </w:rPr>
        <w:t>pieslēgumu Nord Pool dinamiskajām biržas cenām,</w:t>
      </w:r>
    </w:p>
    <w:p w14:paraId="2D92BD5A" w14:textId="77777777" w:rsidR="008A7019" w:rsidRPr="00FC0B03" w:rsidRDefault="008A7019" w:rsidP="005E10C9">
      <w:pPr>
        <w:numPr>
          <w:ilvl w:val="1"/>
          <w:numId w:val="13"/>
        </w:numPr>
        <w:ind w:left="709" w:hanging="284"/>
        <w:rPr>
          <w:rFonts w:asciiTheme="majorHAnsi" w:hAnsiTheme="majorHAnsi" w:cstheme="majorHAnsi"/>
        </w:rPr>
      </w:pPr>
      <w:r w:rsidRPr="00FC0B03">
        <w:rPr>
          <w:rFonts w:asciiTheme="majorHAnsi" w:hAnsiTheme="majorHAnsi" w:cstheme="majorHAnsi"/>
        </w:rPr>
        <w:t>vairāku lietotāju un uzlādes staciju pieslēguma izveides iespējas,</w:t>
      </w:r>
    </w:p>
    <w:p w14:paraId="7176EB00" w14:textId="77777777" w:rsidR="008A7019" w:rsidRPr="00FC0B03" w:rsidRDefault="008A7019" w:rsidP="005E10C9">
      <w:pPr>
        <w:numPr>
          <w:ilvl w:val="1"/>
          <w:numId w:val="13"/>
        </w:numPr>
        <w:ind w:left="709" w:hanging="284"/>
        <w:rPr>
          <w:rFonts w:asciiTheme="majorHAnsi" w:hAnsiTheme="majorHAnsi" w:cstheme="majorHAnsi"/>
        </w:rPr>
      </w:pPr>
      <w:r w:rsidRPr="00FC0B03">
        <w:rPr>
          <w:rFonts w:asciiTheme="majorHAnsi" w:hAnsiTheme="majorHAnsi" w:cstheme="majorHAnsi"/>
        </w:rPr>
        <w:t>dažādu ražotāju uzlādes staciju pieslēgšanas opcijas,</w:t>
      </w:r>
    </w:p>
    <w:p w14:paraId="7A225FE0" w14:textId="77777777" w:rsidR="008A7019" w:rsidRPr="00FC0B03" w:rsidRDefault="008A7019" w:rsidP="005E10C9">
      <w:pPr>
        <w:numPr>
          <w:ilvl w:val="1"/>
          <w:numId w:val="13"/>
        </w:numPr>
        <w:ind w:left="709" w:hanging="284"/>
        <w:rPr>
          <w:rFonts w:asciiTheme="majorHAnsi" w:hAnsiTheme="majorHAnsi" w:cstheme="majorHAnsi"/>
        </w:rPr>
      </w:pPr>
      <w:r w:rsidRPr="00FC0B03">
        <w:rPr>
          <w:rFonts w:asciiTheme="majorHAnsi" w:hAnsiTheme="majorHAnsi" w:cstheme="majorHAnsi"/>
        </w:rPr>
        <w:t>RFID karšu lietošanas iespējas;</w:t>
      </w:r>
    </w:p>
    <w:p w14:paraId="13C4FE67" w14:textId="77777777" w:rsidR="005E10C9" w:rsidRPr="00FC0B03" w:rsidRDefault="008A7019" w:rsidP="008A7019">
      <w:pPr>
        <w:numPr>
          <w:ilvl w:val="0"/>
          <w:numId w:val="11"/>
        </w:numPr>
        <w:ind w:left="426" w:hanging="284"/>
        <w:rPr>
          <w:rFonts w:asciiTheme="majorHAnsi" w:hAnsiTheme="majorHAnsi" w:cstheme="majorHAnsi"/>
        </w:rPr>
      </w:pPr>
      <w:r w:rsidRPr="00FC0B03">
        <w:rPr>
          <w:rFonts w:asciiTheme="majorHAnsi" w:hAnsiTheme="majorHAnsi" w:cstheme="majorHAnsi"/>
        </w:rPr>
        <w:t>integrācijas tehnoloģiju apraksti (API, protokoli utt.).</w:t>
      </w:r>
    </w:p>
    <w:p w14:paraId="076069CC" w14:textId="549C89F6" w:rsidR="008A7019" w:rsidRPr="00FC0B03" w:rsidRDefault="008A7019" w:rsidP="008A7019">
      <w:pPr>
        <w:rPr>
          <w:rFonts w:asciiTheme="majorHAnsi" w:hAnsiTheme="majorHAnsi" w:cstheme="majorHAnsi"/>
        </w:rPr>
      </w:pPr>
      <w:r w:rsidRPr="00FC0B03">
        <w:rPr>
          <w:rFonts w:asciiTheme="majorHAnsi" w:hAnsiTheme="majorHAnsi" w:cstheme="majorHAnsi"/>
        </w:rPr>
        <w:t>4.2. Neatbilstība prasībām</w:t>
      </w:r>
      <w:r w:rsidR="0049295A" w:rsidRPr="00FC0B03">
        <w:rPr>
          <w:rFonts w:asciiTheme="majorHAnsi" w:hAnsiTheme="majorHAnsi" w:cstheme="majorHAnsi"/>
        </w:rPr>
        <w:t>: j</w:t>
      </w:r>
      <w:r w:rsidRPr="00FC0B03">
        <w:rPr>
          <w:rFonts w:asciiTheme="majorHAnsi" w:hAnsiTheme="majorHAnsi" w:cstheme="majorHAnsi"/>
        </w:rPr>
        <w:t xml:space="preserve">a Pretendents neiesniedz Nolikuma prasībās minētos dokumentus vai iesniegtie dokumenti </w:t>
      </w:r>
      <w:r w:rsidR="00E96769" w:rsidRPr="00FC0B03">
        <w:rPr>
          <w:rFonts w:asciiTheme="majorHAnsi" w:eastAsia="Times New Roman" w:hAnsiTheme="majorHAnsi" w:cstheme="majorHAnsi"/>
          <w:color w:val="0E0E0E"/>
          <w:kern w:val="0"/>
          <w:lang w:eastAsia="en-GB"/>
          <w14:ligatures w14:val="none"/>
        </w:rPr>
        <w:t>neatbilst Nolikuma prasībām un/vai tehniskajai specifikācijai (Pielikums Nr. 2), t.i., Pasūtītāja vajadzībām, kas ir definētas šajos dokumentos</w:t>
      </w:r>
      <w:r w:rsidRPr="00FC0B03">
        <w:rPr>
          <w:rFonts w:asciiTheme="majorHAnsi" w:hAnsiTheme="majorHAnsi" w:cstheme="majorHAnsi"/>
        </w:rPr>
        <w:t>, tā iesniegtais pieteikums tiek noraidīts un netiek izskatīts.</w:t>
      </w:r>
    </w:p>
    <w:p w14:paraId="18C76950" w14:textId="77777777" w:rsidR="005E10C9" w:rsidRPr="00FC0B03" w:rsidRDefault="005E10C9" w:rsidP="008A7019">
      <w:pPr>
        <w:rPr>
          <w:rFonts w:asciiTheme="majorHAnsi" w:hAnsiTheme="majorHAnsi" w:cstheme="majorHAnsi"/>
        </w:rPr>
      </w:pPr>
    </w:p>
    <w:p w14:paraId="351FF05D"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5. Piedāvājumu vērtēšana un līguma slēgšana</w:t>
      </w:r>
      <w:r w:rsidR="005E10C9" w:rsidRPr="00FC0B03">
        <w:rPr>
          <w:rFonts w:asciiTheme="majorHAnsi" w:hAnsiTheme="majorHAnsi" w:cstheme="majorHAnsi"/>
        </w:rPr>
        <w:t>.</w:t>
      </w:r>
    </w:p>
    <w:p w14:paraId="2554F282"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5.1.1. Pasūtītājs izvēlas piedāvājumu ar viszemāko cenu no piedāvājumiem, kuri pilnībā atbilst visām šī Nolikuma prasībām un tehniskajai specifikācijai (Pielikums Nr. 2). Piedāvājumi, kuri neatbilst kādai no Nolikuma vai tehniskās specifikācijas prasībām, tiek izslēgti no dalības iepirkumā.</w:t>
      </w:r>
    </w:p>
    <w:p w14:paraId="46E82D15" w14:textId="77777777" w:rsidR="008A7019" w:rsidRPr="00FC0B03" w:rsidRDefault="008A7019" w:rsidP="008A7019">
      <w:pPr>
        <w:rPr>
          <w:rFonts w:asciiTheme="majorHAnsi" w:hAnsiTheme="majorHAnsi" w:cstheme="majorHAnsi"/>
        </w:rPr>
      </w:pPr>
      <w:r w:rsidRPr="00FC0B03">
        <w:rPr>
          <w:rFonts w:asciiTheme="majorHAnsi" w:hAnsiTheme="majorHAnsi" w:cstheme="majorHAnsi"/>
        </w:rPr>
        <w:t>5.1.2. Ja izraudzītais Pretendents atsakās slēgt līgumu ar Pasūtītāju, Pasūtītājs var pieņemt lēmumu slēgt līgumu ar Pretendentu, kurš piedāvājis nākamo zemāko cenu starp piedāvājumiem, kas atbilst Nolikuma prasībām.</w:t>
      </w:r>
    </w:p>
    <w:p w14:paraId="54165FE3" w14:textId="77777777" w:rsidR="008A7019" w:rsidRPr="00FC0B03" w:rsidRDefault="008A7019" w:rsidP="00B24576">
      <w:pPr>
        <w:rPr>
          <w:rFonts w:asciiTheme="majorHAnsi" w:hAnsiTheme="majorHAnsi" w:cstheme="majorHAnsi"/>
        </w:rPr>
      </w:pPr>
    </w:p>
    <w:p w14:paraId="79695876"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FINANŠU PIEDĀVĀJUMS</w:t>
      </w:r>
      <w:r w:rsidRPr="00FC0B03">
        <w:rPr>
          <w:rFonts w:asciiTheme="majorHAnsi" w:hAnsiTheme="majorHAnsi" w:cstheme="majorHAnsi"/>
        </w:rPr>
        <w:br/>
      </w:r>
      <w:r w:rsidRPr="00FC0B03">
        <w:rPr>
          <w:rFonts w:asciiTheme="majorHAnsi" w:hAnsiTheme="majorHAnsi" w:cstheme="majorHAnsi"/>
          <w:i/>
          <w:iCs/>
        </w:rPr>
        <w:t>(Pielikums Nr. 1)</w:t>
      </w:r>
    </w:p>
    <w:p w14:paraId="59738E44"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SIA "L.C.E." iepirkuma procedūras</w:t>
      </w:r>
      <w:r w:rsidRPr="00FC0B03">
        <w:rPr>
          <w:rFonts w:asciiTheme="majorHAnsi" w:hAnsiTheme="majorHAnsi" w:cstheme="majorHAnsi"/>
        </w:rPr>
        <w:br/>
        <w:t>“Iekšējo procesu automatizācijas MODULIS enerģijas balansēšanai ar mākslīgā intelekta komponentēm” noteikumu:</w:t>
      </w:r>
    </w:p>
    <w:p w14:paraId="4125BA05" w14:textId="77777777" w:rsidR="0049295A" w:rsidRPr="00FC0B03" w:rsidRDefault="0049295A" w:rsidP="0049295A">
      <w:pPr>
        <w:rPr>
          <w:rFonts w:asciiTheme="majorHAnsi" w:hAnsiTheme="majorHAnsi" w:cstheme="majorHAnsi"/>
        </w:rPr>
      </w:pPr>
    </w:p>
    <w:p w14:paraId="5F5E1A32" w14:textId="77777777" w:rsidR="0049295A" w:rsidRPr="00FC0B03" w:rsidRDefault="0049295A" w:rsidP="0049295A">
      <w:pPr>
        <w:jc w:val="center"/>
        <w:rPr>
          <w:rFonts w:asciiTheme="majorHAnsi" w:hAnsiTheme="majorHAnsi" w:cstheme="majorHAnsi"/>
        </w:rPr>
      </w:pPr>
      <w:r w:rsidRPr="00FC0B03">
        <w:rPr>
          <w:rFonts w:asciiTheme="majorHAnsi" w:hAnsiTheme="majorHAnsi" w:cstheme="majorHAnsi"/>
        </w:rPr>
        <w:t>FINANŠU PIEDĀVĀJUMA FORMA</w:t>
      </w:r>
    </w:p>
    <w:p w14:paraId="381FDBD6" w14:textId="77777777" w:rsidR="0049295A" w:rsidRPr="00FC0B03" w:rsidRDefault="0049295A" w:rsidP="0049295A">
      <w:pPr>
        <w:jc w:val="center"/>
        <w:rPr>
          <w:rFonts w:asciiTheme="majorHAnsi" w:hAnsiTheme="majorHAnsi" w:cstheme="majorHAnsi"/>
        </w:rPr>
      </w:pPr>
    </w:p>
    <w:p w14:paraId="39417B42"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Pretendents __________________________ (turpmāk – Pretendents),</w:t>
      </w:r>
    </w:p>
    <w:p w14:paraId="202256A4"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lastRenderedPageBreak/>
        <w:t>Pretendenta nosaukums ___________________________________________</w:t>
      </w:r>
    </w:p>
    <w:p w14:paraId="606285E0"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Vienotais reģistrācijas numurs ________________________________</w:t>
      </w:r>
    </w:p>
    <w:p w14:paraId="3EB6DA56" w14:textId="77777777" w:rsidR="00CC1FB5" w:rsidRPr="00FC0B03" w:rsidRDefault="0049295A" w:rsidP="0049295A">
      <w:pPr>
        <w:rPr>
          <w:rFonts w:asciiTheme="majorHAnsi" w:hAnsiTheme="majorHAnsi" w:cstheme="majorHAnsi"/>
        </w:rPr>
      </w:pPr>
      <w:r w:rsidRPr="00FC0B03">
        <w:rPr>
          <w:rFonts w:asciiTheme="majorHAnsi" w:hAnsiTheme="majorHAnsi" w:cstheme="majorHAnsi"/>
        </w:rPr>
        <w:t>iesniedz šādu finanšu piedāvājumu iepirkumā “Iekšējo procesu automatizācijas modulis enerģijas balansēšanai ar mākslīgā intelekta komponentēm” (turpmāk – Iepirkums)</w:t>
      </w:r>
      <w:r w:rsidR="00F55279" w:rsidRPr="00FC0B03">
        <w:rPr>
          <w:rFonts w:asciiTheme="majorHAnsi" w:hAnsiTheme="majorHAnsi" w:cstheme="majorHAnsi"/>
        </w:rPr>
        <w:t>.</w:t>
      </w:r>
    </w:p>
    <w:p w14:paraId="07E2E7AB"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Iepirkuma noteikumos paredzēto darbu līgumcena 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
        <w:gridCol w:w="7027"/>
        <w:gridCol w:w="1508"/>
        <w:gridCol w:w="66"/>
        <w:gridCol w:w="81"/>
      </w:tblGrid>
      <w:tr w:rsidR="0049295A" w:rsidRPr="00FC0B03" w14:paraId="27C0D7B6" w14:textId="77777777" w:rsidTr="00A116B4">
        <w:trPr>
          <w:gridAfter w:val="2"/>
          <w:tblHeader/>
          <w:tblCellSpacing w:w="15" w:type="dxa"/>
        </w:trPr>
        <w:tc>
          <w:tcPr>
            <w:tcW w:w="0" w:type="auto"/>
            <w:vAlign w:val="center"/>
            <w:hideMark/>
          </w:tcPr>
          <w:p w14:paraId="26DE371B"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Nr.</w:t>
            </w:r>
          </w:p>
        </w:tc>
        <w:tc>
          <w:tcPr>
            <w:tcW w:w="6997" w:type="dxa"/>
            <w:vAlign w:val="center"/>
            <w:hideMark/>
          </w:tcPr>
          <w:p w14:paraId="35F4D230" w14:textId="77777777" w:rsidR="0049295A" w:rsidRPr="00FC0B03" w:rsidRDefault="0049295A" w:rsidP="0049295A">
            <w:pPr>
              <w:jc w:val="center"/>
              <w:rPr>
                <w:rFonts w:asciiTheme="majorHAnsi" w:hAnsiTheme="majorHAnsi" w:cstheme="majorHAnsi"/>
              </w:rPr>
            </w:pPr>
            <w:r w:rsidRPr="00FC0B03">
              <w:rPr>
                <w:rFonts w:asciiTheme="majorHAnsi" w:hAnsiTheme="majorHAnsi" w:cstheme="majorHAnsi"/>
              </w:rPr>
              <w:t>Nodevums</w:t>
            </w:r>
          </w:p>
        </w:tc>
        <w:tc>
          <w:tcPr>
            <w:tcW w:w="0" w:type="auto"/>
            <w:vAlign w:val="center"/>
            <w:hideMark/>
          </w:tcPr>
          <w:p w14:paraId="0C304AF1" w14:textId="77777777" w:rsidR="0049295A" w:rsidRPr="00FC0B03" w:rsidRDefault="0049295A" w:rsidP="0049295A">
            <w:pPr>
              <w:rPr>
                <w:rFonts w:asciiTheme="majorHAnsi" w:hAnsiTheme="majorHAnsi" w:cstheme="majorHAnsi"/>
              </w:rPr>
            </w:pPr>
          </w:p>
          <w:p w14:paraId="33B7A850" w14:textId="77777777" w:rsidR="0049295A" w:rsidRPr="00FC0B03" w:rsidRDefault="0049295A" w:rsidP="00A116B4">
            <w:pPr>
              <w:ind w:left="-26" w:right="-232"/>
              <w:rPr>
                <w:rFonts w:asciiTheme="majorHAnsi" w:hAnsiTheme="majorHAnsi" w:cstheme="majorHAnsi"/>
              </w:rPr>
            </w:pPr>
            <w:r w:rsidRPr="00FC0B03">
              <w:rPr>
                <w:rFonts w:asciiTheme="majorHAnsi" w:hAnsiTheme="majorHAnsi" w:cstheme="majorHAnsi"/>
              </w:rPr>
              <w:t>Cena (bez PVN)</w:t>
            </w:r>
          </w:p>
        </w:tc>
      </w:tr>
      <w:tr w:rsidR="00A116B4" w:rsidRPr="00FC0B03" w14:paraId="053D7BF1" w14:textId="77777777" w:rsidTr="00A116B4">
        <w:trPr>
          <w:tblCellSpacing w:w="15" w:type="dxa"/>
        </w:trPr>
        <w:tc>
          <w:tcPr>
            <w:tcW w:w="0" w:type="auto"/>
            <w:vAlign w:val="center"/>
            <w:hideMark/>
          </w:tcPr>
          <w:p w14:paraId="2C202202"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1.</w:t>
            </w:r>
          </w:p>
        </w:tc>
        <w:tc>
          <w:tcPr>
            <w:tcW w:w="6997" w:type="dxa"/>
            <w:vAlign w:val="center"/>
            <w:hideMark/>
          </w:tcPr>
          <w:p w14:paraId="67C565BD" w14:textId="77777777" w:rsidR="00A116B4" w:rsidRPr="00FC0B03" w:rsidRDefault="0049295A" w:rsidP="00CC1FB5">
            <w:pPr>
              <w:rPr>
                <w:rFonts w:asciiTheme="majorHAnsi" w:hAnsiTheme="majorHAnsi" w:cstheme="majorHAnsi"/>
              </w:rPr>
            </w:pPr>
            <w:r w:rsidRPr="00FC0B03">
              <w:rPr>
                <w:rFonts w:asciiTheme="majorHAnsi" w:hAnsiTheme="majorHAnsi" w:cstheme="majorHAnsi"/>
              </w:rPr>
              <w:t>Platforma un IT infrastruktūra (mākoņvide, datu krātuve, drošība)</w:t>
            </w:r>
          </w:p>
          <w:p w14:paraId="1ADCFAA6" w14:textId="77777777" w:rsidR="00A116B4" w:rsidRPr="00FC0B03" w:rsidRDefault="0049295A" w:rsidP="00A116B4">
            <w:pPr>
              <w:pStyle w:val="ListParagraph"/>
              <w:numPr>
                <w:ilvl w:val="0"/>
                <w:numId w:val="26"/>
              </w:numPr>
              <w:rPr>
                <w:rFonts w:asciiTheme="majorHAnsi" w:hAnsiTheme="majorHAnsi" w:cstheme="majorHAnsi"/>
              </w:rPr>
            </w:pPr>
            <w:r w:rsidRPr="00FC0B03">
              <w:rPr>
                <w:rFonts w:asciiTheme="majorHAnsi" w:hAnsiTheme="majorHAnsi" w:cstheme="majorHAnsi"/>
              </w:rPr>
              <w:t>Mākoņvides un infrastruktūras izveide (testa un ražošanas vide).</w:t>
            </w:r>
          </w:p>
          <w:p w14:paraId="2A8876DE" w14:textId="77777777" w:rsidR="00A116B4" w:rsidRPr="00FC0B03" w:rsidRDefault="0049295A" w:rsidP="00A116B4">
            <w:pPr>
              <w:pStyle w:val="ListParagraph"/>
              <w:numPr>
                <w:ilvl w:val="0"/>
                <w:numId w:val="26"/>
              </w:numPr>
              <w:rPr>
                <w:rFonts w:asciiTheme="majorHAnsi" w:hAnsiTheme="majorHAnsi" w:cstheme="majorHAnsi"/>
              </w:rPr>
            </w:pPr>
            <w:r w:rsidRPr="00FC0B03">
              <w:rPr>
                <w:rFonts w:asciiTheme="majorHAnsi" w:hAnsiTheme="majorHAnsi" w:cstheme="majorHAnsi"/>
              </w:rPr>
              <w:t>CI/CD cauruļvadi, žurnālu un monitoringa risinājums.</w:t>
            </w:r>
          </w:p>
          <w:p w14:paraId="5044DDD7" w14:textId="77777777" w:rsidR="00A116B4" w:rsidRPr="00FC0B03" w:rsidRDefault="0049295A" w:rsidP="00A116B4">
            <w:pPr>
              <w:pStyle w:val="ListParagraph"/>
              <w:numPr>
                <w:ilvl w:val="0"/>
                <w:numId w:val="26"/>
              </w:numPr>
              <w:rPr>
                <w:rFonts w:asciiTheme="majorHAnsi" w:hAnsiTheme="majorHAnsi" w:cstheme="majorHAnsi"/>
              </w:rPr>
            </w:pPr>
            <w:r w:rsidRPr="00FC0B03">
              <w:rPr>
                <w:rFonts w:asciiTheme="majorHAnsi" w:hAnsiTheme="majorHAnsi" w:cstheme="majorHAnsi"/>
              </w:rPr>
              <w:t>Rezerves kopiju un atjaunošanas procedūras.</w:t>
            </w:r>
          </w:p>
          <w:p w14:paraId="7CFF6DF9" w14:textId="77777777" w:rsidR="0049295A" w:rsidRPr="00FC0B03" w:rsidRDefault="0049295A" w:rsidP="00A116B4">
            <w:pPr>
              <w:pStyle w:val="ListParagraph"/>
              <w:numPr>
                <w:ilvl w:val="0"/>
                <w:numId w:val="26"/>
              </w:numPr>
              <w:rPr>
                <w:rFonts w:asciiTheme="majorHAnsi" w:hAnsiTheme="majorHAnsi" w:cstheme="majorHAnsi"/>
              </w:rPr>
            </w:pPr>
            <w:r w:rsidRPr="00FC0B03">
              <w:rPr>
                <w:rFonts w:asciiTheme="majorHAnsi" w:hAnsiTheme="majorHAnsi" w:cstheme="majorHAnsi"/>
              </w:rPr>
              <w:t>Piekļuves politikas un šifrēšana tranzītā un miera stāvoklī.</w:t>
            </w:r>
          </w:p>
        </w:tc>
        <w:tc>
          <w:tcPr>
            <w:tcW w:w="0" w:type="auto"/>
            <w:vAlign w:val="center"/>
            <w:hideMark/>
          </w:tcPr>
          <w:p w14:paraId="6E2AE6BC" w14:textId="77777777" w:rsidR="0049295A" w:rsidRPr="00FC0B03" w:rsidRDefault="0049295A" w:rsidP="0049295A">
            <w:pPr>
              <w:rPr>
                <w:rFonts w:asciiTheme="majorHAnsi" w:hAnsiTheme="majorHAnsi" w:cstheme="majorHAnsi"/>
              </w:rPr>
            </w:pPr>
          </w:p>
        </w:tc>
        <w:tc>
          <w:tcPr>
            <w:tcW w:w="0" w:type="auto"/>
            <w:vAlign w:val="center"/>
            <w:hideMark/>
          </w:tcPr>
          <w:p w14:paraId="7EE2AF1B" w14:textId="77777777" w:rsidR="0049295A" w:rsidRPr="00FC0B03" w:rsidRDefault="0049295A" w:rsidP="0049295A">
            <w:pPr>
              <w:rPr>
                <w:rFonts w:asciiTheme="majorHAnsi" w:hAnsiTheme="majorHAnsi" w:cstheme="majorHAnsi"/>
              </w:rPr>
            </w:pPr>
          </w:p>
        </w:tc>
        <w:tc>
          <w:tcPr>
            <w:tcW w:w="0" w:type="auto"/>
            <w:vAlign w:val="center"/>
            <w:hideMark/>
          </w:tcPr>
          <w:p w14:paraId="5964A5E7" w14:textId="77777777" w:rsidR="0049295A" w:rsidRPr="00FC0B03" w:rsidRDefault="0049295A" w:rsidP="0049295A">
            <w:pPr>
              <w:rPr>
                <w:rFonts w:asciiTheme="majorHAnsi" w:hAnsiTheme="majorHAnsi" w:cstheme="majorHAnsi"/>
              </w:rPr>
            </w:pPr>
          </w:p>
        </w:tc>
      </w:tr>
      <w:tr w:rsidR="00A116B4" w:rsidRPr="00FC0B03" w14:paraId="346EA642" w14:textId="77777777" w:rsidTr="00A116B4">
        <w:trPr>
          <w:tblCellSpacing w:w="15" w:type="dxa"/>
        </w:trPr>
        <w:tc>
          <w:tcPr>
            <w:tcW w:w="0" w:type="auto"/>
            <w:vAlign w:val="center"/>
            <w:hideMark/>
          </w:tcPr>
          <w:p w14:paraId="22C88B0B"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2.</w:t>
            </w:r>
          </w:p>
        </w:tc>
        <w:tc>
          <w:tcPr>
            <w:tcW w:w="6997" w:type="dxa"/>
            <w:vAlign w:val="center"/>
            <w:hideMark/>
          </w:tcPr>
          <w:p w14:paraId="028AEB35" w14:textId="77777777" w:rsidR="00A116B4" w:rsidRPr="00FC0B03" w:rsidRDefault="0049295A" w:rsidP="0049295A">
            <w:pPr>
              <w:rPr>
                <w:rFonts w:asciiTheme="majorHAnsi" w:hAnsiTheme="majorHAnsi" w:cstheme="majorHAnsi"/>
              </w:rPr>
            </w:pPr>
            <w:r w:rsidRPr="00FC0B03">
              <w:rPr>
                <w:rFonts w:asciiTheme="majorHAnsi" w:hAnsiTheme="majorHAnsi" w:cstheme="majorHAnsi"/>
              </w:rPr>
              <w:t>Datu ielāde un integrācijas</w:t>
            </w:r>
          </w:p>
          <w:p w14:paraId="266E0B4D" w14:textId="77777777" w:rsidR="00A116B4" w:rsidRPr="00FC0B03" w:rsidRDefault="0049295A" w:rsidP="00A116B4">
            <w:pPr>
              <w:pStyle w:val="ListParagraph"/>
              <w:numPr>
                <w:ilvl w:val="0"/>
                <w:numId w:val="27"/>
              </w:numPr>
              <w:rPr>
                <w:rFonts w:asciiTheme="majorHAnsi" w:hAnsiTheme="majorHAnsi" w:cstheme="majorHAnsi"/>
              </w:rPr>
            </w:pPr>
            <w:r w:rsidRPr="00FC0B03">
              <w:rPr>
                <w:rFonts w:asciiTheme="majorHAnsi" w:hAnsiTheme="majorHAnsi" w:cstheme="majorHAnsi"/>
              </w:rPr>
              <w:t>Datu importu mehānismi no klientu sistēmām (AST/ST/BVS faili, plāns/fakts, nebalanss).</w:t>
            </w:r>
          </w:p>
          <w:p w14:paraId="66B4418B" w14:textId="77777777" w:rsidR="00A116B4" w:rsidRPr="00FC0B03" w:rsidRDefault="0049295A" w:rsidP="00A116B4">
            <w:pPr>
              <w:pStyle w:val="ListParagraph"/>
              <w:numPr>
                <w:ilvl w:val="0"/>
                <w:numId w:val="27"/>
              </w:numPr>
              <w:rPr>
                <w:rFonts w:asciiTheme="majorHAnsi" w:hAnsiTheme="majorHAnsi" w:cstheme="majorHAnsi"/>
              </w:rPr>
            </w:pPr>
            <w:r w:rsidRPr="00FC0B03">
              <w:rPr>
                <w:rFonts w:asciiTheme="majorHAnsi" w:hAnsiTheme="majorHAnsi" w:cstheme="majorHAnsi"/>
              </w:rPr>
              <w:t>Integrācija ar Nord Pool cenu datiem.</w:t>
            </w:r>
          </w:p>
          <w:p w14:paraId="2C4367A9" w14:textId="77777777" w:rsidR="00A116B4" w:rsidRPr="00FC0B03" w:rsidRDefault="0049295A" w:rsidP="00A116B4">
            <w:pPr>
              <w:pStyle w:val="ListParagraph"/>
              <w:numPr>
                <w:ilvl w:val="0"/>
                <w:numId w:val="27"/>
              </w:numPr>
              <w:rPr>
                <w:rFonts w:asciiTheme="majorHAnsi" w:hAnsiTheme="majorHAnsi" w:cstheme="majorHAnsi"/>
              </w:rPr>
            </w:pPr>
            <w:r w:rsidRPr="00FC0B03">
              <w:rPr>
                <w:rFonts w:asciiTheme="majorHAnsi" w:hAnsiTheme="majorHAnsi" w:cstheme="majorHAnsi"/>
              </w:rPr>
              <w:t>Integrācija ar meteoroloģiskajiem datiem.</w:t>
            </w:r>
          </w:p>
          <w:p w14:paraId="30EC8308" w14:textId="77777777" w:rsidR="0049295A" w:rsidRPr="00FC0B03" w:rsidRDefault="00A116B4" w:rsidP="00A116B4">
            <w:pPr>
              <w:pStyle w:val="ListParagraph"/>
              <w:numPr>
                <w:ilvl w:val="0"/>
                <w:numId w:val="27"/>
              </w:numPr>
              <w:rPr>
                <w:rFonts w:asciiTheme="majorHAnsi" w:hAnsiTheme="majorHAnsi" w:cstheme="majorHAnsi"/>
              </w:rPr>
            </w:pPr>
            <w:r w:rsidRPr="00FC0B03">
              <w:rPr>
                <w:rFonts w:asciiTheme="majorHAnsi" w:hAnsiTheme="majorHAnsi" w:cstheme="majorHAnsi"/>
              </w:rPr>
              <w:t>Testa i</w:t>
            </w:r>
            <w:r w:rsidR="0049295A" w:rsidRPr="00FC0B03">
              <w:rPr>
                <w:rFonts w:asciiTheme="majorHAnsi" w:hAnsiTheme="majorHAnsi" w:cstheme="majorHAnsi"/>
              </w:rPr>
              <w:t xml:space="preserve">ntegrācija ar </w:t>
            </w:r>
            <w:r w:rsidRPr="00FC0B03">
              <w:rPr>
                <w:rFonts w:asciiTheme="majorHAnsi" w:hAnsiTheme="majorHAnsi" w:cstheme="majorHAnsi"/>
              </w:rPr>
              <w:t>PV</w:t>
            </w:r>
            <w:r w:rsidR="0049295A" w:rsidRPr="00FC0B03">
              <w:rPr>
                <w:rFonts w:asciiTheme="majorHAnsi" w:hAnsiTheme="majorHAnsi" w:cstheme="majorHAnsi"/>
              </w:rPr>
              <w:t>/BESS API pilot</w:t>
            </w:r>
            <w:r w:rsidRPr="00FC0B03">
              <w:rPr>
                <w:rFonts w:asciiTheme="majorHAnsi" w:hAnsiTheme="majorHAnsi" w:cstheme="majorHAnsi"/>
              </w:rPr>
              <w:t>a</w:t>
            </w:r>
            <w:r w:rsidR="0049295A" w:rsidRPr="00FC0B03">
              <w:rPr>
                <w:rFonts w:asciiTheme="majorHAnsi" w:hAnsiTheme="majorHAnsi" w:cstheme="majorHAnsi"/>
              </w:rPr>
              <w:t xml:space="preserve"> objekt</w:t>
            </w:r>
            <w:r w:rsidRPr="00FC0B03">
              <w:rPr>
                <w:rFonts w:asciiTheme="majorHAnsi" w:hAnsiTheme="majorHAnsi" w:cstheme="majorHAnsi"/>
              </w:rPr>
              <w:t>ā</w:t>
            </w:r>
            <w:r w:rsidR="0049295A" w:rsidRPr="00FC0B03">
              <w:rPr>
                <w:rFonts w:asciiTheme="majorHAnsi" w:hAnsiTheme="majorHAnsi" w:cstheme="majorHAnsi"/>
              </w:rPr>
              <w:t>.</w:t>
            </w:r>
          </w:p>
        </w:tc>
        <w:tc>
          <w:tcPr>
            <w:tcW w:w="0" w:type="auto"/>
            <w:vAlign w:val="center"/>
            <w:hideMark/>
          </w:tcPr>
          <w:p w14:paraId="7C6B8C11" w14:textId="77777777" w:rsidR="0049295A" w:rsidRPr="00FC0B03" w:rsidRDefault="0049295A" w:rsidP="0049295A">
            <w:pPr>
              <w:rPr>
                <w:rFonts w:asciiTheme="majorHAnsi" w:hAnsiTheme="majorHAnsi" w:cstheme="majorHAnsi"/>
              </w:rPr>
            </w:pPr>
          </w:p>
        </w:tc>
        <w:tc>
          <w:tcPr>
            <w:tcW w:w="0" w:type="auto"/>
            <w:vAlign w:val="center"/>
            <w:hideMark/>
          </w:tcPr>
          <w:p w14:paraId="44E950ED" w14:textId="77777777" w:rsidR="0049295A" w:rsidRPr="00FC0B03" w:rsidRDefault="0049295A" w:rsidP="0049295A">
            <w:pPr>
              <w:rPr>
                <w:rFonts w:asciiTheme="majorHAnsi" w:hAnsiTheme="majorHAnsi" w:cstheme="majorHAnsi"/>
              </w:rPr>
            </w:pPr>
          </w:p>
        </w:tc>
        <w:tc>
          <w:tcPr>
            <w:tcW w:w="0" w:type="auto"/>
            <w:vAlign w:val="center"/>
            <w:hideMark/>
          </w:tcPr>
          <w:p w14:paraId="45D26B64" w14:textId="77777777" w:rsidR="0049295A" w:rsidRPr="00FC0B03" w:rsidRDefault="0049295A" w:rsidP="0049295A">
            <w:pPr>
              <w:rPr>
                <w:rFonts w:asciiTheme="majorHAnsi" w:hAnsiTheme="majorHAnsi" w:cstheme="majorHAnsi"/>
              </w:rPr>
            </w:pPr>
          </w:p>
        </w:tc>
      </w:tr>
      <w:tr w:rsidR="00A116B4" w:rsidRPr="00FC0B03" w14:paraId="5FFE4002" w14:textId="77777777" w:rsidTr="00A116B4">
        <w:trPr>
          <w:tblCellSpacing w:w="15" w:type="dxa"/>
        </w:trPr>
        <w:tc>
          <w:tcPr>
            <w:tcW w:w="0" w:type="auto"/>
            <w:vAlign w:val="center"/>
            <w:hideMark/>
          </w:tcPr>
          <w:p w14:paraId="13ECFE08"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3.</w:t>
            </w:r>
          </w:p>
        </w:tc>
        <w:tc>
          <w:tcPr>
            <w:tcW w:w="6997" w:type="dxa"/>
            <w:vAlign w:val="center"/>
            <w:hideMark/>
          </w:tcPr>
          <w:p w14:paraId="05DA3A66"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Laika rindu datu krātuve un datu kvalitātes rīki</w:t>
            </w:r>
          </w:p>
          <w:p w14:paraId="1FFF0517" w14:textId="77777777" w:rsidR="009E4AA7" w:rsidRPr="00FC0B03" w:rsidRDefault="0049295A" w:rsidP="009E4AA7">
            <w:pPr>
              <w:pStyle w:val="ListParagraph"/>
              <w:numPr>
                <w:ilvl w:val="0"/>
                <w:numId w:val="28"/>
              </w:numPr>
              <w:rPr>
                <w:rFonts w:asciiTheme="majorHAnsi" w:hAnsiTheme="majorHAnsi" w:cstheme="majorHAnsi"/>
              </w:rPr>
            </w:pPr>
            <w:r w:rsidRPr="00FC0B03">
              <w:rPr>
                <w:rFonts w:asciiTheme="majorHAnsi" w:hAnsiTheme="majorHAnsi" w:cstheme="majorHAnsi"/>
              </w:rPr>
              <w:t>Laika rindu datu bāze (15 min un 60 min).</w:t>
            </w:r>
          </w:p>
          <w:p w14:paraId="15731960" w14:textId="77777777" w:rsidR="009E4AA7" w:rsidRPr="00FC0B03" w:rsidRDefault="0049295A" w:rsidP="009E4AA7">
            <w:pPr>
              <w:pStyle w:val="ListParagraph"/>
              <w:numPr>
                <w:ilvl w:val="0"/>
                <w:numId w:val="28"/>
              </w:numPr>
              <w:rPr>
                <w:rFonts w:asciiTheme="majorHAnsi" w:hAnsiTheme="majorHAnsi" w:cstheme="majorHAnsi"/>
              </w:rPr>
            </w:pPr>
            <w:r w:rsidRPr="00FC0B03">
              <w:rPr>
                <w:rFonts w:asciiTheme="majorHAnsi" w:hAnsiTheme="majorHAnsi" w:cstheme="majorHAnsi"/>
              </w:rPr>
              <w:t>Datu kvalitātes validācija, trūkstošo datu imputācija.</w:t>
            </w:r>
          </w:p>
          <w:p w14:paraId="7BA13F6E" w14:textId="77777777" w:rsidR="0049295A" w:rsidRPr="00FC0B03" w:rsidRDefault="0049295A" w:rsidP="009E4AA7">
            <w:pPr>
              <w:pStyle w:val="ListParagraph"/>
              <w:numPr>
                <w:ilvl w:val="0"/>
                <w:numId w:val="28"/>
              </w:numPr>
              <w:rPr>
                <w:rFonts w:asciiTheme="majorHAnsi" w:hAnsiTheme="majorHAnsi" w:cstheme="majorHAnsi"/>
              </w:rPr>
            </w:pPr>
            <w:r w:rsidRPr="00FC0B03">
              <w:rPr>
                <w:rFonts w:asciiTheme="majorHAnsi" w:hAnsiTheme="majorHAnsi" w:cstheme="majorHAnsi"/>
              </w:rPr>
              <w:t>Anomāliju detektors.</w:t>
            </w:r>
          </w:p>
        </w:tc>
        <w:tc>
          <w:tcPr>
            <w:tcW w:w="0" w:type="auto"/>
            <w:vAlign w:val="center"/>
            <w:hideMark/>
          </w:tcPr>
          <w:p w14:paraId="740B4AB4" w14:textId="77777777" w:rsidR="0049295A" w:rsidRPr="00FC0B03" w:rsidRDefault="0049295A" w:rsidP="0049295A">
            <w:pPr>
              <w:rPr>
                <w:rFonts w:asciiTheme="majorHAnsi" w:hAnsiTheme="majorHAnsi" w:cstheme="majorHAnsi"/>
              </w:rPr>
            </w:pPr>
          </w:p>
        </w:tc>
        <w:tc>
          <w:tcPr>
            <w:tcW w:w="0" w:type="auto"/>
            <w:vAlign w:val="center"/>
            <w:hideMark/>
          </w:tcPr>
          <w:p w14:paraId="703DE33C" w14:textId="77777777" w:rsidR="0049295A" w:rsidRPr="00FC0B03" w:rsidRDefault="0049295A" w:rsidP="0049295A">
            <w:pPr>
              <w:rPr>
                <w:rFonts w:asciiTheme="majorHAnsi" w:hAnsiTheme="majorHAnsi" w:cstheme="majorHAnsi"/>
              </w:rPr>
            </w:pPr>
          </w:p>
        </w:tc>
        <w:tc>
          <w:tcPr>
            <w:tcW w:w="0" w:type="auto"/>
            <w:vAlign w:val="center"/>
            <w:hideMark/>
          </w:tcPr>
          <w:p w14:paraId="11435AC7" w14:textId="77777777" w:rsidR="0049295A" w:rsidRPr="00FC0B03" w:rsidRDefault="0049295A" w:rsidP="0049295A">
            <w:pPr>
              <w:rPr>
                <w:rFonts w:asciiTheme="majorHAnsi" w:hAnsiTheme="majorHAnsi" w:cstheme="majorHAnsi"/>
              </w:rPr>
            </w:pPr>
          </w:p>
        </w:tc>
      </w:tr>
      <w:tr w:rsidR="00A116B4" w:rsidRPr="00FC0B03" w14:paraId="753BD57E" w14:textId="77777777" w:rsidTr="00A116B4">
        <w:trPr>
          <w:tblCellSpacing w:w="15" w:type="dxa"/>
        </w:trPr>
        <w:tc>
          <w:tcPr>
            <w:tcW w:w="0" w:type="auto"/>
            <w:vAlign w:val="center"/>
            <w:hideMark/>
          </w:tcPr>
          <w:p w14:paraId="37EA8403"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4.</w:t>
            </w:r>
          </w:p>
        </w:tc>
        <w:tc>
          <w:tcPr>
            <w:tcW w:w="6997" w:type="dxa"/>
            <w:vAlign w:val="center"/>
            <w:hideMark/>
          </w:tcPr>
          <w:p w14:paraId="3AD74786"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Prognozēšanas un nebalansa analīzes modulis</w:t>
            </w:r>
          </w:p>
          <w:p w14:paraId="6FDFB0C0" w14:textId="77777777" w:rsidR="009E4AA7" w:rsidRPr="00FC0B03" w:rsidRDefault="0049295A" w:rsidP="009E4AA7">
            <w:pPr>
              <w:pStyle w:val="ListParagraph"/>
              <w:numPr>
                <w:ilvl w:val="0"/>
                <w:numId w:val="29"/>
              </w:numPr>
              <w:rPr>
                <w:rFonts w:asciiTheme="majorHAnsi" w:hAnsiTheme="majorHAnsi" w:cstheme="majorHAnsi"/>
              </w:rPr>
            </w:pPr>
            <w:r w:rsidRPr="00FC0B03">
              <w:rPr>
                <w:rFonts w:asciiTheme="majorHAnsi" w:hAnsiTheme="majorHAnsi" w:cstheme="majorHAnsi"/>
              </w:rPr>
              <w:t>Patēriņa un PV ģenerācijas prognozes 24–48h uz priekšu.</w:t>
            </w:r>
          </w:p>
          <w:p w14:paraId="738CA41E" w14:textId="77777777" w:rsidR="009E4AA7" w:rsidRPr="00FC0B03" w:rsidRDefault="0049295A" w:rsidP="009E4AA7">
            <w:pPr>
              <w:pStyle w:val="ListParagraph"/>
              <w:numPr>
                <w:ilvl w:val="0"/>
                <w:numId w:val="29"/>
              </w:numPr>
              <w:rPr>
                <w:rFonts w:asciiTheme="majorHAnsi" w:hAnsiTheme="majorHAnsi" w:cstheme="majorHAnsi"/>
              </w:rPr>
            </w:pPr>
            <w:r w:rsidRPr="00FC0B03">
              <w:rPr>
                <w:rFonts w:asciiTheme="majorHAnsi" w:hAnsiTheme="majorHAnsi" w:cstheme="majorHAnsi"/>
              </w:rPr>
              <w:t>“Plāns vs fakts” analīze.</w:t>
            </w:r>
          </w:p>
          <w:p w14:paraId="7581022A" w14:textId="77777777" w:rsidR="0049295A" w:rsidRPr="00FC0B03" w:rsidRDefault="0049295A" w:rsidP="009E4AA7">
            <w:pPr>
              <w:pStyle w:val="ListParagraph"/>
              <w:numPr>
                <w:ilvl w:val="0"/>
                <w:numId w:val="29"/>
              </w:numPr>
              <w:rPr>
                <w:rFonts w:asciiTheme="majorHAnsi" w:hAnsiTheme="majorHAnsi" w:cstheme="majorHAnsi"/>
              </w:rPr>
            </w:pPr>
            <w:r w:rsidRPr="00FC0B03">
              <w:rPr>
                <w:rFonts w:asciiTheme="majorHAnsi" w:hAnsiTheme="majorHAnsi" w:cstheme="majorHAnsi"/>
              </w:rPr>
              <w:t>Nebalansa pozīciju un izmaksu aprēķins.</w:t>
            </w:r>
          </w:p>
        </w:tc>
        <w:tc>
          <w:tcPr>
            <w:tcW w:w="0" w:type="auto"/>
            <w:vAlign w:val="center"/>
            <w:hideMark/>
          </w:tcPr>
          <w:p w14:paraId="713CFB6B" w14:textId="77777777" w:rsidR="0049295A" w:rsidRPr="00FC0B03" w:rsidRDefault="0049295A" w:rsidP="0049295A">
            <w:pPr>
              <w:rPr>
                <w:rFonts w:asciiTheme="majorHAnsi" w:hAnsiTheme="majorHAnsi" w:cstheme="majorHAnsi"/>
              </w:rPr>
            </w:pPr>
          </w:p>
        </w:tc>
        <w:tc>
          <w:tcPr>
            <w:tcW w:w="0" w:type="auto"/>
            <w:vAlign w:val="center"/>
            <w:hideMark/>
          </w:tcPr>
          <w:p w14:paraId="4B8622F1" w14:textId="77777777" w:rsidR="0049295A" w:rsidRPr="00FC0B03" w:rsidRDefault="0049295A" w:rsidP="0049295A">
            <w:pPr>
              <w:rPr>
                <w:rFonts w:asciiTheme="majorHAnsi" w:hAnsiTheme="majorHAnsi" w:cstheme="majorHAnsi"/>
              </w:rPr>
            </w:pPr>
          </w:p>
        </w:tc>
        <w:tc>
          <w:tcPr>
            <w:tcW w:w="0" w:type="auto"/>
            <w:vAlign w:val="center"/>
            <w:hideMark/>
          </w:tcPr>
          <w:p w14:paraId="73F7671E" w14:textId="77777777" w:rsidR="0049295A" w:rsidRPr="00FC0B03" w:rsidRDefault="0049295A" w:rsidP="0049295A">
            <w:pPr>
              <w:rPr>
                <w:rFonts w:asciiTheme="majorHAnsi" w:hAnsiTheme="majorHAnsi" w:cstheme="majorHAnsi"/>
              </w:rPr>
            </w:pPr>
          </w:p>
        </w:tc>
      </w:tr>
      <w:tr w:rsidR="00A116B4" w:rsidRPr="00FC0B03" w14:paraId="1A0842B3" w14:textId="77777777" w:rsidTr="00A116B4">
        <w:trPr>
          <w:tblCellSpacing w:w="15" w:type="dxa"/>
        </w:trPr>
        <w:tc>
          <w:tcPr>
            <w:tcW w:w="0" w:type="auto"/>
            <w:vAlign w:val="center"/>
            <w:hideMark/>
          </w:tcPr>
          <w:p w14:paraId="137A3CAF"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5.</w:t>
            </w:r>
          </w:p>
        </w:tc>
        <w:tc>
          <w:tcPr>
            <w:tcW w:w="6997" w:type="dxa"/>
            <w:vAlign w:val="center"/>
            <w:hideMark/>
          </w:tcPr>
          <w:p w14:paraId="5376CD6E"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Intraday lēmumu atbalsts</w:t>
            </w:r>
          </w:p>
          <w:p w14:paraId="0FB3D639" w14:textId="77777777" w:rsidR="009E4AA7" w:rsidRPr="00FC0B03" w:rsidRDefault="0049295A" w:rsidP="009E4AA7">
            <w:pPr>
              <w:pStyle w:val="ListParagraph"/>
              <w:numPr>
                <w:ilvl w:val="0"/>
                <w:numId w:val="30"/>
              </w:numPr>
              <w:rPr>
                <w:rFonts w:asciiTheme="majorHAnsi" w:hAnsiTheme="majorHAnsi" w:cstheme="majorHAnsi"/>
              </w:rPr>
            </w:pPr>
            <w:r w:rsidRPr="00FC0B03">
              <w:rPr>
                <w:rFonts w:asciiTheme="majorHAnsi" w:hAnsiTheme="majorHAnsi" w:cstheme="majorHAnsi"/>
              </w:rPr>
              <w:t>Intraday korekciju ieteikumu ģenerēšana.</w:t>
            </w:r>
          </w:p>
          <w:p w14:paraId="012DF358" w14:textId="77777777" w:rsidR="009E4AA7" w:rsidRPr="00FC0B03" w:rsidRDefault="0049295A" w:rsidP="009E4AA7">
            <w:pPr>
              <w:pStyle w:val="ListParagraph"/>
              <w:numPr>
                <w:ilvl w:val="0"/>
                <w:numId w:val="30"/>
              </w:numPr>
              <w:rPr>
                <w:rFonts w:asciiTheme="majorHAnsi" w:hAnsiTheme="majorHAnsi" w:cstheme="majorHAnsi"/>
              </w:rPr>
            </w:pPr>
            <w:r w:rsidRPr="00FC0B03">
              <w:rPr>
                <w:rFonts w:asciiTheme="majorHAnsi" w:hAnsiTheme="majorHAnsi" w:cstheme="majorHAnsi"/>
              </w:rPr>
              <w:t>Ietaupījuma/izmaksu aprēķins pa scenārijiem.</w:t>
            </w:r>
          </w:p>
          <w:p w14:paraId="5ADD3801" w14:textId="77777777" w:rsidR="0049295A" w:rsidRPr="00FC0B03" w:rsidRDefault="0049295A" w:rsidP="009E4AA7">
            <w:pPr>
              <w:pStyle w:val="ListParagraph"/>
              <w:numPr>
                <w:ilvl w:val="0"/>
                <w:numId w:val="30"/>
              </w:numPr>
              <w:rPr>
                <w:rFonts w:asciiTheme="majorHAnsi" w:hAnsiTheme="majorHAnsi" w:cstheme="majorHAnsi"/>
              </w:rPr>
            </w:pPr>
            <w:r w:rsidRPr="00FC0B03">
              <w:rPr>
                <w:rFonts w:asciiTheme="majorHAnsi" w:hAnsiTheme="majorHAnsi" w:cstheme="majorHAnsi"/>
              </w:rPr>
              <w:t>Interfeiss korekciju nodošanai biržai vai brokerim (faili/API).</w:t>
            </w:r>
          </w:p>
        </w:tc>
        <w:tc>
          <w:tcPr>
            <w:tcW w:w="0" w:type="auto"/>
            <w:vAlign w:val="center"/>
            <w:hideMark/>
          </w:tcPr>
          <w:p w14:paraId="73BA71AD" w14:textId="77777777" w:rsidR="0049295A" w:rsidRPr="00FC0B03" w:rsidRDefault="0049295A" w:rsidP="0049295A">
            <w:pPr>
              <w:rPr>
                <w:rFonts w:asciiTheme="majorHAnsi" w:hAnsiTheme="majorHAnsi" w:cstheme="majorHAnsi"/>
              </w:rPr>
            </w:pPr>
          </w:p>
        </w:tc>
        <w:tc>
          <w:tcPr>
            <w:tcW w:w="0" w:type="auto"/>
            <w:vAlign w:val="center"/>
            <w:hideMark/>
          </w:tcPr>
          <w:p w14:paraId="52A7F40E" w14:textId="77777777" w:rsidR="0049295A" w:rsidRPr="00FC0B03" w:rsidRDefault="0049295A" w:rsidP="0049295A">
            <w:pPr>
              <w:rPr>
                <w:rFonts w:asciiTheme="majorHAnsi" w:hAnsiTheme="majorHAnsi" w:cstheme="majorHAnsi"/>
              </w:rPr>
            </w:pPr>
          </w:p>
        </w:tc>
        <w:tc>
          <w:tcPr>
            <w:tcW w:w="0" w:type="auto"/>
            <w:vAlign w:val="center"/>
            <w:hideMark/>
          </w:tcPr>
          <w:p w14:paraId="104AA0D2" w14:textId="77777777" w:rsidR="0049295A" w:rsidRPr="00FC0B03" w:rsidRDefault="0049295A" w:rsidP="0049295A">
            <w:pPr>
              <w:rPr>
                <w:rFonts w:asciiTheme="majorHAnsi" w:hAnsiTheme="majorHAnsi" w:cstheme="majorHAnsi"/>
              </w:rPr>
            </w:pPr>
          </w:p>
        </w:tc>
      </w:tr>
      <w:tr w:rsidR="00A116B4" w:rsidRPr="00FC0B03" w14:paraId="16B00DDB" w14:textId="77777777" w:rsidTr="00A116B4">
        <w:trPr>
          <w:tblCellSpacing w:w="15" w:type="dxa"/>
        </w:trPr>
        <w:tc>
          <w:tcPr>
            <w:tcW w:w="0" w:type="auto"/>
            <w:vAlign w:val="center"/>
            <w:hideMark/>
          </w:tcPr>
          <w:p w14:paraId="49F39F86"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6.</w:t>
            </w:r>
          </w:p>
        </w:tc>
        <w:tc>
          <w:tcPr>
            <w:tcW w:w="6997" w:type="dxa"/>
            <w:vAlign w:val="center"/>
            <w:hideMark/>
          </w:tcPr>
          <w:p w14:paraId="223BB0FF"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Elastības vadības modulis</w:t>
            </w:r>
          </w:p>
          <w:p w14:paraId="6701EDE4" w14:textId="77777777" w:rsidR="00783929" w:rsidRPr="00FC0B03" w:rsidRDefault="00783929" w:rsidP="009E4AA7">
            <w:pPr>
              <w:pStyle w:val="ListParagraph"/>
              <w:numPr>
                <w:ilvl w:val="0"/>
                <w:numId w:val="31"/>
              </w:numPr>
              <w:rPr>
                <w:rFonts w:asciiTheme="majorHAnsi" w:hAnsiTheme="majorHAnsi" w:cstheme="majorHAnsi"/>
              </w:rPr>
            </w:pPr>
            <w:r w:rsidRPr="00FC0B03">
              <w:rPr>
                <w:rFonts w:asciiTheme="majorHAnsi" w:hAnsiTheme="majorHAnsi" w:cstheme="majorHAnsi"/>
              </w:rPr>
              <w:t>Testa integrācija ar PV/BESS API pilota objektā telemetrijas nolasīšanai un analītikai.</w:t>
            </w:r>
          </w:p>
          <w:p w14:paraId="50103A10" w14:textId="77777777" w:rsidR="009E4AA7" w:rsidRPr="00FC0B03" w:rsidRDefault="0049295A" w:rsidP="009E4AA7">
            <w:pPr>
              <w:pStyle w:val="ListParagraph"/>
              <w:numPr>
                <w:ilvl w:val="0"/>
                <w:numId w:val="31"/>
              </w:numPr>
              <w:rPr>
                <w:rFonts w:asciiTheme="majorHAnsi" w:hAnsiTheme="majorHAnsi" w:cstheme="majorHAnsi"/>
              </w:rPr>
            </w:pPr>
            <w:r w:rsidRPr="00FC0B03">
              <w:rPr>
                <w:rFonts w:asciiTheme="majorHAnsi" w:hAnsiTheme="majorHAnsi" w:cstheme="majorHAnsi"/>
              </w:rPr>
              <w:t>Vadības algoritmi, robežvērtības un drošības nosacījumi.</w:t>
            </w:r>
          </w:p>
          <w:p w14:paraId="199069C8" w14:textId="77777777" w:rsidR="0049295A" w:rsidRPr="00FC0B03" w:rsidRDefault="0049295A" w:rsidP="009E4AA7">
            <w:pPr>
              <w:pStyle w:val="ListParagraph"/>
              <w:numPr>
                <w:ilvl w:val="0"/>
                <w:numId w:val="31"/>
              </w:numPr>
              <w:rPr>
                <w:rFonts w:asciiTheme="majorHAnsi" w:hAnsiTheme="majorHAnsi" w:cstheme="majorHAnsi"/>
              </w:rPr>
            </w:pPr>
            <w:r w:rsidRPr="00FC0B03">
              <w:rPr>
                <w:rFonts w:asciiTheme="majorHAnsi" w:hAnsiTheme="majorHAnsi" w:cstheme="majorHAnsi"/>
              </w:rPr>
              <w:t>Vadības komandu žurnāli un ietekmes mērījumi.</w:t>
            </w:r>
          </w:p>
        </w:tc>
        <w:tc>
          <w:tcPr>
            <w:tcW w:w="0" w:type="auto"/>
            <w:vAlign w:val="center"/>
            <w:hideMark/>
          </w:tcPr>
          <w:p w14:paraId="5436DBB2" w14:textId="77777777" w:rsidR="0049295A" w:rsidRPr="00FC0B03" w:rsidRDefault="0049295A" w:rsidP="0049295A">
            <w:pPr>
              <w:rPr>
                <w:rFonts w:asciiTheme="majorHAnsi" w:hAnsiTheme="majorHAnsi" w:cstheme="majorHAnsi"/>
              </w:rPr>
            </w:pPr>
          </w:p>
        </w:tc>
        <w:tc>
          <w:tcPr>
            <w:tcW w:w="0" w:type="auto"/>
            <w:vAlign w:val="center"/>
            <w:hideMark/>
          </w:tcPr>
          <w:p w14:paraId="579724CA" w14:textId="77777777" w:rsidR="0049295A" w:rsidRPr="00FC0B03" w:rsidRDefault="0049295A" w:rsidP="0049295A">
            <w:pPr>
              <w:rPr>
                <w:rFonts w:asciiTheme="majorHAnsi" w:hAnsiTheme="majorHAnsi" w:cstheme="majorHAnsi"/>
              </w:rPr>
            </w:pPr>
          </w:p>
        </w:tc>
        <w:tc>
          <w:tcPr>
            <w:tcW w:w="0" w:type="auto"/>
            <w:vAlign w:val="center"/>
            <w:hideMark/>
          </w:tcPr>
          <w:p w14:paraId="5C6B2D27" w14:textId="77777777" w:rsidR="0049295A" w:rsidRPr="00FC0B03" w:rsidRDefault="0049295A" w:rsidP="0049295A">
            <w:pPr>
              <w:rPr>
                <w:rFonts w:asciiTheme="majorHAnsi" w:hAnsiTheme="majorHAnsi" w:cstheme="majorHAnsi"/>
              </w:rPr>
            </w:pPr>
          </w:p>
        </w:tc>
      </w:tr>
      <w:tr w:rsidR="00A116B4" w:rsidRPr="00FC0B03" w14:paraId="42E7FEDF" w14:textId="77777777" w:rsidTr="00A116B4">
        <w:trPr>
          <w:tblCellSpacing w:w="15" w:type="dxa"/>
        </w:trPr>
        <w:tc>
          <w:tcPr>
            <w:tcW w:w="0" w:type="auto"/>
            <w:vAlign w:val="center"/>
            <w:hideMark/>
          </w:tcPr>
          <w:p w14:paraId="7B10587B"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7.</w:t>
            </w:r>
          </w:p>
        </w:tc>
        <w:tc>
          <w:tcPr>
            <w:tcW w:w="6997" w:type="dxa"/>
            <w:vAlign w:val="center"/>
            <w:hideMark/>
          </w:tcPr>
          <w:p w14:paraId="3D1F634A"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Operatora portāls, simulators un atskaites</w:t>
            </w:r>
          </w:p>
          <w:p w14:paraId="7830EA6B" w14:textId="77777777" w:rsidR="009E4AA7" w:rsidRPr="00FC0B03" w:rsidRDefault="0049295A" w:rsidP="009E4AA7">
            <w:pPr>
              <w:pStyle w:val="ListParagraph"/>
              <w:numPr>
                <w:ilvl w:val="0"/>
                <w:numId w:val="32"/>
              </w:numPr>
              <w:rPr>
                <w:rFonts w:asciiTheme="majorHAnsi" w:hAnsiTheme="majorHAnsi" w:cstheme="majorHAnsi"/>
              </w:rPr>
            </w:pPr>
            <w:r w:rsidRPr="00FC0B03">
              <w:rPr>
                <w:rFonts w:asciiTheme="majorHAnsi" w:hAnsiTheme="majorHAnsi" w:cstheme="majorHAnsi"/>
              </w:rPr>
              <w:t>Vadības panelis (portfeļa stāvoklis, prognozes, novirzes, Intraday ieteikumi).</w:t>
            </w:r>
          </w:p>
          <w:p w14:paraId="079DF13A" w14:textId="79694435" w:rsidR="009E4AA7" w:rsidRPr="00FC0B03" w:rsidRDefault="0049295A" w:rsidP="009E4AA7">
            <w:pPr>
              <w:pStyle w:val="ListParagraph"/>
              <w:numPr>
                <w:ilvl w:val="0"/>
                <w:numId w:val="32"/>
              </w:numPr>
              <w:rPr>
                <w:rFonts w:asciiTheme="majorHAnsi" w:hAnsiTheme="majorHAnsi" w:cstheme="majorHAnsi"/>
              </w:rPr>
            </w:pPr>
            <w:r w:rsidRPr="00FC0B03">
              <w:rPr>
                <w:rFonts w:asciiTheme="majorHAnsi" w:hAnsiTheme="majorHAnsi" w:cstheme="majorHAnsi"/>
              </w:rPr>
              <w:t>Scenāriju simulators/back-testing (bāze/MI/MI + elastība).</w:t>
            </w:r>
          </w:p>
          <w:p w14:paraId="513BF631" w14:textId="77777777" w:rsidR="0049295A" w:rsidRPr="00FC0B03" w:rsidRDefault="0049295A" w:rsidP="009E4AA7">
            <w:pPr>
              <w:pStyle w:val="ListParagraph"/>
              <w:numPr>
                <w:ilvl w:val="0"/>
                <w:numId w:val="32"/>
              </w:numPr>
              <w:rPr>
                <w:rFonts w:asciiTheme="majorHAnsi" w:hAnsiTheme="majorHAnsi" w:cstheme="majorHAnsi"/>
              </w:rPr>
            </w:pPr>
            <w:r w:rsidRPr="00FC0B03">
              <w:rPr>
                <w:rFonts w:asciiTheme="majorHAnsi" w:hAnsiTheme="majorHAnsi" w:cstheme="majorHAnsi"/>
              </w:rPr>
              <w:t>Atskaites PDF/Excel formā.</w:t>
            </w:r>
          </w:p>
        </w:tc>
        <w:tc>
          <w:tcPr>
            <w:tcW w:w="0" w:type="auto"/>
            <w:vAlign w:val="center"/>
            <w:hideMark/>
          </w:tcPr>
          <w:p w14:paraId="04609184" w14:textId="77777777" w:rsidR="0049295A" w:rsidRPr="00FC0B03" w:rsidRDefault="0049295A" w:rsidP="0049295A">
            <w:pPr>
              <w:rPr>
                <w:rFonts w:asciiTheme="majorHAnsi" w:hAnsiTheme="majorHAnsi" w:cstheme="majorHAnsi"/>
              </w:rPr>
            </w:pPr>
          </w:p>
        </w:tc>
        <w:tc>
          <w:tcPr>
            <w:tcW w:w="0" w:type="auto"/>
            <w:vAlign w:val="center"/>
            <w:hideMark/>
          </w:tcPr>
          <w:p w14:paraId="07BB3505" w14:textId="77777777" w:rsidR="0049295A" w:rsidRPr="00FC0B03" w:rsidRDefault="0049295A" w:rsidP="0049295A">
            <w:pPr>
              <w:rPr>
                <w:rFonts w:asciiTheme="majorHAnsi" w:hAnsiTheme="majorHAnsi" w:cstheme="majorHAnsi"/>
              </w:rPr>
            </w:pPr>
          </w:p>
        </w:tc>
        <w:tc>
          <w:tcPr>
            <w:tcW w:w="0" w:type="auto"/>
            <w:vAlign w:val="center"/>
            <w:hideMark/>
          </w:tcPr>
          <w:p w14:paraId="33EDBFE8" w14:textId="77777777" w:rsidR="0049295A" w:rsidRPr="00FC0B03" w:rsidRDefault="0049295A" w:rsidP="0049295A">
            <w:pPr>
              <w:rPr>
                <w:rFonts w:asciiTheme="majorHAnsi" w:hAnsiTheme="majorHAnsi" w:cstheme="majorHAnsi"/>
              </w:rPr>
            </w:pPr>
          </w:p>
        </w:tc>
      </w:tr>
      <w:tr w:rsidR="00A116B4" w:rsidRPr="00FC0B03" w14:paraId="229D5251" w14:textId="77777777" w:rsidTr="00A116B4">
        <w:trPr>
          <w:tblCellSpacing w:w="15" w:type="dxa"/>
        </w:trPr>
        <w:tc>
          <w:tcPr>
            <w:tcW w:w="0" w:type="auto"/>
            <w:vAlign w:val="center"/>
            <w:hideMark/>
          </w:tcPr>
          <w:p w14:paraId="592997D0"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8.</w:t>
            </w:r>
          </w:p>
        </w:tc>
        <w:tc>
          <w:tcPr>
            <w:tcW w:w="6997" w:type="dxa"/>
            <w:vAlign w:val="center"/>
            <w:hideMark/>
          </w:tcPr>
          <w:p w14:paraId="2BB1E87F" w14:textId="77777777" w:rsidR="009E4AA7" w:rsidRPr="00FC0B03" w:rsidRDefault="0049295A" w:rsidP="0049295A">
            <w:pPr>
              <w:rPr>
                <w:rFonts w:asciiTheme="majorHAnsi" w:hAnsiTheme="majorHAnsi" w:cstheme="majorHAnsi"/>
              </w:rPr>
            </w:pPr>
            <w:r w:rsidRPr="00FC0B03">
              <w:rPr>
                <w:rFonts w:asciiTheme="majorHAnsi" w:hAnsiTheme="majorHAnsi" w:cstheme="majorHAnsi"/>
              </w:rPr>
              <w:t>Testēšana, dokumentācija, apmācības, ražošanas palaišana un garantijas atbalsts</w:t>
            </w:r>
          </w:p>
          <w:p w14:paraId="6331131F" w14:textId="77777777" w:rsidR="009E4AA7" w:rsidRPr="00FC0B03" w:rsidRDefault="0049295A" w:rsidP="009E4AA7">
            <w:pPr>
              <w:pStyle w:val="ListParagraph"/>
              <w:numPr>
                <w:ilvl w:val="0"/>
                <w:numId w:val="33"/>
              </w:numPr>
              <w:rPr>
                <w:rFonts w:asciiTheme="majorHAnsi" w:hAnsiTheme="majorHAnsi" w:cstheme="majorHAnsi"/>
              </w:rPr>
            </w:pPr>
            <w:r w:rsidRPr="00FC0B03">
              <w:rPr>
                <w:rFonts w:asciiTheme="majorHAnsi" w:hAnsiTheme="majorHAnsi" w:cstheme="majorHAnsi"/>
              </w:rPr>
              <w:t>Moduļu, integrācijas, funkcionālā, veiktspējas un drošības testēšana.</w:t>
            </w:r>
          </w:p>
          <w:p w14:paraId="6CB774EF" w14:textId="77777777" w:rsidR="009E4AA7" w:rsidRPr="00FC0B03" w:rsidRDefault="0049295A" w:rsidP="009E4AA7">
            <w:pPr>
              <w:pStyle w:val="ListParagraph"/>
              <w:numPr>
                <w:ilvl w:val="0"/>
                <w:numId w:val="33"/>
              </w:numPr>
              <w:rPr>
                <w:rFonts w:asciiTheme="majorHAnsi" w:hAnsiTheme="majorHAnsi" w:cstheme="majorHAnsi"/>
              </w:rPr>
            </w:pPr>
            <w:r w:rsidRPr="00FC0B03">
              <w:rPr>
                <w:rFonts w:asciiTheme="majorHAnsi" w:hAnsiTheme="majorHAnsi" w:cstheme="majorHAnsi"/>
              </w:rPr>
              <w:t>Lietotāja un administratora rokasgrāmatas, integrāciju apraksti.</w:t>
            </w:r>
          </w:p>
          <w:p w14:paraId="550DEB82" w14:textId="77777777" w:rsidR="009E4AA7" w:rsidRPr="00FC0B03" w:rsidRDefault="0049295A" w:rsidP="009E4AA7">
            <w:pPr>
              <w:pStyle w:val="ListParagraph"/>
              <w:numPr>
                <w:ilvl w:val="0"/>
                <w:numId w:val="33"/>
              </w:numPr>
              <w:rPr>
                <w:rFonts w:asciiTheme="majorHAnsi" w:hAnsiTheme="majorHAnsi" w:cstheme="majorHAnsi"/>
              </w:rPr>
            </w:pPr>
            <w:r w:rsidRPr="00FC0B03">
              <w:rPr>
                <w:rFonts w:asciiTheme="majorHAnsi" w:hAnsiTheme="majorHAnsi" w:cstheme="majorHAnsi"/>
              </w:rPr>
              <w:lastRenderedPageBreak/>
              <w:t>L.C.E. komandas apmācības (operatori, analītiķi, administratori).</w:t>
            </w:r>
          </w:p>
          <w:p w14:paraId="1210CFA4" w14:textId="77777777" w:rsidR="009E4AA7" w:rsidRPr="00FC0B03" w:rsidRDefault="0049295A" w:rsidP="009E4AA7">
            <w:pPr>
              <w:pStyle w:val="ListParagraph"/>
              <w:numPr>
                <w:ilvl w:val="0"/>
                <w:numId w:val="33"/>
              </w:numPr>
              <w:rPr>
                <w:rFonts w:asciiTheme="majorHAnsi" w:hAnsiTheme="majorHAnsi" w:cstheme="majorHAnsi"/>
              </w:rPr>
            </w:pPr>
            <w:r w:rsidRPr="00FC0B03">
              <w:rPr>
                <w:rFonts w:asciiTheme="majorHAnsi" w:hAnsiTheme="majorHAnsi" w:cstheme="majorHAnsi"/>
              </w:rPr>
              <w:t>Ražošanas palaišanas atbalsts (go-live) un pirmais norēķinu cikls.</w:t>
            </w:r>
          </w:p>
          <w:p w14:paraId="29FA9242" w14:textId="77777777" w:rsidR="0049295A" w:rsidRPr="00FC0B03" w:rsidRDefault="0049295A" w:rsidP="009E4AA7">
            <w:pPr>
              <w:pStyle w:val="ListParagraph"/>
              <w:numPr>
                <w:ilvl w:val="0"/>
                <w:numId w:val="33"/>
              </w:numPr>
              <w:rPr>
                <w:rFonts w:asciiTheme="majorHAnsi" w:hAnsiTheme="majorHAnsi" w:cstheme="majorHAnsi"/>
              </w:rPr>
            </w:pPr>
            <w:r w:rsidRPr="00FC0B03">
              <w:rPr>
                <w:rFonts w:asciiTheme="majorHAnsi" w:hAnsiTheme="majorHAnsi" w:cstheme="majorHAnsi"/>
              </w:rPr>
              <w:t>Incidentu vadība un kļūdu novēršana garantijas periodā.</w:t>
            </w:r>
          </w:p>
        </w:tc>
        <w:tc>
          <w:tcPr>
            <w:tcW w:w="0" w:type="auto"/>
            <w:vAlign w:val="center"/>
            <w:hideMark/>
          </w:tcPr>
          <w:p w14:paraId="0CC9B2FD" w14:textId="77777777" w:rsidR="0049295A" w:rsidRPr="00FC0B03" w:rsidRDefault="0049295A" w:rsidP="0049295A">
            <w:pPr>
              <w:rPr>
                <w:rFonts w:asciiTheme="majorHAnsi" w:hAnsiTheme="majorHAnsi" w:cstheme="majorHAnsi"/>
              </w:rPr>
            </w:pPr>
          </w:p>
        </w:tc>
        <w:tc>
          <w:tcPr>
            <w:tcW w:w="0" w:type="auto"/>
            <w:vAlign w:val="center"/>
            <w:hideMark/>
          </w:tcPr>
          <w:p w14:paraId="30E4528D" w14:textId="77777777" w:rsidR="0049295A" w:rsidRPr="00FC0B03" w:rsidRDefault="0049295A" w:rsidP="0049295A">
            <w:pPr>
              <w:rPr>
                <w:rFonts w:asciiTheme="majorHAnsi" w:hAnsiTheme="majorHAnsi" w:cstheme="majorHAnsi"/>
              </w:rPr>
            </w:pPr>
          </w:p>
        </w:tc>
        <w:tc>
          <w:tcPr>
            <w:tcW w:w="0" w:type="auto"/>
            <w:vAlign w:val="center"/>
            <w:hideMark/>
          </w:tcPr>
          <w:p w14:paraId="423FBF5E" w14:textId="77777777" w:rsidR="0049295A" w:rsidRPr="00FC0B03" w:rsidRDefault="0049295A" w:rsidP="0049295A">
            <w:pPr>
              <w:rPr>
                <w:rFonts w:asciiTheme="majorHAnsi" w:hAnsiTheme="majorHAnsi" w:cstheme="majorHAnsi"/>
              </w:rPr>
            </w:pPr>
          </w:p>
        </w:tc>
      </w:tr>
    </w:tbl>
    <w:p w14:paraId="086BA6C0" w14:textId="77777777" w:rsidR="0049295A" w:rsidRPr="00FC0B03" w:rsidRDefault="0049295A" w:rsidP="0049295A">
      <w:pPr>
        <w:rPr>
          <w:rFonts w:asciiTheme="majorHAnsi" w:hAnsiTheme="majorHAnsi" w:cstheme="majorHAnsi"/>
        </w:rPr>
      </w:pPr>
    </w:p>
    <w:p w14:paraId="24E8C581" w14:textId="77777777" w:rsidR="0049295A" w:rsidRPr="00FC0B03" w:rsidRDefault="0049295A" w:rsidP="0049295A">
      <w:pPr>
        <w:rPr>
          <w:rFonts w:asciiTheme="majorHAnsi" w:hAnsiTheme="majorHAnsi" w:cstheme="majorHAnsi"/>
        </w:rPr>
      </w:pPr>
      <w:r w:rsidRPr="00FC0B03">
        <w:rPr>
          <w:rFonts w:asciiTheme="majorHAnsi" w:hAnsiTheme="majorHAnsi" w:cstheme="majorHAnsi"/>
        </w:rPr>
        <w:t xml:space="preserve">Piedāvājuma summa kopā: </w:t>
      </w:r>
      <w:r w:rsidR="00A116B4" w:rsidRPr="00FC0B03">
        <w:rPr>
          <w:rFonts w:asciiTheme="majorHAnsi" w:hAnsiTheme="majorHAnsi" w:cstheme="majorHAnsi"/>
        </w:rPr>
        <w:t>_______</w:t>
      </w:r>
      <w:r w:rsidRPr="00FC0B03">
        <w:rPr>
          <w:rFonts w:asciiTheme="majorHAnsi" w:hAnsiTheme="majorHAnsi" w:cstheme="majorHAnsi"/>
        </w:rPr>
        <w:t xml:space="preserve"> EUR (bez PVN)</w:t>
      </w:r>
    </w:p>
    <w:p w14:paraId="10EDB0B8" w14:textId="77777777" w:rsidR="005E10C9" w:rsidRPr="00FC0B03" w:rsidRDefault="005E10C9" w:rsidP="00B24576">
      <w:pPr>
        <w:rPr>
          <w:rFonts w:asciiTheme="majorHAnsi" w:hAnsiTheme="majorHAnsi" w:cstheme="majorHAnsi"/>
        </w:rPr>
      </w:pPr>
    </w:p>
    <w:p w14:paraId="09A147EE" w14:textId="77777777" w:rsidR="00F55279" w:rsidRPr="00FC0B03" w:rsidRDefault="00F55279" w:rsidP="00B24576">
      <w:pPr>
        <w:rPr>
          <w:rFonts w:asciiTheme="majorHAnsi" w:hAnsiTheme="majorHAnsi" w:cstheme="majorHAnsi"/>
        </w:rPr>
      </w:pPr>
    </w:p>
    <w:p w14:paraId="0B513B13" w14:textId="77777777" w:rsidR="00F55279" w:rsidRPr="00FC0B03" w:rsidRDefault="00F55279" w:rsidP="00B24576">
      <w:pPr>
        <w:rPr>
          <w:rFonts w:asciiTheme="majorHAnsi" w:hAnsiTheme="majorHAnsi" w:cstheme="majorHAnsi"/>
        </w:rPr>
      </w:pPr>
    </w:p>
    <w:p w14:paraId="4653F190" w14:textId="77777777" w:rsidR="0049295A" w:rsidRPr="00FC0B03" w:rsidRDefault="0049295A" w:rsidP="00B24576">
      <w:pPr>
        <w:rPr>
          <w:rFonts w:asciiTheme="majorHAnsi" w:hAnsiTheme="majorHAnsi" w:cstheme="majorHAnsi"/>
        </w:rPr>
      </w:pPr>
      <w:r w:rsidRPr="00FC0B03">
        <w:rPr>
          <w:rFonts w:asciiTheme="majorHAnsi" w:hAnsiTheme="majorHAnsi" w:cstheme="majorHAnsi"/>
        </w:rPr>
        <w:t>SIA "L.C.E." iepirkuma procedūras</w:t>
      </w:r>
      <w:r w:rsidRPr="00FC0B03">
        <w:rPr>
          <w:rFonts w:asciiTheme="majorHAnsi" w:hAnsiTheme="majorHAnsi" w:cstheme="majorHAnsi"/>
        </w:rPr>
        <w:br/>
        <w:t xml:space="preserve">“Iekšējo procesu automatizācijas MODULIS enerģijas balansēšanai ar mākslīgā intelekta komponentēm” noteikumu </w:t>
      </w:r>
      <w:r w:rsidRPr="00FC0B03">
        <w:rPr>
          <w:rFonts w:asciiTheme="majorHAnsi" w:hAnsiTheme="majorHAnsi" w:cstheme="majorHAnsi"/>
          <w:i/>
          <w:iCs/>
        </w:rPr>
        <w:t>(Pielikums Nr. 2)</w:t>
      </w:r>
    </w:p>
    <w:p w14:paraId="1D66FADB" w14:textId="77777777" w:rsidR="0049295A" w:rsidRPr="00FC0B03" w:rsidRDefault="0049295A" w:rsidP="00B24576">
      <w:pPr>
        <w:rPr>
          <w:rFonts w:asciiTheme="majorHAnsi" w:hAnsiTheme="majorHAnsi" w:cstheme="majorHAnsi"/>
        </w:rPr>
      </w:pPr>
    </w:p>
    <w:p w14:paraId="12B2595C" w14:textId="77777777" w:rsidR="008A7019" w:rsidRPr="00FC0B03" w:rsidRDefault="008A7019" w:rsidP="0049295A">
      <w:pPr>
        <w:jc w:val="center"/>
        <w:rPr>
          <w:rFonts w:asciiTheme="majorHAnsi" w:hAnsiTheme="majorHAnsi" w:cstheme="majorHAnsi"/>
        </w:rPr>
      </w:pPr>
      <w:r w:rsidRPr="00FC0B03">
        <w:rPr>
          <w:rFonts w:asciiTheme="majorHAnsi" w:hAnsiTheme="majorHAnsi" w:cstheme="majorHAnsi"/>
        </w:rPr>
        <w:t>T</w:t>
      </w:r>
      <w:r w:rsidR="0049295A" w:rsidRPr="00FC0B03">
        <w:rPr>
          <w:rFonts w:asciiTheme="majorHAnsi" w:hAnsiTheme="majorHAnsi" w:cstheme="majorHAnsi"/>
        </w:rPr>
        <w:t>EHNISKĀ SPECIFIKĀCIJA</w:t>
      </w:r>
    </w:p>
    <w:p w14:paraId="5F1AE1EE" w14:textId="77777777" w:rsidR="0049295A" w:rsidRPr="00FC0B03" w:rsidRDefault="0049295A" w:rsidP="0049295A">
      <w:pPr>
        <w:jc w:val="center"/>
        <w:rPr>
          <w:rFonts w:asciiTheme="majorHAnsi" w:hAnsiTheme="majorHAnsi" w:cstheme="majorHAnsi"/>
        </w:rPr>
      </w:pPr>
    </w:p>
    <w:p w14:paraId="255A5A8E" w14:textId="77777777" w:rsidR="00CC1FB5" w:rsidRPr="00FC0B03" w:rsidRDefault="00B24576" w:rsidP="00CC1FB5">
      <w:pPr>
        <w:pStyle w:val="ListParagraph"/>
        <w:numPr>
          <w:ilvl w:val="2"/>
          <w:numId w:val="13"/>
        </w:numPr>
        <w:ind w:left="0"/>
        <w:rPr>
          <w:rFonts w:asciiTheme="majorHAnsi" w:hAnsiTheme="majorHAnsi" w:cstheme="majorHAnsi"/>
        </w:rPr>
      </w:pPr>
      <w:r w:rsidRPr="00FC0B03">
        <w:rPr>
          <w:rFonts w:asciiTheme="majorHAnsi" w:hAnsiTheme="majorHAnsi" w:cstheme="majorHAnsi"/>
        </w:rPr>
        <w:t xml:space="preserve">Projekta mērķis un </w:t>
      </w:r>
      <w:r w:rsidR="00A116B4" w:rsidRPr="00FC0B03">
        <w:rPr>
          <w:rFonts w:asciiTheme="majorHAnsi" w:hAnsiTheme="majorHAnsi" w:cstheme="majorHAnsi"/>
        </w:rPr>
        <w:t xml:space="preserve">detalizēts </w:t>
      </w:r>
      <w:r w:rsidRPr="00FC0B03">
        <w:rPr>
          <w:rFonts w:asciiTheme="majorHAnsi" w:hAnsiTheme="majorHAnsi" w:cstheme="majorHAnsi"/>
        </w:rPr>
        <w:t>risinājuma apraksts</w:t>
      </w:r>
      <w:r w:rsidR="00A116B4" w:rsidRPr="00FC0B03">
        <w:rPr>
          <w:rFonts w:asciiTheme="majorHAnsi" w:hAnsiTheme="majorHAnsi" w:cstheme="majorHAnsi"/>
        </w:rPr>
        <w:t xml:space="preserve">. </w:t>
      </w:r>
      <w:r w:rsidRPr="00FC0B03">
        <w:rPr>
          <w:rFonts w:asciiTheme="majorHAnsi" w:hAnsiTheme="majorHAnsi" w:cstheme="majorHAnsi"/>
        </w:rPr>
        <w:t>Projekta mērķis ir izstrādāt un ieviest programmatūras moduli, kas ar mākslīgā intelekta (MI) un automatizācijas palīdzību samazina elektroenerģijas portfeļa plāna un fakta novirzes un līdz ar to balansēšanas izmaksas</w:t>
      </w:r>
      <w:r w:rsidR="008A7019" w:rsidRPr="00FC0B03">
        <w:rPr>
          <w:rFonts w:asciiTheme="majorHAnsi" w:hAnsiTheme="majorHAnsi" w:cstheme="majorHAnsi"/>
        </w:rPr>
        <w:t xml:space="preserve"> SIA “L.C.E.” korporatīvajiem klientiem</w:t>
      </w:r>
      <w:r w:rsidRPr="00FC0B03">
        <w:rPr>
          <w:rFonts w:asciiTheme="majorHAnsi" w:hAnsiTheme="majorHAnsi" w:cstheme="majorHAnsi"/>
        </w:rPr>
        <w:t xml:space="preserve">. Risinājums automatizē L.C.E. iekšējos </w:t>
      </w:r>
      <w:r w:rsidR="008A7019" w:rsidRPr="00FC0B03">
        <w:rPr>
          <w:rFonts w:asciiTheme="majorHAnsi" w:hAnsiTheme="majorHAnsi" w:cstheme="majorHAnsi"/>
        </w:rPr>
        <w:t xml:space="preserve">analītikas un </w:t>
      </w:r>
      <w:r w:rsidRPr="00FC0B03">
        <w:rPr>
          <w:rFonts w:asciiTheme="majorHAnsi" w:hAnsiTheme="majorHAnsi" w:cstheme="majorHAnsi"/>
        </w:rPr>
        <w:t xml:space="preserve">balansēšanas procesus, sākot no datu savākšanas pa 15 min intervāliem </w:t>
      </w:r>
      <w:r w:rsidR="00CC1FB5" w:rsidRPr="00FC0B03">
        <w:rPr>
          <w:rFonts w:asciiTheme="majorHAnsi" w:hAnsiTheme="majorHAnsi" w:cstheme="majorHAnsi"/>
        </w:rPr>
        <w:t>līdz prognozēm, anomāliju noteikšanai un intraday korekciju ieteikumiem biržā, kā arī ļauj analizēt elastības resursu (invertoru un bateriju) ietekmi uz patēriņa un nebalansa profiliem klientu portfelī datu analītikas līmenī.</w:t>
      </w:r>
    </w:p>
    <w:p w14:paraId="1650AD11" w14:textId="5263FE3B" w:rsidR="00B24576" w:rsidRPr="00FC0B03" w:rsidRDefault="00FC0B03" w:rsidP="00B24576">
      <w:pPr>
        <w:rPr>
          <w:rFonts w:asciiTheme="majorHAnsi" w:hAnsiTheme="majorHAnsi" w:cstheme="majorHAnsi"/>
        </w:rPr>
      </w:pPr>
      <w:r w:rsidRPr="00FC0B03">
        <w:rPr>
          <w:rFonts w:asciiTheme="majorHAnsi" w:eastAsia="Times New Roman" w:hAnsiTheme="majorHAnsi" w:cstheme="majorHAnsi"/>
          <w:color w:val="0E0E0E"/>
          <w:kern w:val="0"/>
          <w:lang w:eastAsia="en-GB"/>
          <w14:ligatures w14:val="none"/>
        </w:rPr>
        <w:t>L.C.E. B2B klienti (piem., uzņēmumi/organizācijas) apkalpo gala patērētājus, t.sk. fiziskas personas; līdz ar to L.C.E. portfelī ir tūkstošiem gala klientu (fizisku personu) un simtiem tūkstošu datu punktu dienā</w:t>
      </w:r>
      <w:r w:rsidR="00B24576" w:rsidRPr="00FC0B03">
        <w:rPr>
          <w:rFonts w:asciiTheme="majorHAnsi" w:hAnsiTheme="majorHAnsi" w:cstheme="majorHAnsi"/>
        </w:rPr>
        <w:t>. Patlaban L.C.E. izmanto klientu integrācijas un attiecīgi arī datus no:</w:t>
      </w:r>
    </w:p>
    <w:p w14:paraId="300C107C" w14:textId="77777777" w:rsidR="00B24576" w:rsidRPr="00FC0B03" w:rsidRDefault="00B24576" w:rsidP="00B24576">
      <w:pPr>
        <w:numPr>
          <w:ilvl w:val="0"/>
          <w:numId w:val="1"/>
        </w:numPr>
        <w:rPr>
          <w:rFonts w:asciiTheme="majorHAnsi" w:hAnsiTheme="majorHAnsi" w:cstheme="majorHAnsi"/>
        </w:rPr>
      </w:pPr>
      <w:r w:rsidRPr="00FC0B03">
        <w:rPr>
          <w:rFonts w:asciiTheme="majorHAnsi" w:hAnsiTheme="majorHAnsi" w:cstheme="majorHAnsi"/>
        </w:rPr>
        <w:t>datu apmaiņas platformu “Step” (Sadales tīkls);</w:t>
      </w:r>
    </w:p>
    <w:p w14:paraId="59E13E6F" w14:textId="77777777" w:rsidR="00B24576" w:rsidRPr="00FC0B03" w:rsidRDefault="00B24576" w:rsidP="00B24576">
      <w:pPr>
        <w:numPr>
          <w:ilvl w:val="0"/>
          <w:numId w:val="1"/>
        </w:numPr>
        <w:rPr>
          <w:rFonts w:asciiTheme="majorHAnsi" w:hAnsiTheme="majorHAnsi" w:cstheme="majorHAnsi"/>
        </w:rPr>
      </w:pPr>
      <w:r w:rsidRPr="00FC0B03">
        <w:rPr>
          <w:rFonts w:asciiTheme="majorHAnsi" w:hAnsiTheme="majorHAnsi" w:cstheme="majorHAnsi"/>
        </w:rPr>
        <w:t>AST Balansa vadības sistēmu (BVS);</w:t>
      </w:r>
    </w:p>
    <w:p w14:paraId="31251CEA" w14:textId="77777777" w:rsidR="00B24576" w:rsidRPr="00FC0B03" w:rsidRDefault="00B24576" w:rsidP="00B24576">
      <w:pPr>
        <w:numPr>
          <w:ilvl w:val="0"/>
          <w:numId w:val="1"/>
        </w:numPr>
        <w:rPr>
          <w:rFonts w:asciiTheme="majorHAnsi" w:hAnsiTheme="majorHAnsi" w:cstheme="majorHAnsi"/>
        </w:rPr>
      </w:pPr>
      <w:r w:rsidRPr="00FC0B03">
        <w:rPr>
          <w:rFonts w:asciiTheme="majorHAnsi" w:hAnsiTheme="majorHAnsi" w:cstheme="majorHAnsi"/>
        </w:rPr>
        <w:t>biržu Nord Pool (un nākotnē EPEX Spot);</w:t>
      </w:r>
    </w:p>
    <w:p w14:paraId="77D308C2" w14:textId="77777777" w:rsidR="00CC1FB5" w:rsidRPr="00FC0B03" w:rsidRDefault="00B24576" w:rsidP="00B24576">
      <w:pPr>
        <w:numPr>
          <w:ilvl w:val="0"/>
          <w:numId w:val="1"/>
        </w:numPr>
        <w:rPr>
          <w:rFonts w:asciiTheme="majorHAnsi" w:hAnsiTheme="majorHAnsi" w:cstheme="majorHAnsi"/>
        </w:rPr>
      </w:pPr>
      <w:r w:rsidRPr="00FC0B03">
        <w:rPr>
          <w:rFonts w:asciiTheme="majorHAnsi" w:hAnsiTheme="majorHAnsi" w:cstheme="majorHAnsi"/>
        </w:rPr>
        <w:t>laikapstākļu datu avotiem;</w:t>
      </w:r>
    </w:p>
    <w:p w14:paraId="7603ECD0" w14:textId="77777777" w:rsidR="00CC1FB5" w:rsidRPr="00FC0B03" w:rsidRDefault="00CC1FB5" w:rsidP="00B24576">
      <w:pPr>
        <w:numPr>
          <w:ilvl w:val="0"/>
          <w:numId w:val="1"/>
        </w:numPr>
        <w:rPr>
          <w:rFonts w:asciiTheme="majorHAnsi" w:hAnsiTheme="majorHAnsi" w:cstheme="majorHAnsi"/>
        </w:rPr>
      </w:pPr>
      <w:r w:rsidRPr="00FC0B03">
        <w:rPr>
          <w:rFonts w:asciiTheme="majorHAnsi" w:hAnsiTheme="majorHAnsi" w:cstheme="majorHAnsi"/>
        </w:rPr>
        <w:t>atsevišķu klientu invertoru un bateriju API (telemetrijai un analītikai, ja pieejama).</w:t>
      </w:r>
    </w:p>
    <w:p w14:paraId="2BF64FCB" w14:textId="77777777" w:rsidR="00B24576" w:rsidRPr="00FC0B03" w:rsidRDefault="008A7019" w:rsidP="00CC1FB5">
      <w:pPr>
        <w:rPr>
          <w:rFonts w:asciiTheme="majorHAnsi" w:hAnsiTheme="majorHAnsi" w:cstheme="majorHAnsi"/>
        </w:rPr>
      </w:pPr>
      <w:r w:rsidRPr="00FC0B03">
        <w:rPr>
          <w:rFonts w:asciiTheme="majorHAnsi" w:hAnsiTheme="majorHAnsi" w:cstheme="majorHAnsi"/>
        </w:rPr>
        <w:t>Iepērkamā programmatūras risinājuma tehnoloģija būs paredzēta</w:t>
      </w:r>
      <w:r w:rsidR="00B24576" w:rsidRPr="00FC0B03">
        <w:rPr>
          <w:rFonts w:asciiTheme="majorHAnsi" w:hAnsiTheme="majorHAnsi" w:cstheme="majorHAnsi"/>
        </w:rPr>
        <w:t>, lai:</w:t>
      </w:r>
    </w:p>
    <w:p w14:paraId="235FFB5C" w14:textId="77777777" w:rsidR="00CC1FB5" w:rsidRPr="00FC0B03" w:rsidRDefault="00CC1FB5" w:rsidP="00CC1FB5">
      <w:pPr>
        <w:numPr>
          <w:ilvl w:val="0"/>
          <w:numId w:val="3"/>
        </w:numPr>
        <w:rPr>
          <w:rFonts w:asciiTheme="majorHAnsi" w:hAnsiTheme="majorHAnsi" w:cstheme="majorHAnsi"/>
        </w:rPr>
      </w:pPr>
      <w:r w:rsidRPr="00FC0B03">
        <w:rPr>
          <w:rFonts w:asciiTheme="majorHAnsi" w:hAnsiTheme="majorHAnsi" w:cstheme="majorHAnsi"/>
        </w:rPr>
        <w:t>automatizētu šobrīd manuāli veiktus darba soļus (datu ielāde, analīze, prognozes, noviržu monitorings, Intraday ieteikumi), kā arī testu režīmā novērtētu BESS/invertoru ietekmi pilotu objektos bez tiešas vadības komandu izpildes.</w:t>
      </w:r>
    </w:p>
    <w:p w14:paraId="343ABF61" w14:textId="2B617C49" w:rsidR="00B24576" w:rsidRPr="00FC0B03" w:rsidRDefault="00B24576" w:rsidP="00CC1FB5">
      <w:pPr>
        <w:numPr>
          <w:ilvl w:val="0"/>
          <w:numId w:val="3"/>
        </w:numPr>
        <w:rPr>
          <w:rFonts w:asciiTheme="majorHAnsi" w:hAnsiTheme="majorHAnsi" w:cstheme="majorHAnsi"/>
        </w:rPr>
      </w:pPr>
      <w:r w:rsidRPr="00FC0B03">
        <w:rPr>
          <w:rFonts w:asciiTheme="majorHAnsi" w:hAnsiTheme="majorHAnsi" w:cstheme="majorHAnsi"/>
        </w:rPr>
        <w:t>samazinātu nebalansa izmaksas L.C.E. klientu portfeļos;</w:t>
      </w:r>
    </w:p>
    <w:p w14:paraId="4CCCC69A" w14:textId="77777777" w:rsidR="0049295A" w:rsidRPr="00FC0B03" w:rsidRDefault="00B24576" w:rsidP="00B24576">
      <w:pPr>
        <w:numPr>
          <w:ilvl w:val="0"/>
          <w:numId w:val="3"/>
        </w:numPr>
        <w:rPr>
          <w:rFonts w:asciiTheme="majorHAnsi" w:hAnsiTheme="majorHAnsi" w:cstheme="majorHAnsi"/>
        </w:rPr>
      </w:pPr>
      <w:r w:rsidRPr="00FC0B03">
        <w:rPr>
          <w:rFonts w:asciiTheme="majorHAnsi" w:hAnsiTheme="majorHAnsi" w:cstheme="majorHAnsi"/>
        </w:rPr>
        <w:t>ļautu apstrādāt pieaugošu datu apjomu 15 minūšu norēķinu režīmā bez proporcionāla manuālā darba pieauguma.</w:t>
      </w:r>
    </w:p>
    <w:p w14:paraId="66EBDE08" w14:textId="77777777" w:rsidR="0049295A" w:rsidRPr="00FC0B03" w:rsidRDefault="0049295A" w:rsidP="0049295A">
      <w:pPr>
        <w:ind w:left="720"/>
        <w:rPr>
          <w:rFonts w:asciiTheme="majorHAnsi" w:hAnsiTheme="majorHAnsi" w:cstheme="majorHAnsi"/>
        </w:rPr>
      </w:pPr>
    </w:p>
    <w:p w14:paraId="01B1BBD1" w14:textId="77777777" w:rsidR="00B24576" w:rsidRPr="00FC0B03" w:rsidRDefault="00B24576" w:rsidP="0049295A">
      <w:pPr>
        <w:pStyle w:val="ListParagraph"/>
        <w:numPr>
          <w:ilvl w:val="2"/>
          <w:numId w:val="13"/>
        </w:numPr>
        <w:ind w:left="0"/>
        <w:rPr>
          <w:rFonts w:asciiTheme="majorHAnsi" w:hAnsiTheme="majorHAnsi" w:cstheme="majorHAnsi"/>
        </w:rPr>
      </w:pPr>
      <w:r w:rsidRPr="00FC0B03">
        <w:rPr>
          <w:rFonts w:asciiTheme="majorHAnsi" w:hAnsiTheme="majorHAnsi" w:cstheme="majorHAnsi"/>
        </w:rPr>
        <w:t xml:space="preserve">Sagaidāmā risinājuma </w:t>
      </w:r>
      <w:r w:rsidR="008A7019" w:rsidRPr="00FC0B03">
        <w:rPr>
          <w:rFonts w:asciiTheme="majorHAnsi" w:hAnsiTheme="majorHAnsi" w:cstheme="majorHAnsi"/>
        </w:rPr>
        <w:t>“</w:t>
      </w:r>
      <w:r w:rsidRPr="00FC0B03">
        <w:rPr>
          <w:rFonts w:asciiTheme="majorHAnsi" w:hAnsiTheme="majorHAnsi" w:cstheme="majorHAnsi"/>
        </w:rPr>
        <w:t>Moduļa</w:t>
      </w:r>
      <w:r w:rsidR="008A7019" w:rsidRPr="00FC0B03">
        <w:rPr>
          <w:rFonts w:asciiTheme="majorHAnsi" w:hAnsiTheme="majorHAnsi" w:cstheme="majorHAnsi"/>
        </w:rPr>
        <w:t>”</w:t>
      </w:r>
      <w:r w:rsidRPr="00FC0B03">
        <w:rPr>
          <w:rFonts w:asciiTheme="majorHAnsi" w:hAnsiTheme="majorHAnsi" w:cstheme="majorHAnsi"/>
        </w:rPr>
        <w:t xml:space="preserve"> komponentes</w:t>
      </w:r>
      <w:r w:rsidR="00157D5F" w:rsidRPr="00FC0B03">
        <w:rPr>
          <w:rFonts w:asciiTheme="majorHAnsi" w:hAnsiTheme="majorHAnsi" w:cstheme="majorHAnsi"/>
        </w:rPr>
        <w:t>.</w:t>
      </w:r>
    </w:p>
    <w:p w14:paraId="1A7EEB6A" w14:textId="77777777" w:rsidR="00B24576" w:rsidRPr="00FC0B03" w:rsidRDefault="00B24576" w:rsidP="00B24576">
      <w:pPr>
        <w:rPr>
          <w:rFonts w:asciiTheme="majorHAnsi" w:hAnsiTheme="majorHAnsi" w:cstheme="majorHAnsi"/>
        </w:rPr>
      </w:pPr>
      <w:r w:rsidRPr="00FC0B03">
        <w:rPr>
          <w:rFonts w:asciiTheme="majorHAnsi" w:hAnsiTheme="majorHAnsi" w:cstheme="majorHAnsi"/>
        </w:rPr>
        <w:t>Modulis aptver šādas procesu grupas:</w:t>
      </w:r>
    </w:p>
    <w:p w14:paraId="1219F49D" w14:textId="77777777" w:rsidR="00B24576" w:rsidRPr="00FC0B03" w:rsidRDefault="00B24576" w:rsidP="00B24576">
      <w:pPr>
        <w:numPr>
          <w:ilvl w:val="0"/>
          <w:numId w:val="5"/>
        </w:numPr>
        <w:rPr>
          <w:rFonts w:asciiTheme="majorHAnsi" w:hAnsiTheme="majorHAnsi" w:cstheme="majorHAnsi"/>
        </w:rPr>
      </w:pPr>
      <w:r w:rsidRPr="00FC0B03">
        <w:rPr>
          <w:rFonts w:asciiTheme="majorHAnsi" w:hAnsiTheme="majorHAnsi" w:cstheme="majorHAnsi"/>
        </w:rPr>
        <w:t>patēriņa un PV ģenerācijas prognozēšanu 15 min griezumā (24–48h uz priekšu);</w:t>
      </w:r>
    </w:p>
    <w:p w14:paraId="08C9F0DF" w14:textId="77777777" w:rsidR="00B24576" w:rsidRPr="00FC0B03" w:rsidRDefault="00B24576" w:rsidP="00B24576">
      <w:pPr>
        <w:numPr>
          <w:ilvl w:val="0"/>
          <w:numId w:val="5"/>
        </w:numPr>
        <w:rPr>
          <w:rFonts w:asciiTheme="majorHAnsi" w:hAnsiTheme="majorHAnsi" w:cstheme="majorHAnsi"/>
        </w:rPr>
      </w:pPr>
      <w:r w:rsidRPr="00FC0B03">
        <w:rPr>
          <w:rFonts w:asciiTheme="majorHAnsi" w:hAnsiTheme="majorHAnsi" w:cstheme="majorHAnsi"/>
        </w:rPr>
        <w:t>noviržu monitoringu “plāns pret faktu” un nebalansa pozīcijas aprēķinu;</w:t>
      </w:r>
    </w:p>
    <w:p w14:paraId="462A5994" w14:textId="77777777" w:rsidR="00B24576" w:rsidRPr="00FC0B03" w:rsidRDefault="00B24576" w:rsidP="00B24576">
      <w:pPr>
        <w:numPr>
          <w:ilvl w:val="0"/>
          <w:numId w:val="5"/>
        </w:numPr>
        <w:rPr>
          <w:rFonts w:asciiTheme="majorHAnsi" w:hAnsiTheme="majorHAnsi" w:cstheme="majorHAnsi"/>
        </w:rPr>
      </w:pPr>
      <w:r w:rsidRPr="00FC0B03">
        <w:rPr>
          <w:rFonts w:asciiTheme="majorHAnsi" w:hAnsiTheme="majorHAnsi" w:cstheme="majorHAnsi"/>
        </w:rPr>
        <w:t>Intraday lēmumu atbalsta ieteikumus korekcijām;</w:t>
      </w:r>
    </w:p>
    <w:p w14:paraId="61BB4FF1" w14:textId="77777777" w:rsidR="00B24576" w:rsidRPr="00FC0B03" w:rsidRDefault="00783929" w:rsidP="00B24576">
      <w:pPr>
        <w:numPr>
          <w:ilvl w:val="0"/>
          <w:numId w:val="5"/>
        </w:numPr>
        <w:rPr>
          <w:rFonts w:asciiTheme="majorHAnsi" w:hAnsiTheme="majorHAnsi" w:cstheme="majorHAnsi"/>
        </w:rPr>
      </w:pPr>
      <w:r w:rsidRPr="00FC0B03">
        <w:rPr>
          <w:rFonts w:asciiTheme="majorHAnsi" w:hAnsiTheme="majorHAnsi" w:cstheme="majorHAnsi"/>
        </w:rPr>
        <w:lastRenderedPageBreak/>
        <w:t xml:space="preserve">elastības datu (invertoru/BESS telemetrijas) integrāciju un scenāriju analītiku pilotu objektos bez tiešas vadības komandu izpildes ar </w:t>
      </w:r>
      <w:r w:rsidR="00B24576" w:rsidRPr="00FC0B03">
        <w:rPr>
          <w:rFonts w:asciiTheme="majorHAnsi" w:hAnsiTheme="majorHAnsi" w:cstheme="majorHAnsi"/>
        </w:rPr>
        <w:t>datu kvalitātes un anomāliju monitoringu;</w:t>
      </w:r>
    </w:p>
    <w:p w14:paraId="69F6ADD6" w14:textId="77777777" w:rsidR="00B24576" w:rsidRPr="00FC0B03" w:rsidRDefault="00B24576" w:rsidP="00B24576">
      <w:pPr>
        <w:numPr>
          <w:ilvl w:val="0"/>
          <w:numId w:val="5"/>
        </w:numPr>
        <w:rPr>
          <w:rFonts w:asciiTheme="majorHAnsi" w:hAnsiTheme="majorHAnsi" w:cstheme="majorHAnsi"/>
        </w:rPr>
      </w:pPr>
      <w:r w:rsidRPr="00FC0B03">
        <w:rPr>
          <w:rFonts w:asciiTheme="majorHAnsi" w:hAnsiTheme="majorHAnsi" w:cstheme="majorHAnsi"/>
        </w:rPr>
        <w:t>rezultātu atspoguļošanu operatora portālā un atskaitēs.</w:t>
      </w:r>
    </w:p>
    <w:p w14:paraId="3777CA0D" w14:textId="77777777" w:rsidR="00157D5F" w:rsidRPr="00FC0B03" w:rsidRDefault="00157D5F" w:rsidP="00157D5F">
      <w:pPr>
        <w:rPr>
          <w:rFonts w:asciiTheme="majorHAnsi" w:hAnsiTheme="majorHAnsi" w:cstheme="majorHAnsi"/>
        </w:rPr>
      </w:pPr>
    </w:p>
    <w:p w14:paraId="098F305D"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3. Datu avoti un datu apjoms.</w:t>
      </w:r>
    </w:p>
    <w:p w14:paraId="553F18E1"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 xml:space="preserve">3.1. Modulim jāspēj strādāt ar šādiem minimālajiem datu veidiem: </w:t>
      </w:r>
    </w:p>
    <w:p w14:paraId="70AA594F" w14:textId="77777777" w:rsidR="00157D5F"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vēsturiskie patēriņa dati 15 min un/vai 60 min griezumā (vairāk nekā 3900–5000 objekti, vēsturiskais periods vidēji 24 mēneši);</w:t>
      </w:r>
    </w:p>
    <w:p w14:paraId="52312947" w14:textId="77777777" w:rsidR="00157D5F"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vēsturiskie PV ģenerācijas dati (tur, kur tie ir pieejami portfeļa datos);</w:t>
      </w:r>
    </w:p>
    <w:p w14:paraId="4309731E" w14:textId="77777777" w:rsidR="00157D5F"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vēsturiskie nebalansa apjomi un izmaksas;</w:t>
      </w:r>
    </w:p>
    <w:p w14:paraId="5C921612" w14:textId="77777777" w:rsidR="00157D5F"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plāns pret faktu (nominācijas vs faktiskie dati);</w:t>
      </w:r>
    </w:p>
    <w:p w14:paraId="6B659803" w14:textId="77777777" w:rsidR="00157D5F"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Nord Pool Day-ahead un Intraday cenu dati;</w:t>
      </w:r>
    </w:p>
    <w:p w14:paraId="3385A560" w14:textId="77777777" w:rsidR="00783929" w:rsidRPr="00FC0B03" w:rsidRDefault="00157D5F" w:rsidP="00157D5F">
      <w:pPr>
        <w:numPr>
          <w:ilvl w:val="0"/>
          <w:numId w:val="14"/>
        </w:numPr>
        <w:rPr>
          <w:rFonts w:asciiTheme="majorHAnsi" w:hAnsiTheme="majorHAnsi" w:cstheme="majorHAnsi"/>
        </w:rPr>
      </w:pPr>
      <w:r w:rsidRPr="00FC0B03">
        <w:rPr>
          <w:rFonts w:asciiTheme="majorHAnsi" w:hAnsiTheme="majorHAnsi" w:cstheme="majorHAnsi"/>
        </w:rPr>
        <w:t>meteoroloģiskie dati (saules starojums, mākoņu segums, temperatūra u. c.);</w:t>
      </w:r>
    </w:p>
    <w:p w14:paraId="29261823" w14:textId="77777777" w:rsidR="00783929" w:rsidRPr="00FC0B03" w:rsidRDefault="00783929" w:rsidP="00157D5F">
      <w:pPr>
        <w:numPr>
          <w:ilvl w:val="0"/>
          <w:numId w:val="14"/>
        </w:numPr>
        <w:rPr>
          <w:rFonts w:asciiTheme="majorHAnsi" w:hAnsiTheme="majorHAnsi" w:cstheme="majorHAnsi"/>
        </w:rPr>
      </w:pPr>
      <w:r w:rsidRPr="00FC0B03">
        <w:rPr>
          <w:rFonts w:asciiTheme="majorHAnsi" w:hAnsiTheme="majorHAnsi" w:cstheme="majorHAnsi"/>
        </w:rPr>
        <w:t>invertoru un BESS telemetrija (pozitīvi, ja ir pieejama opcija testa objektam, izmantojama analītikā; nav obligāts priekšnoteikums bāzes funkcionalitātei)</w:t>
      </w:r>
    </w:p>
    <w:p w14:paraId="3578BC66" w14:textId="77777777" w:rsidR="00157D5F" w:rsidRPr="00FC0B03" w:rsidRDefault="00157D5F" w:rsidP="00783929">
      <w:pPr>
        <w:rPr>
          <w:rFonts w:asciiTheme="majorHAnsi" w:hAnsiTheme="majorHAnsi" w:cstheme="majorHAnsi"/>
        </w:rPr>
      </w:pPr>
      <w:r w:rsidRPr="00FC0B03">
        <w:rPr>
          <w:rFonts w:asciiTheme="majorHAnsi" w:hAnsiTheme="majorHAnsi" w:cstheme="majorHAnsi"/>
        </w:rPr>
        <w:t>3.2. Datu apjoma perspektīva:</w:t>
      </w:r>
    </w:p>
    <w:p w14:paraId="73E06C0B" w14:textId="77777777" w:rsidR="00157D5F" w:rsidRPr="00FC0B03" w:rsidRDefault="00157D5F" w:rsidP="00157D5F">
      <w:pPr>
        <w:numPr>
          <w:ilvl w:val="0"/>
          <w:numId w:val="15"/>
        </w:numPr>
        <w:rPr>
          <w:rFonts w:asciiTheme="majorHAnsi" w:hAnsiTheme="majorHAnsi" w:cstheme="majorHAnsi"/>
        </w:rPr>
      </w:pPr>
      <w:r w:rsidRPr="00FC0B03">
        <w:rPr>
          <w:rFonts w:asciiTheme="majorHAnsi" w:hAnsiTheme="majorHAnsi" w:cstheme="majorHAnsi"/>
        </w:rPr>
        <w:t>Projekta noslēgumā: aptuveni 5 000 objekti;</w:t>
      </w:r>
    </w:p>
    <w:p w14:paraId="039DDDC8" w14:textId="77777777" w:rsidR="00157D5F" w:rsidRPr="00FC0B03" w:rsidRDefault="00157D5F" w:rsidP="00157D5F">
      <w:pPr>
        <w:numPr>
          <w:ilvl w:val="0"/>
          <w:numId w:val="15"/>
        </w:numPr>
        <w:rPr>
          <w:rFonts w:asciiTheme="majorHAnsi" w:hAnsiTheme="majorHAnsi" w:cstheme="majorHAnsi"/>
        </w:rPr>
      </w:pPr>
      <w:r w:rsidRPr="00FC0B03">
        <w:rPr>
          <w:rFonts w:asciiTheme="majorHAnsi" w:hAnsiTheme="majorHAnsi" w:cstheme="majorHAnsi"/>
        </w:rPr>
        <w:t>1 gads pēc projekta: aptuveni 8 500 objekti;</w:t>
      </w:r>
    </w:p>
    <w:p w14:paraId="5A51F7D4" w14:textId="77777777" w:rsidR="00157D5F" w:rsidRPr="00FC0B03" w:rsidRDefault="00157D5F" w:rsidP="00157D5F">
      <w:pPr>
        <w:numPr>
          <w:ilvl w:val="0"/>
          <w:numId w:val="15"/>
        </w:numPr>
        <w:rPr>
          <w:rFonts w:asciiTheme="majorHAnsi" w:hAnsiTheme="majorHAnsi" w:cstheme="majorHAnsi"/>
        </w:rPr>
      </w:pPr>
      <w:r w:rsidRPr="00FC0B03">
        <w:rPr>
          <w:rFonts w:asciiTheme="majorHAnsi" w:hAnsiTheme="majorHAnsi" w:cstheme="majorHAnsi"/>
        </w:rPr>
        <w:t xml:space="preserve">2 gadi pēc projekta: sākot no 12 000 objektiem. </w:t>
      </w:r>
    </w:p>
    <w:p w14:paraId="159D665F"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Modulim jābūt mērogojamam šiem apjomiem, nepalielinot uzturēšanas izmaksas proporcionāli objektu skaita pieaugumam.</w:t>
      </w:r>
    </w:p>
    <w:p w14:paraId="526D02A2" w14:textId="77777777" w:rsidR="00B24576" w:rsidRPr="00FC0B03" w:rsidRDefault="00157D5F" w:rsidP="00B24576">
      <w:pPr>
        <w:rPr>
          <w:rFonts w:asciiTheme="majorHAnsi" w:hAnsiTheme="majorHAnsi" w:cstheme="majorHAnsi"/>
        </w:rPr>
      </w:pPr>
      <w:r w:rsidRPr="00FC0B03">
        <w:rPr>
          <w:rFonts w:asciiTheme="majorHAnsi" w:hAnsiTheme="majorHAnsi" w:cstheme="majorHAnsi"/>
        </w:rPr>
        <w:t>3</w:t>
      </w:r>
      <w:r w:rsidR="00B24576" w:rsidRPr="00FC0B03">
        <w:rPr>
          <w:rFonts w:asciiTheme="majorHAnsi" w:hAnsiTheme="majorHAnsi" w:cstheme="majorHAnsi"/>
        </w:rPr>
        <w:t>.3. Modulis strādā ar datiem, kurus L.C.E. saņem no klientiem un tirgus avotiem caur API pieslēgumiem. Tieša pieslēgšanās AST BVS vai ST “Step” nav priekšnoteikums – nepieciešamības gadījumā Modulis izmanto strukturētus eksportus (CSV/Excel u. tml.), ko nodrošina klients.</w:t>
      </w:r>
    </w:p>
    <w:p w14:paraId="3B0ADC90" w14:textId="77777777" w:rsidR="00B24576" w:rsidRPr="00FC0B03" w:rsidRDefault="00B24576">
      <w:pPr>
        <w:rPr>
          <w:rFonts w:asciiTheme="majorHAnsi" w:hAnsiTheme="majorHAnsi" w:cstheme="majorHAnsi"/>
        </w:rPr>
      </w:pPr>
    </w:p>
    <w:p w14:paraId="2ABC66BE"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 Funkcionālās prasības</w:t>
      </w:r>
    </w:p>
    <w:p w14:paraId="18BE461E"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4.1. Datu ielāde un apstrāde</w:t>
      </w:r>
    </w:p>
    <w:p w14:paraId="56949E20"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4.1.1. Modulim jānodrošina automatizēta datu ielāde un atjaunošana no šādiem avotiem:</w:t>
      </w:r>
    </w:p>
    <w:p w14:paraId="1E83186E" w14:textId="77777777" w:rsidR="00157D5F" w:rsidRPr="00FC0B03" w:rsidRDefault="00157D5F" w:rsidP="00157D5F">
      <w:pPr>
        <w:numPr>
          <w:ilvl w:val="0"/>
          <w:numId w:val="16"/>
        </w:numPr>
        <w:rPr>
          <w:rFonts w:asciiTheme="majorHAnsi" w:hAnsiTheme="majorHAnsi" w:cstheme="majorHAnsi"/>
        </w:rPr>
      </w:pPr>
      <w:r w:rsidRPr="00FC0B03">
        <w:rPr>
          <w:rFonts w:asciiTheme="majorHAnsi" w:hAnsiTheme="majorHAnsi" w:cstheme="majorHAnsi"/>
        </w:rPr>
        <w:t>klientu nodrošināti eksporti (AST BVS dati, ST “Step” dati, plāns/fakts, nebalanss, portfeļa mērījumi);</w:t>
      </w:r>
    </w:p>
    <w:p w14:paraId="264CEF88" w14:textId="77777777" w:rsidR="00157D5F" w:rsidRPr="00FC0B03" w:rsidRDefault="00157D5F" w:rsidP="00157D5F">
      <w:pPr>
        <w:numPr>
          <w:ilvl w:val="0"/>
          <w:numId w:val="16"/>
        </w:numPr>
        <w:rPr>
          <w:rFonts w:asciiTheme="majorHAnsi" w:hAnsiTheme="majorHAnsi" w:cstheme="majorHAnsi"/>
        </w:rPr>
      </w:pPr>
      <w:r w:rsidRPr="00FC0B03">
        <w:rPr>
          <w:rFonts w:asciiTheme="majorHAnsi" w:hAnsiTheme="majorHAnsi" w:cstheme="majorHAnsi"/>
        </w:rPr>
        <w:t>Nord Pool (Day-ahead un, ja pieejams, Intraday dati);</w:t>
      </w:r>
    </w:p>
    <w:p w14:paraId="708DF764" w14:textId="77777777" w:rsidR="00783929" w:rsidRPr="00FC0B03" w:rsidRDefault="00157D5F" w:rsidP="00157D5F">
      <w:pPr>
        <w:numPr>
          <w:ilvl w:val="0"/>
          <w:numId w:val="16"/>
        </w:numPr>
        <w:rPr>
          <w:rFonts w:asciiTheme="majorHAnsi" w:hAnsiTheme="majorHAnsi" w:cstheme="majorHAnsi"/>
        </w:rPr>
      </w:pPr>
      <w:r w:rsidRPr="00FC0B03">
        <w:rPr>
          <w:rFonts w:asciiTheme="majorHAnsi" w:hAnsiTheme="majorHAnsi" w:cstheme="majorHAnsi"/>
        </w:rPr>
        <w:t>meteoroloģiskie API;</w:t>
      </w:r>
    </w:p>
    <w:p w14:paraId="1158A002" w14:textId="77777777" w:rsidR="00783929" w:rsidRPr="00FC0B03" w:rsidRDefault="00783929" w:rsidP="00157D5F">
      <w:pPr>
        <w:numPr>
          <w:ilvl w:val="0"/>
          <w:numId w:val="16"/>
        </w:numPr>
        <w:rPr>
          <w:rFonts w:asciiTheme="majorHAnsi" w:hAnsiTheme="majorHAnsi" w:cstheme="majorHAnsi"/>
        </w:rPr>
      </w:pPr>
      <w:r w:rsidRPr="00FC0B03">
        <w:rPr>
          <w:rFonts w:asciiTheme="majorHAnsi" w:hAnsiTheme="majorHAnsi" w:cstheme="majorHAnsi"/>
        </w:rPr>
        <w:t>invertoru/BESS API (testa objektiem, telemetrijas nolasīšanai)</w:t>
      </w:r>
    </w:p>
    <w:p w14:paraId="0FFF16C4" w14:textId="77777777" w:rsidR="00157D5F" w:rsidRPr="00FC0B03" w:rsidRDefault="00157D5F" w:rsidP="00783929">
      <w:pPr>
        <w:rPr>
          <w:rFonts w:asciiTheme="majorHAnsi" w:hAnsiTheme="majorHAnsi" w:cstheme="majorHAnsi"/>
        </w:rPr>
      </w:pPr>
      <w:r w:rsidRPr="00FC0B03">
        <w:rPr>
          <w:rFonts w:asciiTheme="majorHAnsi" w:hAnsiTheme="majorHAnsi" w:cstheme="majorHAnsi"/>
        </w:rPr>
        <w:t>4.1.2. Prasības:</w:t>
      </w:r>
    </w:p>
    <w:p w14:paraId="48190CDB" w14:textId="77777777" w:rsidR="00157D5F" w:rsidRPr="00FC0B03" w:rsidRDefault="00157D5F" w:rsidP="00157D5F">
      <w:pPr>
        <w:numPr>
          <w:ilvl w:val="0"/>
          <w:numId w:val="17"/>
        </w:numPr>
        <w:rPr>
          <w:rFonts w:asciiTheme="majorHAnsi" w:hAnsiTheme="majorHAnsi" w:cstheme="majorHAnsi"/>
        </w:rPr>
      </w:pPr>
      <w:r w:rsidRPr="00FC0B03">
        <w:rPr>
          <w:rFonts w:asciiTheme="majorHAnsi" w:hAnsiTheme="majorHAnsi" w:cstheme="majorHAnsi"/>
        </w:rPr>
        <w:t>strukturālā validācija;</w:t>
      </w:r>
    </w:p>
    <w:p w14:paraId="040F1B7B" w14:textId="77777777" w:rsidR="00157D5F" w:rsidRPr="00FC0B03" w:rsidRDefault="00157D5F" w:rsidP="00157D5F">
      <w:pPr>
        <w:numPr>
          <w:ilvl w:val="0"/>
          <w:numId w:val="17"/>
        </w:numPr>
        <w:rPr>
          <w:rFonts w:asciiTheme="majorHAnsi" w:hAnsiTheme="majorHAnsi" w:cstheme="majorHAnsi"/>
        </w:rPr>
      </w:pPr>
      <w:r w:rsidRPr="00FC0B03">
        <w:rPr>
          <w:rFonts w:asciiTheme="majorHAnsi" w:hAnsiTheme="majorHAnsi" w:cstheme="majorHAnsi"/>
        </w:rPr>
        <w:t>kļūdu buferis kļūdainām rindām un atkārtotas ielādes iespēja pēc labošanas;</w:t>
      </w:r>
    </w:p>
    <w:p w14:paraId="529E0311" w14:textId="77777777" w:rsidR="00157D5F" w:rsidRPr="00FC0B03" w:rsidRDefault="00157D5F" w:rsidP="00157D5F">
      <w:pPr>
        <w:numPr>
          <w:ilvl w:val="0"/>
          <w:numId w:val="17"/>
        </w:numPr>
        <w:rPr>
          <w:rFonts w:asciiTheme="majorHAnsi" w:hAnsiTheme="majorHAnsi" w:cstheme="majorHAnsi"/>
        </w:rPr>
      </w:pPr>
      <w:r w:rsidRPr="00FC0B03">
        <w:rPr>
          <w:rFonts w:asciiTheme="majorHAnsi" w:hAnsiTheme="majorHAnsi" w:cstheme="majorHAnsi"/>
        </w:rPr>
        <w:t>konfigurējams ielādes grafiks (plānotie nakts importi, Intraday atjauninājumi).</w:t>
      </w:r>
    </w:p>
    <w:p w14:paraId="12E884A9"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4.2. Laika rindu datu krātuve</w:t>
      </w:r>
    </w:p>
    <w:p w14:paraId="7D3606EE"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4.2.1. Centralizēta datu krātuve laika rindām ar 15 min un 60 min laika soli vismaz 5 gadu vēsturiskajam periodam.</w:t>
      </w:r>
    </w:p>
    <w:p w14:paraId="1CB4D9DD"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4.2.2. Datu modelī jānodrošina:</w:t>
      </w:r>
    </w:p>
    <w:p w14:paraId="6116C16F" w14:textId="77777777" w:rsidR="00157D5F" w:rsidRPr="00FC0B03" w:rsidRDefault="00157D5F" w:rsidP="00157D5F">
      <w:pPr>
        <w:numPr>
          <w:ilvl w:val="0"/>
          <w:numId w:val="18"/>
        </w:numPr>
        <w:rPr>
          <w:rFonts w:asciiTheme="majorHAnsi" w:hAnsiTheme="majorHAnsi" w:cstheme="majorHAnsi"/>
        </w:rPr>
      </w:pPr>
      <w:r w:rsidRPr="00FC0B03">
        <w:rPr>
          <w:rFonts w:asciiTheme="majorHAnsi" w:hAnsiTheme="majorHAnsi" w:cstheme="majorHAnsi"/>
        </w:rPr>
        <w:t>dimensijas: objekts/klients, portfelis, laika periods, datu tips (patēriņš, PV, nebalanss, cena u. c.);</w:t>
      </w:r>
    </w:p>
    <w:p w14:paraId="4107AA79" w14:textId="77777777" w:rsidR="00157D5F" w:rsidRPr="00FC0B03" w:rsidRDefault="00157D5F" w:rsidP="00157D5F">
      <w:pPr>
        <w:numPr>
          <w:ilvl w:val="0"/>
          <w:numId w:val="18"/>
        </w:numPr>
        <w:rPr>
          <w:rFonts w:asciiTheme="majorHAnsi" w:hAnsiTheme="majorHAnsi" w:cstheme="majorHAnsi"/>
        </w:rPr>
      </w:pPr>
      <w:r w:rsidRPr="00FC0B03">
        <w:rPr>
          <w:rFonts w:asciiTheme="majorHAnsi" w:hAnsiTheme="majorHAnsi" w:cstheme="majorHAnsi"/>
        </w:rPr>
        <w:t>datu kvalitātes marķējumi (validēts, neizmantojams, anomālija);</w:t>
      </w:r>
    </w:p>
    <w:p w14:paraId="5E23B40E" w14:textId="77777777" w:rsidR="00157D5F" w:rsidRPr="00FC0B03" w:rsidRDefault="00157D5F" w:rsidP="00157D5F">
      <w:pPr>
        <w:numPr>
          <w:ilvl w:val="0"/>
          <w:numId w:val="18"/>
        </w:numPr>
        <w:rPr>
          <w:rFonts w:asciiTheme="majorHAnsi" w:hAnsiTheme="majorHAnsi" w:cstheme="majorHAnsi"/>
        </w:rPr>
      </w:pPr>
      <w:r w:rsidRPr="00FC0B03">
        <w:rPr>
          <w:rFonts w:asciiTheme="majorHAnsi" w:hAnsiTheme="majorHAnsi" w:cstheme="majorHAnsi"/>
        </w:rPr>
        <w:t>iespēja kombinēt dažādus avotus vienotā skatā.</w:t>
      </w:r>
    </w:p>
    <w:p w14:paraId="1ABF5D99"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lastRenderedPageBreak/>
        <w:t>4.3. Prognozēšanas modulis (MI komponente)</w:t>
      </w:r>
    </w:p>
    <w:p w14:paraId="3A766843"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 xml:space="preserve">4.3.1. Modulis izstrādā MI modeļus patēriņa un PV ģenerācijas prognozēm 15 min griezumā nākamajām 24–48 stundām portfeļa un objektu vai/un grupu līmenī. </w:t>
      </w:r>
    </w:p>
    <w:p w14:paraId="6B8A9639"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4.3.2. Minimālie ievaddati:</w:t>
      </w:r>
    </w:p>
    <w:p w14:paraId="3EB1F847" w14:textId="77777777" w:rsidR="00157D5F" w:rsidRPr="00FC0B03" w:rsidRDefault="00157D5F" w:rsidP="00157D5F">
      <w:pPr>
        <w:numPr>
          <w:ilvl w:val="0"/>
          <w:numId w:val="19"/>
        </w:numPr>
        <w:rPr>
          <w:rFonts w:asciiTheme="majorHAnsi" w:hAnsiTheme="majorHAnsi" w:cstheme="majorHAnsi"/>
        </w:rPr>
      </w:pPr>
      <w:r w:rsidRPr="00FC0B03">
        <w:rPr>
          <w:rFonts w:asciiTheme="majorHAnsi" w:hAnsiTheme="majorHAnsi" w:cstheme="majorHAnsi"/>
        </w:rPr>
        <w:t>vēsturiskie patēriņa dati;</w:t>
      </w:r>
    </w:p>
    <w:p w14:paraId="4C8E811A" w14:textId="77777777" w:rsidR="00157D5F" w:rsidRPr="00FC0B03" w:rsidRDefault="00157D5F" w:rsidP="00157D5F">
      <w:pPr>
        <w:numPr>
          <w:ilvl w:val="0"/>
          <w:numId w:val="19"/>
        </w:numPr>
        <w:rPr>
          <w:rFonts w:asciiTheme="majorHAnsi" w:hAnsiTheme="majorHAnsi" w:cstheme="majorHAnsi"/>
        </w:rPr>
      </w:pPr>
      <w:r w:rsidRPr="00FC0B03">
        <w:rPr>
          <w:rFonts w:asciiTheme="majorHAnsi" w:hAnsiTheme="majorHAnsi" w:cstheme="majorHAnsi"/>
        </w:rPr>
        <w:t>vēsturiskie PV dati (ja pieejami);</w:t>
      </w:r>
    </w:p>
    <w:p w14:paraId="11FB9CF6" w14:textId="77777777" w:rsidR="00157D5F" w:rsidRPr="00FC0B03" w:rsidRDefault="00157D5F" w:rsidP="00157D5F">
      <w:pPr>
        <w:numPr>
          <w:ilvl w:val="0"/>
          <w:numId w:val="19"/>
        </w:numPr>
        <w:rPr>
          <w:rFonts w:asciiTheme="majorHAnsi" w:hAnsiTheme="majorHAnsi" w:cstheme="majorHAnsi"/>
        </w:rPr>
      </w:pPr>
      <w:r w:rsidRPr="00FC0B03">
        <w:rPr>
          <w:rFonts w:asciiTheme="majorHAnsi" w:hAnsiTheme="majorHAnsi" w:cstheme="majorHAnsi"/>
        </w:rPr>
        <w:t>meteoroloģiskie prognožu dati;</w:t>
      </w:r>
    </w:p>
    <w:p w14:paraId="7CC14D06" w14:textId="77777777" w:rsidR="00157D5F" w:rsidRPr="00FC0B03" w:rsidRDefault="00157D5F" w:rsidP="00157D5F">
      <w:pPr>
        <w:numPr>
          <w:ilvl w:val="0"/>
          <w:numId w:val="19"/>
        </w:numPr>
        <w:rPr>
          <w:rFonts w:asciiTheme="majorHAnsi" w:hAnsiTheme="majorHAnsi" w:cstheme="majorHAnsi"/>
        </w:rPr>
      </w:pPr>
      <w:r w:rsidRPr="00FC0B03">
        <w:rPr>
          <w:rFonts w:asciiTheme="majorHAnsi" w:hAnsiTheme="majorHAnsi" w:cstheme="majorHAnsi"/>
        </w:rPr>
        <w:t>kalendārā informācija (darba/brīvdienas, svētki u. c.).</w:t>
      </w:r>
    </w:p>
    <w:p w14:paraId="1EB4E035"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4.3.3. Izvaddati:</w:t>
      </w:r>
    </w:p>
    <w:p w14:paraId="1C0A22DA" w14:textId="77777777" w:rsidR="00157D5F" w:rsidRPr="00FC0B03" w:rsidRDefault="00157D5F" w:rsidP="00157D5F">
      <w:pPr>
        <w:numPr>
          <w:ilvl w:val="0"/>
          <w:numId w:val="20"/>
        </w:numPr>
        <w:rPr>
          <w:rFonts w:asciiTheme="majorHAnsi" w:hAnsiTheme="majorHAnsi" w:cstheme="majorHAnsi"/>
        </w:rPr>
      </w:pPr>
      <w:r w:rsidRPr="00FC0B03">
        <w:rPr>
          <w:rFonts w:asciiTheme="majorHAnsi" w:hAnsiTheme="majorHAnsi" w:cstheme="majorHAnsi"/>
        </w:rPr>
        <w:t>prognozes 15 min griezumā;</w:t>
      </w:r>
    </w:p>
    <w:p w14:paraId="4BE7D79E" w14:textId="77777777" w:rsidR="00157D5F" w:rsidRPr="00FC0B03" w:rsidRDefault="00157D5F" w:rsidP="00157D5F">
      <w:pPr>
        <w:numPr>
          <w:ilvl w:val="0"/>
          <w:numId w:val="20"/>
        </w:numPr>
        <w:rPr>
          <w:rFonts w:asciiTheme="majorHAnsi" w:hAnsiTheme="majorHAnsi" w:cstheme="majorHAnsi"/>
        </w:rPr>
      </w:pPr>
      <w:r w:rsidRPr="00FC0B03">
        <w:rPr>
          <w:rFonts w:asciiTheme="majorHAnsi" w:hAnsiTheme="majorHAnsi" w:cstheme="majorHAnsi"/>
        </w:rPr>
        <w:t>prognožu ticamības intervāli;</w:t>
      </w:r>
    </w:p>
    <w:p w14:paraId="18479ABF" w14:textId="77777777" w:rsidR="00157D5F" w:rsidRPr="00FC0B03" w:rsidRDefault="00157D5F" w:rsidP="00157D5F">
      <w:pPr>
        <w:numPr>
          <w:ilvl w:val="0"/>
          <w:numId w:val="20"/>
        </w:numPr>
        <w:rPr>
          <w:rFonts w:asciiTheme="majorHAnsi" w:hAnsiTheme="majorHAnsi" w:cstheme="majorHAnsi"/>
        </w:rPr>
      </w:pPr>
      <w:r w:rsidRPr="00FC0B03">
        <w:rPr>
          <w:rFonts w:asciiTheme="majorHAnsi" w:hAnsiTheme="majorHAnsi" w:cstheme="majorHAnsi"/>
        </w:rPr>
        <w:t>kvalitātes rādītāji (MAPE u. c.) atpakaļpārbaudēs.</w:t>
      </w:r>
    </w:p>
    <w:p w14:paraId="0E085CC5"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4.3.4. Mērķrādītāji:</w:t>
      </w:r>
    </w:p>
    <w:p w14:paraId="71DB9AB3" w14:textId="77777777" w:rsidR="00157D5F" w:rsidRPr="00FC0B03" w:rsidRDefault="00157D5F" w:rsidP="00157D5F">
      <w:pPr>
        <w:numPr>
          <w:ilvl w:val="0"/>
          <w:numId w:val="21"/>
        </w:numPr>
        <w:rPr>
          <w:rFonts w:asciiTheme="majorHAnsi" w:hAnsiTheme="majorHAnsi" w:cstheme="majorHAnsi"/>
        </w:rPr>
      </w:pPr>
      <w:r w:rsidRPr="00FC0B03">
        <w:rPr>
          <w:rFonts w:asciiTheme="majorHAnsi" w:hAnsiTheme="majorHAnsi" w:cstheme="majorHAnsi"/>
        </w:rPr>
        <w:t>prognožu kļūda (MAPE) jāuzlabo no esošajiem aptuveni 15–20% uz aptuveni 8–10% portfeļa līmenī, balstoties uz vismaz 3 mēnešu atpakaļpārbaudes datiem.</w:t>
      </w:r>
    </w:p>
    <w:p w14:paraId="10CABA85"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4.4. Nebalansa noviržu analīze</w:t>
      </w:r>
    </w:p>
    <w:p w14:paraId="4C622C99"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4.4.1. Modulis, salīdzinot prognozes ar faktiskajiem datiem un tirgus cenām, aprēķina prognozēto un faktisko nebalansa pozīciju.</w:t>
      </w:r>
    </w:p>
    <w:p w14:paraId="6D55D0D5"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4.4.2. Jānodrošina:</w:t>
      </w:r>
    </w:p>
    <w:p w14:paraId="103960C3" w14:textId="77777777" w:rsidR="00157D5F" w:rsidRPr="00FC0B03" w:rsidRDefault="00157D5F" w:rsidP="00157D5F">
      <w:pPr>
        <w:numPr>
          <w:ilvl w:val="0"/>
          <w:numId w:val="22"/>
        </w:numPr>
        <w:rPr>
          <w:rFonts w:asciiTheme="majorHAnsi" w:hAnsiTheme="majorHAnsi" w:cstheme="majorHAnsi"/>
        </w:rPr>
      </w:pPr>
      <w:r w:rsidRPr="00FC0B03">
        <w:rPr>
          <w:rFonts w:asciiTheme="majorHAnsi" w:hAnsiTheme="majorHAnsi" w:cstheme="majorHAnsi"/>
        </w:rPr>
        <w:t>detalizēts “plāns vs fakts” skatījums pa 15 min intervāliem;</w:t>
      </w:r>
    </w:p>
    <w:p w14:paraId="0441C32E" w14:textId="77777777" w:rsidR="00783929" w:rsidRPr="00FC0B03" w:rsidRDefault="00157D5F" w:rsidP="00157D5F">
      <w:pPr>
        <w:numPr>
          <w:ilvl w:val="0"/>
          <w:numId w:val="22"/>
        </w:numPr>
        <w:rPr>
          <w:rFonts w:asciiTheme="majorHAnsi" w:hAnsiTheme="majorHAnsi" w:cstheme="majorHAnsi"/>
        </w:rPr>
      </w:pPr>
      <w:r w:rsidRPr="00FC0B03">
        <w:rPr>
          <w:rFonts w:asciiTheme="majorHAnsi" w:hAnsiTheme="majorHAnsi" w:cstheme="majorHAnsi"/>
        </w:rPr>
        <w:t xml:space="preserve">nebalansa izmaksu aprēķins, sadalīts pa komponentēm (tiešais nebalanss, BPS jaudas uzturēšana u. c.); </w:t>
      </w:r>
    </w:p>
    <w:p w14:paraId="69E960E0" w14:textId="77777777" w:rsidR="00783929" w:rsidRPr="00FC0B03" w:rsidRDefault="00783929" w:rsidP="00157D5F">
      <w:pPr>
        <w:numPr>
          <w:ilvl w:val="0"/>
          <w:numId w:val="22"/>
        </w:numPr>
        <w:rPr>
          <w:rFonts w:asciiTheme="majorHAnsi" w:hAnsiTheme="majorHAnsi" w:cstheme="majorHAnsi"/>
        </w:rPr>
      </w:pPr>
      <w:r w:rsidRPr="00FC0B03">
        <w:rPr>
          <w:rFonts w:asciiTheme="majorHAnsi" w:hAnsiTheme="majorHAnsi" w:cstheme="majorHAnsi"/>
        </w:rPr>
        <w:t>iespēja veikt salīdzinājumu starp dažādiem scenārijiem (bez MI; ar MI; ar MI + elastības datu ietekmes modelēšanu scenāriju aprēķinos)</w:t>
      </w:r>
    </w:p>
    <w:p w14:paraId="39364ED0" w14:textId="77777777" w:rsidR="00157D5F" w:rsidRPr="00FC0B03" w:rsidRDefault="00157D5F" w:rsidP="00783929">
      <w:pPr>
        <w:rPr>
          <w:rFonts w:asciiTheme="majorHAnsi" w:hAnsiTheme="majorHAnsi" w:cstheme="majorHAnsi"/>
        </w:rPr>
      </w:pPr>
      <w:r w:rsidRPr="00FC0B03">
        <w:rPr>
          <w:rFonts w:asciiTheme="majorHAnsi" w:hAnsiTheme="majorHAnsi" w:cstheme="majorHAnsi"/>
        </w:rPr>
        <w:t>4.5. Intraday lēmumu atbalsts</w:t>
      </w:r>
    </w:p>
    <w:p w14:paraId="737A4871"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 xml:space="preserve">4.5.1. Modulis, balstoties uz prognozēm, faktiskajiem datiem un cenu signāliem, sagatavo Intraday korekciju ieteikumus (apjoms un laika intervāli), lai mazinātu nebalansu. </w:t>
      </w:r>
    </w:p>
    <w:p w14:paraId="353A10CF"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4.5.2. Prasības:</w:t>
      </w:r>
    </w:p>
    <w:p w14:paraId="0FA3B57C" w14:textId="77777777" w:rsidR="00157D5F" w:rsidRPr="00FC0B03" w:rsidRDefault="00157D5F" w:rsidP="00157D5F">
      <w:pPr>
        <w:numPr>
          <w:ilvl w:val="0"/>
          <w:numId w:val="23"/>
        </w:numPr>
        <w:rPr>
          <w:rFonts w:asciiTheme="majorHAnsi" w:hAnsiTheme="majorHAnsi" w:cstheme="majorHAnsi"/>
        </w:rPr>
      </w:pPr>
      <w:r w:rsidRPr="00FC0B03">
        <w:rPr>
          <w:rFonts w:asciiTheme="majorHAnsi" w:hAnsiTheme="majorHAnsi" w:cstheme="majorHAnsi"/>
        </w:rPr>
        <w:t>konfigurējami sliekšņi, kad ieteikums tiek ģenerēts (piem., prognozētā novirze virs noteikta % vai MWh);</w:t>
      </w:r>
    </w:p>
    <w:p w14:paraId="1676192F" w14:textId="77777777" w:rsidR="00157D5F" w:rsidRPr="00FC0B03" w:rsidRDefault="00157D5F" w:rsidP="00157D5F">
      <w:pPr>
        <w:numPr>
          <w:ilvl w:val="0"/>
          <w:numId w:val="23"/>
        </w:numPr>
        <w:rPr>
          <w:rFonts w:asciiTheme="majorHAnsi" w:hAnsiTheme="majorHAnsi" w:cstheme="majorHAnsi"/>
        </w:rPr>
      </w:pPr>
      <w:r w:rsidRPr="00FC0B03">
        <w:rPr>
          <w:rFonts w:asciiTheme="majorHAnsi" w:hAnsiTheme="majorHAnsi" w:cstheme="majorHAnsi"/>
        </w:rPr>
        <w:t>katram ieteikumam pievienots izmaksu un ietaupījuma aprēķins salīdzinājumā ar bāzes scenāriju;</w:t>
      </w:r>
    </w:p>
    <w:p w14:paraId="4BB0F052" w14:textId="77777777" w:rsidR="00157D5F" w:rsidRPr="00FC0B03" w:rsidRDefault="00157D5F" w:rsidP="00157D5F">
      <w:pPr>
        <w:numPr>
          <w:ilvl w:val="0"/>
          <w:numId w:val="23"/>
        </w:numPr>
        <w:rPr>
          <w:rFonts w:asciiTheme="majorHAnsi" w:hAnsiTheme="majorHAnsi" w:cstheme="majorHAnsi"/>
        </w:rPr>
      </w:pPr>
      <w:r w:rsidRPr="00FC0B03">
        <w:rPr>
          <w:rFonts w:asciiTheme="majorHAnsi" w:hAnsiTheme="majorHAnsi" w:cstheme="majorHAnsi"/>
        </w:rPr>
        <w:t>ieteikumus iespējams eksportēt - būt izmantojamiem Intraday darījumu veikšanai (caur biržas/brokera saskarni).</w:t>
      </w:r>
    </w:p>
    <w:p w14:paraId="5E00683B"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4.5.3. Reakcijas laiks:</w:t>
      </w:r>
    </w:p>
    <w:p w14:paraId="50AB9598" w14:textId="77777777" w:rsidR="00157D5F" w:rsidRPr="00FC0B03" w:rsidRDefault="00157D5F" w:rsidP="00157D5F">
      <w:pPr>
        <w:numPr>
          <w:ilvl w:val="0"/>
          <w:numId w:val="24"/>
        </w:numPr>
        <w:rPr>
          <w:rFonts w:asciiTheme="majorHAnsi" w:hAnsiTheme="majorHAnsi" w:cstheme="majorHAnsi"/>
        </w:rPr>
      </w:pPr>
      <w:r w:rsidRPr="00FC0B03">
        <w:rPr>
          <w:rFonts w:asciiTheme="majorHAnsi" w:hAnsiTheme="majorHAnsi" w:cstheme="majorHAnsi"/>
        </w:rPr>
        <w:t xml:space="preserve">mērķis ir samazināt Intraday situāciju apstrādes ciklu no esošajām minimums 30 min/3 stundām uz sagaidāmi aptuveni 3 minūtēm, ja datu kvalitāte ir atbilstoša. </w:t>
      </w:r>
    </w:p>
    <w:p w14:paraId="6196D337" w14:textId="77777777" w:rsidR="00157D5F" w:rsidRPr="00FC0B03" w:rsidRDefault="00157D5F" w:rsidP="00157D5F">
      <w:pPr>
        <w:rPr>
          <w:rFonts w:asciiTheme="majorHAnsi" w:hAnsiTheme="majorHAnsi" w:cstheme="majorHAnsi"/>
        </w:rPr>
      </w:pPr>
      <w:r w:rsidRPr="00FC0B03">
        <w:rPr>
          <w:rFonts w:asciiTheme="majorHAnsi" w:hAnsiTheme="majorHAnsi" w:cstheme="majorHAnsi"/>
        </w:rPr>
        <w:t>4.5.4. Automatizācija:</w:t>
      </w:r>
    </w:p>
    <w:p w14:paraId="7231CD81" w14:textId="77777777" w:rsidR="00157D5F" w:rsidRPr="00FC0B03" w:rsidRDefault="00157D5F" w:rsidP="00157D5F">
      <w:pPr>
        <w:numPr>
          <w:ilvl w:val="0"/>
          <w:numId w:val="25"/>
        </w:numPr>
        <w:rPr>
          <w:rFonts w:asciiTheme="majorHAnsi" w:hAnsiTheme="majorHAnsi" w:cstheme="majorHAnsi"/>
        </w:rPr>
      </w:pPr>
      <w:r w:rsidRPr="00FC0B03">
        <w:rPr>
          <w:rFonts w:asciiTheme="majorHAnsi" w:hAnsiTheme="majorHAnsi" w:cstheme="majorHAnsi"/>
        </w:rPr>
        <w:t>automatizēta izpilde (t.i., automātiska korekcijas veikšana bez operatora apstiprinājuma) ir atļauta tikai iepriekš definētos, drošos gadījumos;</w:t>
      </w:r>
    </w:p>
    <w:p w14:paraId="7BA5B69C" w14:textId="77777777" w:rsidR="00157D5F" w:rsidRDefault="00157D5F" w:rsidP="00157D5F">
      <w:pPr>
        <w:numPr>
          <w:ilvl w:val="0"/>
          <w:numId w:val="25"/>
        </w:numPr>
        <w:rPr>
          <w:rFonts w:asciiTheme="majorHAnsi" w:hAnsiTheme="majorHAnsi" w:cstheme="majorHAnsi"/>
        </w:rPr>
      </w:pPr>
      <w:r w:rsidRPr="00FC0B03">
        <w:rPr>
          <w:rFonts w:asciiTheme="majorHAnsi" w:hAnsiTheme="majorHAnsi" w:cstheme="majorHAnsi"/>
        </w:rPr>
        <w:t>kritiskām situācijām sistēmā ir jāpaliek operatora apstiprināšanas režīmā (cilvēka uzraudzība).</w:t>
      </w:r>
    </w:p>
    <w:p w14:paraId="51742C78" w14:textId="5041FC2F" w:rsidR="006E679C" w:rsidRPr="006E679C" w:rsidRDefault="006E679C" w:rsidP="006E679C">
      <w:pPr>
        <w:pStyle w:val="ListParagraph"/>
        <w:numPr>
          <w:ilvl w:val="0"/>
          <w:numId w:val="25"/>
        </w:numPr>
        <w:rPr>
          <w:rFonts w:asciiTheme="majorHAnsi" w:hAnsiTheme="majorHAnsi" w:cstheme="majorHAnsi"/>
        </w:rPr>
      </w:pPr>
      <w:r w:rsidRPr="006E679C">
        <w:rPr>
          <w:rFonts w:asciiTheme="majorHAnsi" w:hAnsiTheme="majorHAnsi" w:cstheme="majorHAnsi"/>
        </w:rPr>
        <w:t>“Automatizēto lēmumu īpatsvars” šeit nozīmē automātiski ģenerētu ieteikumu/uzdevumu īpatsvaru; kritiskie lēmumi tiek apstiprināti operatora uzraudzībā saskaņā ar šīs specifikācijas prasībām.</w:t>
      </w:r>
    </w:p>
    <w:p w14:paraId="1F5B7C54"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4.6. Elastības datu integrācija un scenāriju analītika un invertori/BESS testa funkcionalitāte</w:t>
      </w:r>
    </w:p>
    <w:p w14:paraId="651F5A56" w14:textId="55E9B4A4" w:rsidR="00783929" w:rsidRPr="00FC0B03" w:rsidRDefault="00783929" w:rsidP="00783929">
      <w:pPr>
        <w:rPr>
          <w:rFonts w:asciiTheme="majorHAnsi" w:hAnsiTheme="majorHAnsi" w:cstheme="majorHAnsi"/>
        </w:rPr>
      </w:pPr>
      <w:r w:rsidRPr="00FC0B03">
        <w:rPr>
          <w:rFonts w:asciiTheme="majorHAnsi" w:hAnsiTheme="majorHAnsi" w:cstheme="majorHAnsi"/>
        </w:rPr>
        <w:lastRenderedPageBreak/>
        <w:t>4.6.1. Modulim jābūt gatavam izmantot invertoru un BESS telemetriju pilotu objektos, kuros ir izveidota tehniska integrācija un ir tiesisks pamats datu apmaiņai. Telemetrija tiek izmantota prognožu un nebalansa analītikai.</w:t>
      </w:r>
    </w:p>
    <w:p w14:paraId="7ED978F8"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4.6.2. Prasības:</w:t>
      </w:r>
    </w:p>
    <w:p w14:paraId="7802B93A" w14:textId="77777777" w:rsidR="00783929" w:rsidRPr="00FC0B03" w:rsidRDefault="00783929" w:rsidP="00783929">
      <w:pPr>
        <w:numPr>
          <w:ilvl w:val="0"/>
          <w:numId w:val="52"/>
        </w:numPr>
        <w:rPr>
          <w:rFonts w:asciiTheme="majorHAnsi" w:hAnsiTheme="majorHAnsi" w:cstheme="majorHAnsi"/>
        </w:rPr>
      </w:pPr>
      <w:r w:rsidRPr="00FC0B03">
        <w:rPr>
          <w:rFonts w:asciiTheme="majorHAnsi" w:hAnsiTheme="majorHAnsi" w:cstheme="majorHAnsi"/>
        </w:rPr>
        <w:t>invertoru/BESS telemetrijas datu ielāde (piemēram, jauda, SoC, darbības režīmi, stāvokļi u. c.);</w:t>
      </w:r>
    </w:p>
    <w:p w14:paraId="1B88DEEF" w14:textId="77777777" w:rsidR="00783929" w:rsidRPr="00FC0B03" w:rsidRDefault="00783929" w:rsidP="00783929">
      <w:pPr>
        <w:numPr>
          <w:ilvl w:val="0"/>
          <w:numId w:val="52"/>
        </w:numPr>
        <w:rPr>
          <w:rFonts w:asciiTheme="majorHAnsi" w:hAnsiTheme="majorHAnsi" w:cstheme="majorHAnsi"/>
        </w:rPr>
      </w:pPr>
      <w:r w:rsidRPr="00FC0B03">
        <w:rPr>
          <w:rFonts w:asciiTheme="majorHAnsi" w:hAnsiTheme="majorHAnsi" w:cstheme="majorHAnsi"/>
        </w:rPr>
        <w:t>elastības resursu tehnisko robežvērtību (min/max SoC, maksimālais ciklu skaits, jaudas ierobežojumi) uzskaite un izmantošana scenāriju aprēķinos;</w:t>
      </w:r>
    </w:p>
    <w:p w14:paraId="6CDD29D9" w14:textId="77777777" w:rsidR="00783929" w:rsidRPr="00FC0B03" w:rsidRDefault="00783929" w:rsidP="00783929">
      <w:pPr>
        <w:numPr>
          <w:ilvl w:val="0"/>
          <w:numId w:val="52"/>
        </w:numPr>
        <w:rPr>
          <w:rFonts w:asciiTheme="majorHAnsi" w:hAnsiTheme="majorHAnsi" w:cstheme="majorHAnsi"/>
        </w:rPr>
      </w:pPr>
      <w:r w:rsidRPr="00FC0B03">
        <w:rPr>
          <w:rFonts w:asciiTheme="majorHAnsi" w:hAnsiTheme="majorHAnsi" w:cstheme="majorHAnsi"/>
        </w:rPr>
        <w:t>analītikas loģika, kas, ņemot vērā prognozes un cenas, modelē potenciālo invertoru/BESS izmantošanas ietekmi uz nebalansa apjomu un izmaksām (scenāriju līmenī), nevis izpilda tiešas vadības komandas.</w:t>
      </w:r>
    </w:p>
    <w:p w14:paraId="128220FD" w14:textId="52E3E55F" w:rsidR="00F55279" w:rsidRPr="00FC0B03" w:rsidRDefault="00783929" w:rsidP="00783929">
      <w:pPr>
        <w:numPr>
          <w:ilvl w:val="0"/>
          <w:numId w:val="53"/>
        </w:numPr>
        <w:rPr>
          <w:rFonts w:asciiTheme="majorHAnsi" w:hAnsiTheme="majorHAnsi" w:cstheme="majorHAnsi"/>
        </w:rPr>
      </w:pPr>
      <w:r w:rsidRPr="00FC0B03">
        <w:rPr>
          <w:rFonts w:asciiTheme="majorHAnsi" w:hAnsiTheme="majorHAnsi" w:cstheme="majorHAnsi"/>
        </w:rPr>
        <w:t>ja nākotnē tiek veikti atsevišķi testa scenāriji ar aktīvām vadības komandām, visām komandām jābūt pilnībā fiksētām (laiks, apjoms, iemesls, rezultāts), taču šādi testi netiek uzskatīti par obligātu prasību šī iepirkuma ietvaros.</w:t>
      </w:r>
    </w:p>
    <w:p w14:paraId="253855F7"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4.7. Datu kvalitāte un anomāliju detektors</w:t>
      </w:r>
    </w:p>
    <w:p w14:paraId="7D46A637"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4.7.1. Modulis automātiski identificē anomālijas:</w:t>
      </w:r>
    </w:p>
    <w:p w14:paraId="1A6382BF" w14:textId="77777777" w:rsidR="00783929" w:rsidRPr="00FC0B03" w:rsidRDefault="00783929" w:rsidP="00783929">
      <w:pPr>
        <w:numPr>
          <w:ilvl w:val="0"/>
          <w:numId w:val="34"/>
        </w:numPr>
        <w:rPr>
          <w:rFonts w:asciiTheme="majorHAnsi" w:hAnsiTheme="majorHAnsi" w:cstheme="majorHAnsi"/>
        </w:rPr>
      </w:pPr>
      <w:r w:rsidRPr="00FC0B03">
        <w:rPr>
          <w:rFonts w:asciiTheme="majorHAnsi" w:hAnsiTheme="majorHAnsi" w:cstheme="majorHAnsi"/>
        </w:rPr>
        <w:t>iztrūkstoši mērījumi;</w:t>
      </w:r>
    </w:p>
    <w:p w14:paraId="769B891D" w14:textId="77777777" w:rsidR="00783929" w:rsidRPr="00FC0B03" w:rsidRDefault="00783929" w:rsidP="00783929">
      <w:pPr>
        <w:numPr>
          <w:ilvl w:val="0"/>
          <w:numId w:val="34"/>
        </w:numPr>
        <w:rPr>
          <w:rFonts w:asciiTheme="majorHAnsi" w:hAnsiTheme="majorHAnsi" w:cstheme="majorHAnsi"/>
        </w:rPr>
      </w:pPr>
      <w:r w:rsidRPr="00FC0B03">
        <w:rPr>
          <w:rFonts w:asciiTheme="majorHAnsi" w:hAnsiTheme="majorHAnsi" w:cstheme="majorHAnsi"/>
        </w:rPr>
        <w:t>lieli lēcieni;</w:t>
      </w:r>
    </w:p>
    <w:p w14:paraId="47E8126C" w14:textId="77777777" w:rsidR="00783929" w:rsidRPr="00FC0B03" w:rsidRDefault="00783929" w:rsidP="00783929">
      <w:pPr>
        <w:numPr>
          <w:ilvl w:val="0"/>
          <w:numId w:val="34"/>
        </w:numPr>
        <w:rPr>
          <w:rFonts w:asciiTheme="majorHAnsi" w:hAnsiTheme="majorHAnsi" w:cstheme="majorHAnsi"/>
        </w:rPr>
      </w:pPr>
      <w:r w:rsidRPr="00FC0B03">
        <w:rPr>
          <w:rFonts w:asciiTheme="majorHAnsi" w:hAnsiTheme="majorHAnsi" w:cstheme="majorHAnsi"/>
        </w:rPr>
        <w:t>pastāvīgs “0” situācijās, kad tā nevajadzētu būt u. c.</w:t>
      </w:r>
    </w:p>
    <w:p w14:paraId="2D17A0DD"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4.7.2. Prasības:</w:t>
      </w:r>
    </w:p>
    <w:p w14:paraId="7E82F9C6" w14:textId="77777777" w:rsidR="00783929" w:rsidRPr="00FC0B03" w:rsidRDefault="00783929" w:rsidP="00783929">
      <w:pPr>
        <w:numPr>
          <w:ilvl w:val="0"/>
          <w:numId w:val="35"/>
        </w:numPr>
        <w:rPr>
          <w:rFonts w:asciiTheme="majorHAnsi" w:hAnsiTheme="majorHAnsi" w:cstheme="majorHAnsi"/>
        </w:rPr>
      </w:pPr>
      <w:r w:rsidRPr="00FC0B03">
        <w:rPr>
          <w:rFonts w:asciiTheme="majorHAnsi" w:hAnsiTheme="majorHAnsi" w:cstheme="majorHAnsi"/>
        </w:rPr>
        <w:t>automātiska ievaddatu validācija;</w:t>
      </w:r>
    </w:p>
    <w:p w14:paraId="01B529AE" w14:textId="77777777" w:rsidR="00783929" w:rsidRPr="00FC0B03" w:rsidRDefault="00783929" w:rsidP="00783929">
      <w:pPr>
        <w:numPr>
          <w:ilvl w:val="0"/>
          <w:numId w:val="35"/>
        </w:numPr>
        <w:rPr>
          <w:rFonts w:asciiTheme="majorHAnsi" w:hAnsiTheme="majorHAnsi" w:cstheme="majorHAnsi"/>
        </w:rPr>
      </w:pPr>
      <w:r w:rsidRPr="00FC0B03">
        <w:rPr>
          <w:rFonts w:asciiTheme="majorHAnsi" w:hAnsiTheme="majorHAnsi" w:cstheme="majorHAnsi"/>
        </w:rPr>
        <w:t>noteikumu sistēma, kas bloķē automatizētus lēmumus, ja datu kvalitāte ir nepietiekama.</w:t>
      </w:r>
    </w:p>
    <w:p w14:paraId="1E0C985C"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4.8. Operatora portāls</w:t>
      </w:r>
    </w:p>
    <w:p w14:paraId="643DB1FA"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4.8.1. Vienots vadības panelis, kurā redzams:</w:t>
      </w:r>
    </w:p>
    <w:p w14:paraId="2DE1A946" w14:textId="77777777" w:rsidR="00783929" w:rsidRPr="00FC0B03" w:rsidRDefault="00783929" w:rsidP="00783929">
      <w:pPr>
        <w:numPr>
          <w:ilvl w:val="0"/>
          <w:numId w:val="36"/>
        </w:numPr>
        <w:rPr>
          <w:rFonts w:asciiTheme="majorHAnsi" w:hAnsiTheme="majorHAnsi" w:cstheme="majorHAnsi"/>
        </w:rPr>
      </w:pPr>
      <w:r w:rsidRPr="00FC0B03">
        <w:rPr>
          <w:rFonts w:asciiTheme="majorHAnsi" w:hAnsiTheme="majorHAnsi" w:cstheme="majorHAnsi"/>
        </w:rPr>
        <w:t>portfeļa kopējais stāvoklis: prognoze, fakts, novirzes, nebalansa izmaksas;</w:t>
      </w:r>
    </w:p>
    <w:p w14:paraId="4527BA05" w14:textId="77777777" w:rsidR="00783929" w:rsidRPr="00FC0B03" w:rsidRDefault="00783929" w:rsidP="00783929">
      <w:pPr>
        <w:numPr>
          <w:ilvl w:val="0"/>
          <w:numId w:val="36"/>
        </w:numPr>
        <w:rPr>
          <w:rFonts w:asciiTheme="majorHAnsi" w:hAnsiTheme="majorHAnsi" w:cstheme="majorHAnsi"/>
        </w:rPr>
      </w:pPr>
      <w:r w:rsidRPr="00FC0B03">
        <w:rPr>
          <w:rFonts w:asciiTheme="majorHAnsi" w:hAnsiTheme="majorHAnsi" w:cstheme="majorHAnsi"/>
        </w:rPr>
        <w:t>Intraday ieteikumi un to statuss (apstiprināts/noraidīts/izpildīts);</w:t>
      </w:r>
    </w:p>
    <w:p w14:paraId="2018389F" w14:textId="645FE646" w:rsidR="00783929" w:rsidRPr="00FC0B03" w:rsidRDefault="00FC0B03" w:rsidP="00783929">
      <w:pPr>
        <w:numPr>
          <w:ilvl w:val="0"/>
          <w:numId w:val="36"/>
        </w:numPr>
        <w:rPr>
          <w:rFonts w:asciiTheme="majorHAnsi" w:hAnsiTheme="majorHAnsi" w:cstheme="majorHAnsi"/>
        </w:rPr>
      </w:pPr>
      <w:r w:rsidRPr="00FC0B03">
        <w:rPr>
          <w:rFonts w:asciiTheme="majorHAnsi" w:eastAsia="Times New Roman" w:hAnsiTheme="majorHAnsi" w:cstheme="majorHAnsi"/>
          <w:color w:val="0E0E0E"/>
          <w:kern w:val="0"/>
          <w:lang w:eastAsia="en-GB"/>
          <w14:ligatures w14:val="none"/>
        </w:rPr>
        <w:t>BESS/invertoru integrācijas un testu režīma statuss (telemetrija, savienojums, scenāriju testu aktivizācija), neietverot obligātu tiešu vadības komandu izpildi šī iepirkuma ietvaros.</w:t>
      </w:r>
    </w:p>
    <w:p w14:paraId="5C40E754" w14:textId="77777777" w:rsidR="00783929" w:rsidRPr="00FC0B03" w:rsidRDefault="00783929" w:rsidP="00783929">
      <w:pPr>
        <w:numPr>
          <w:ilvl w:val="0"/>
          <w:numId w:val="36"/>
        </w:numPr>
        <w:rPr>
          <w:rFonts w:asciiTheme="majorHAnsi" w:hAnsiTheme="majorHAnsi" w:cstheme="majorHAnsi"/>
        </w:rPr>
      </w:pPr>
      <w:r w:rsidRPr="00FC0B03">
        <w:rPr>
          <w:rFonts w:asciiTheme="majorHAnsi" w:hAnsiTheme="majorHAnsi" w:cstheme="majorHAnsi"/>
        </w:rPr>
        <w:t>datu kvalitātes brīdinājumi.</w:t>
      </w:r>
    </w:p>
    <w:p w14:paraId="40F76ADD"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4.8.2. Lietotāju lomas:</w:t>
      </w:r>
    </w:p>
    <w:p w14:paraId="6ECB88F5" w14:textId="77777777" w:rsidR="00783929" w:rsidRPr="00FC0B03" w:rsidRDefault="00783929" w:rsidP="00783929">
      <w:pPr>
        <w:numPr>
          <w:ilvl w:val="0"/>
          <w:numId w:val="37"/>
        </w:numPr>
        <w:rPr>
          <w:rFonts w:asciiTheme="majorHAnsi" w:hAnsiTheme="majorHAnsi" w:cstheme="majorHAnsi"/>
        </w:rPr>
      </w:pPr>
      <w:r w:rsidRPr="00FC0B03">
        <w:rPr>
          <w:rFonts w:asciiTheme="majorHAnsi" w:hAnsiTheme="majorHAnsi" w:cstheme="majorHAnsi"/>
        </w:rPr>
        <w:t>“Operators”, “Analītiķis”, “Administrators” u. c., ar atšķirīgām piekļuves tiesībām.</w:t>
      </w:r>
    </w:p>
    <w:p w14:paraId="115215B2"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4.8.3. Eksports:</w:t>
      </w:r>
    </w:p>
    <w:p w14:paraId="1516F65A" w14:textId="77777777" w:rsidR="00783929" w:rsidRPr="00FC0B03" w:rsidRDefault="00783929" w:rsidP="00783929">
      <w:pPr>
        <w:numPr>
          <w:ilvl w:val="0"/>
          <w:numId w:val="38"/>
        </w:numPr>
        <w:rPr>
          <w:rFonts w:asciiTheme="majorHAnsi" w:hAnsiTheme="majorHAnsi" w:cstheme="majorHAnsi"/>
        </w:rPr>
      </w:pPr>
      <w:r w:rsidRPr="00FC0B03">
        <w:rPr>
          <w:rFonts w:asciiTheme="majorHAnsi" w:hAnsiTheme="majorHAnsi" w:cstheme="majorHAnsi"/>
        </w:rPr>
        <w:t>atskaites PDF/Excel formā;</w:t>
      </w:r>
    </w:p>
    <w:p w14:paraId="2CF5A660" w14:textId="77777777" w:rsidR="00783929" w:rsidRPr="00FC0B03" w:rsidRDefault="00783929" w:rsidP="00783929">
      <w:pPr>
        <w:numPr>
          <w:ilvl w:val="0"/>
          <w:numId w:val="38"/>
        </w:numPr>
        <w:rPr>
          <w:rFonts w:asciiTheme="majorHAnsi" w:hAnsiTheme="majorHAnsi" w:cstheme="majorHAnsi"/>
        </w:rPr>
      </w:pPr>
      <w:r w:rsidRPr="00FC0B03">
        <w:rPr>
          <w:rFonts w:asciiTheme="majorHAnsi" w:hAnsiTheme="majorHAnsi" w:cstheme="majorHAnsi"/>
        </w:rPr>
        <w:t>CSV/XLSX eksports analīzei.</w:t>
      </w:r>
    </w:p>
    <w:p w14:paraId="66FC75E2"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4.9. Simulators un back-testing</w:t>
      </w:r>
    </w:p>
    <w:p w14:paraId="7E43441A"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 xml:space="preserve">4.9.1. Modulim jānodrošina scenāriju simulācija/back-testing, izmantojot vēsturiskos datus: </w:t>
      </w:r>
    </w:p>
    <w:p w14:paraId="759893F3" w14:textId="77777777" w:rsidR="00783929" w:rsidRPr="00FC0B03" w:rsidRDefault="00783929" w:rsidP="00783929">
      <w:pPr>
        <w:numPr>
          <w:ilvl w:val="0"/>
          <w:numId w:val="39"/>
        </w:numPr>
        <w:rPr>
          <w:rFonts w:asciiTheme="majorHAnsi" w:hAnsiTheme="majorHAnsi" w:cstheme="majorHAnsi"/>
        </w:rPr>
      </w:pPr>
      <w:r w:rsidRPr="00FC0B03">
        <w:rPr>
          <w:rFonts w:asciiTheme="majorHAnsi" w:hAnsiTheme="majorHAnsi" w:cstheme="majorHAnsi"/>
        </w:rPr>
        <w:t>“bāzes scenārijs” (esošie manuālie procesi);</w:t>
      </w:r>
    </w:p>
    <w:p w14:paraId="7970D0E1" w14:textId="77777777" w:rsidR="00783929" w:rsidRPr="00FC0B03" w:rsidRDefault="00783929" w:rsidP="00783929">
      <w:pPr>
        <w:numPr>
          <w:ilvl w:val="0"/>
          <w:numId w:val="39"/>
        </w:numPr>
        <w:rPr>
          <w:rFonts w:asciiTheme="majorHAnsi" w:hAnsiTheme="majorHAnsi" w:cstheme="majorHAnsi"/>
        </w:rPr>
      </w:pPr>
      <w:r w:rsidRPr="00FC0B03">
        <w:rPr>
          <w:rFonts w:asciiTheme="majorHAnsi" w:hAnsiTheme="majorHAnsi" w:cstheme="majorHAnsi"/>
        </w:rPr>
        <w:t>“MI prognozes + ieteikumi”;</w:t>
      </w:r>
    </w:p>
    <w:p w14:paraId="780A2E76" w14:textId="77777777" w:rsidR="00783929" w:rsidRPr="00FC0B03" w:rsidRDefault="00783929" w:rsidP="00783929">
      <w:pPr>
        <w:numPr>
          <w:ilvl w:val="0"/>
          <w:numId w:val="39"/>
        </w:numPr>
        <w:rPr>
          <w:rFonts w:asciiTheme="majorHAnsi" w:hAnsiTheme="majorHAnsi" w:cstheme="majorHAnsi"/>
        </w:rPr>
      </w:pPr>
      <w:r w:rsidRPr="00FC0B03">
        <w:rPr>
          <w:rFonts w:asciiTheme="majorHAnsi" w:hAnsiTheme="majorHAnsi" w:cstheme="majorHAnsi"/>
        </w:rPr>
        <w:t>“MI prognozes + ieteikumi + elastības vadība” (ja piemērojams).</w:t>
      </w:r>
    </w:p>
    <w:p w14:paraId="39A56645"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4.9.2. Izeja:</w:t>
      </w:r>
    </w:p>
    <w:p w14:paraId="19513338" w14:textId="77777777" w:rsidR="00783929" w:rsidRPr="00FC0B03" w:rsidRDefault="00783929" w:rsidP="00783929">
      <w:pPr>
        <w:numPr>
          <w:ilvl w:val="0"/>
          <w:numId w:val="40"/>
        </w:numPr>
        <w:rPr>
          <w:rFonts w:asciiTheme="majorHAnsi" w:hAnsiTheme="majorHAnsi" w:cstheme="majorHAnsi"/>
        </w:rPr>
      </w:pPr>
      <w:r w:rsidRPr="00FC0B03">
        <w:rPr>
          <w:rFonts w:asciiTheme="majorHAnsi" w:hAnsiTheme="majorHAnsi" w:cstheme="majorHAnsi"/>
        </w:rPr>
        <w:t>kopējās nebalansa izmaksas un ietaupījums pa scenārijiem;</w:t>
      </w:r>
    </w:p>
    <w:p w14:paraId="5B26B020" w14:textId="77777777" w:rsidR="00783929" w:rsidRPr="00FC0B03" w:rsidRDefault="00783929" w:rsidP="00783929">
      <w:pPr>
        <w:numPr>
          <w:ilvl w:val="0"/>
          <w:numId w:val="40"/>
        </w:numPr>
        <w:rPr>
          <w:rFonts w:asciiTheme="majorHAnsi" w:hAnsiTheme="majorHAnsi" w:cstheme="majorHAnsi"/>
        </w:rPr>
      </w:pPr>
      <w:r w:rsidRPr="00FC0B03">
        <w:rPr>
          <w:rFonts w:asciiTheme="majorHAnsi" w:hAnsiTheme="majorHAnsi" w:cstheme="majorHAnsi"/>
        </w:rPr>
        <w:t xml:space="preserve">ietaupījums uz 1 MWh (EUR/MWh) – kā pamats success-fee modelim (piem., ap 1.40–2.34 EUR/MWh, no kā klients un L.C.E. sadala daļu). </w:t>
      </w:r>
    </w:p>
    <w:p w14:paraId="763FB215"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4.10. MI modeļu uzturēšana</w:t>
      </w:r>
    </w:p>
    <w:p w14:paraId="049FD681"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4.10.1. Jāparedz:</w:t>
      </w:r>
    </w:p>
    <w:p w14:paraId="02F4C48B" w14:textId="77777777" w:rsidR="00783929" w:rsidRPr="00FC0B03" w:rsidRDefault="00783929" w:rsidP="00783929">
      <w:pPr>
        <w:numPr>
          <w:ilvl w:val="0"/>
          <w:numId w:val="41"/>
        </w:numPr>
        <w:rPr>
          <w:rFonts w:asciiTheme="majorHAnsi" w:hAnsiTheme="majorHAnsi" w:cstheme="majorHAnsi"/>
        </w:rPr>
      </w:pPr>
      <w:r w:rsidRPr="00FC0B03">
        <w:rPr>
          <w:rFonts w:asciiTheme="majorHAnsi" w:hAnsiTheme="majorHAnsi" w:cstheme="majorHAnsi"/>
        </w:rPr>
        <w:lastRenderedPageBreak/>
        <w:t>regulāra modeļu atjaunošana ar jaunākajiem datiem;</w:t>
      </w:r>
    </w:p>
    <w:p w14:paraId="0324CC63" w14:textId="77777777" w:rsidR="00783929" w:rsidRPr="00FC0B03" w:rsidRDefault="00783929" w:rsidP="00783929">
      <w:pPr>
        <w:numPr>
          <w:ilvl w:val="0"/>
          <w:numId w:val="41"/>
        </w:numPr>
        <w:rPr>
          <w:rFonts w:asciiTheme="majorHAnsi" w:hAnsiTheme="majorHAnsi" w:cstheme="majorHAnsi"/>
        </w:rPr>
      </w:pPr>
      <w:r w:rsidRPr="00FC0B03">
        <w:rPr>
          <w:rFonts w:asciiTheme="majorHAnsi" w:hAnsiTheme="majorHAnsi" w:cstheme="majorHAnsi"/>
        </w:rPr>
        <w:t>pilna pārmācīšana, balstoties uz sezonalitāti, portfeļa izmaiņām un kvalitātes monitoringu;</w:t>
      </w:r>
    </w:p>
    <w:p w14:paraId="5E76A56E" w14:textId="5E26B85A" w:rsidR="002A7A48" w:rsidRPr="00FC0B03" w:rsidRDefault="00783929" w:rsidP="00783929">
      <w:pPr>
        <w:numPr>
          <w:ilvl w:val="0"/>
          <w:numId w:val="41"/>
        </w:numPr>
        <w:rPr>
          <w:rFonts w:asciiTheme="majorHAnsi" w:hAnsiTheme="majorHAnsi" w:cstheme="majorHAnsi"/>
        </w:rPr>
      </w:pPr>
      <w:r w:rsidRPr="00FC0B03">
        <w:rPr>
          <w:rFonts w:asciiTheme="majorHAnsi" w:hAnsiTheme="majorHAnsi" w:cstheme="majorHAnsi"/>
        </w:rPr>
        <w:t xml:space="preserve">kvalitātes krituma detektors (piem., MAPE definēta robeža), kas aktivizē pārmācīšanu. </w:t>
      </w:r>
    </w:p>
    <w:p w14:paraId="08B5562A" w14:textId="2ABE6088" w:rsidR="00783929" w:rsidRPr="00FC0B03" w:rsidRDefault="00783929" w:rsidP="00783929">
      <w:pPr>
        <w:rPr>
          <w:rFonts w:asciiTheme="majorHAnsi" w:hAnsiTheme="majorHAnsi" w:cstheme="majorHAnsi"/>
        </w:rPr>
      </w:pPr>
      <w:r w:rsidRPr="00FC0B03">
        <w:rPr>
          <w:rFonts w:asciiTheme="majorHAnsi" w:hAnsiTheme="majorHAnsi" w:cstheme="majorHAnsi"/>
        </w:rPr>
        <w:t xml:space="preserve">4.10.2. </w:t>
      </w:r>
      <w:r w:rsidR="00E96769" w:rsidRPr="00FC0B03">
        <w:rPr>
          <w:rFonts w:asciiTheme="majorHAnsi" w:hAnsiTheme="majorHAnsi" w:cstheme="majorHAnsi"/>
        </w:rPr>
        <w:t>Ir j</w:t>
      </w:r>
      <w:r w:rsidRPr="00FC0B03">
        <w:rPr>
          <w:rFonts w:asciiTheme="majorHAnsi" w:hAnsiTheme="majorHAnsi" w:cstheme="majorHAnsi"/>
        </w:rPr>
        <w:t>āuztur:</w:t>
      </w:r>
    </w:p>
    <w:p w14:paraId="2FB73DA2" w14:textId="77777777" w:rsidR="00783929" w:rsidRPr="00FC0B03" w:rsidRDefault="00783929" w:rsidP="00783929">
      <w:pPr>
        <w:numPr>
          <w:ilvl w:val="0"/>
          <w:numId w:val="42"/>
        </w:numPr>
        <w:rPr>
          <w:rFonts w:asciiTheme="majorHAnsi" w:hAnsiTheme="majorHAnsi" w:cstheme="majorHAnsi"/>
        </w:rPr>
      </w:pPr>
      <w:r w:rsidRPr="00FC0B03">
        <w:rPr>
          <w:rFonts w:asciiTheme="majorHAnsi" w:hAnsiTheme="majorHAnsi" w:cstheme="majorHAnsi"/>
        </w:rPr>
        <w:t>modeļu versiju reģistrs;</w:t>
      </w:r>
    </w:p>
    <w:p w14:paraId="23C4486B" w14:textId="77777777" w:rsidR="00783929" w:rsidRPr="00FC0B03" w:rsidRDefault="00783929" w:rsidP="00783929">
      <w:pPr>
        <w:numPr>
          <w:ilvl w:val="0"/>
          <w:numId w:val="42"/>
        </w:numPr>
        <w:rPr>
          <w:rFonts w:asciiTheme="majorHAnsi" w:hAnsiTheme="majorHAnsi" w:cstheme="majorHAnsi"/>
        </w:rPr>
      </w:pPr>
      <w:r w:rsidRPr="00FC0B03">
        <w:rPr>
          <w:rFonts w:asciiTheme="majorHAnsi" w:hAnsiTheme="majorHAnsi" w:cstheme="majorHAnsi"/>
        </w:rPr>
        <w:t>KPI monitorings;</w:t>
      </w:r>
    </w:p>
    <w:p w14:paraId="72BC0DB4" w14:textId="39DE06A4" w:rsidR="00783929" w:rsidRPr="00FC0B03" w:rsidRDefault="00783929" w:rsidP="00783929">
      <w:pPr>
        <w:numPr>
          <w:ilvl w:val="0"/>
          <w:numId w:val="42"/>
        </w:numPr>
        <w:rPr>
          <w:rFonts w:asciiTheme="majorHAnsi" w:hAnsiTheme="majorHAnsi" w:cstheme="majorHAnsi"/>
        </w:rPr>
      </w:pPr>
      <w:r w:rsidRPr="00FC0B03">
        <w:rPr>
          <w:rFonts w:asciiTheme="majorHAnsi" w:hAnsiTheme="majorHAnsi" w:cstheme="majorHAnsi"/>
        </w:rPr>
        <w:t>iespēja atgriezties pie iepriekšējās modeļa versijas, ja jaunā versija nav apmierinoša.</w:t>
      </w:r>
    </w:p>
    <w:p w14:paraId="46B2CCF2" w14:textId="77777777" w:rsidR="00FC0B03" w:rsidRDefault="00FC0B03" w:rsidP="00783929">
      <w:pPr>
        <w:rPr>
          <w:rFonts w:asciiTheme="majorHAnsi" w:hAnsiTheme="majorHAnsi" w:cstheme="majorHAnsi"/>
        </w:rPr>
      </w:pPr>
    </w:p>
    <w:p w14:paraId="7BE902D1" w14:textId="77777777" w:rsidR="00FC0B03" w:rsidRDefault="00FC0B03" w:rsidP="00783929">
      <w:pPr>
        <w:rPr>
          <w:rFonts w:asciiTheme="majorHAnsi" w:hAnsiTheme="majorHAnsi" w:cstheme="majorHAnsi"/>
        </w:rPr>
      </w:pPr>
    </w:p>
    <w:p w14:paraId="5E8A4B4D" w14:textId="77777777" w:rsidR="00FC0B03" w:rsidRDefault="00FC0B03" w:rsidP="00783929">
      <w:pPr>
        <w:rPr>
          <w:rFonts w:asciiTheme="majorHAnsi" w:hAnsiTheme="majorHAnsi" w:cstheme="majorHAnsi"/>
        </w:rPr>
      </w:pPr>
    </w:p>
    <w:p w14:paraId="3366A09C" w14:textId="351E17F8" w:rsidR="00783929" w:rsidRPr="00FC0B03" w:rsidRDefault="00783929" w:rsidP="00783929">
      <w:pPr>
        <w:rPr>
          <w:rFonts w:asciiTheme="majorHAnsi" w:hAnsiTheme="majorHAnsi" w:cstheme="majorHAnsi"/>
        </w:rPr>
      </w:pPr>
      <w:r w:rsidRPr="00FC0B03">
        <w:rPr>
          <w:rFonts w:asciiTheme="majorHAnsi" w:hAnsiTheme="majorHAnsi" w:cstheme="majorHAnsi"/>
        </w:rPr>
        <w:t>5. Ne-funkcionālās prasības</w:t>
      </w:r>
    </w:p>
    <w:p w14:paraId="032C6202"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5.1. Veiktspēja</w:t>
      </w:r>
    </w:p>
    <w:p w14:paraId="58B89854" w14:textId="77777777" w:rsidR="00783929" w:rsidRPr="00FC0B03" w:rsidRDefault="00783929" w:rsidP="00783929">
      <w:pPr>
        <w:numPr>
          <w:ilvl w:val="0"/>
          <w:numId w:val="43"/>
        </w:numPr>
        <w:rPr>
          <w:rFonts w:asciiTheme="majorHAnsi" w:hAnsiTheme="majorHAnsi" w:cstheme="majorHAnsi"/>
        </w:rPr>
      </w:pPr>
      <w:r w:rsidRPr="00FC0B03">
        <w:rPr>
          <w:rFonts w:asciiTheme="majorHAnsi" w:hAnsiTheme="majorHAnsi" w:cstheme="majorHAnsi"/>
        </w:rPr>
        <w:t>Modulim jāspēj apstrādāt portfeli ar vismaz 12 000 objektiem un 24 mēnešu vēsturi bez būtiskas veiktspējas degradācijas;</w:t>
      </w:r>
    </w:p>
    <w:p w14:paraId="1489C371" w14:textId="7E26601A" w:rsidR="00F55279" w:rsidRPr="00FC0B03" w:rsidRDefault="00783929" w:rsidP="00783929">
      <w:pPr>
        <w:numPr>
          <w:ilvl w:val="0"/>
          <w:numId w:val="43"/>
        </w:numPr>
        <w:rPr>
          <w:rFonts w:asciiTheme="majorHAnsi" w:hAnsiTheme="majorHAnsi" w:cstheme="majorHAnsi"/>
        </w:rPr>
      </w:pPr>
      <w:r w:rsidRPr="00FC0B03">
        <w:rPr>
          <w:rFonts w:asciiTheme="majorHAnsi" w:hAnsiTheme="majorHAnsi" w:cstheme="majorHAnsi"/>
        </w:rPr>
        <w:t xml:space="preserve">tipiski </w:t>
      </w:r>
      <w:r w:rsidR="002A7A48" w:rsidRPr="00FC0B03">
        <w:rPr>
          <w:rFonts w:asciiTheme="majorHAnsi" w:hAnsiTheme="majorHAnsi" w:cstheme="majorHAnsi"/>
        </w:rPr>
        <w:t>uzdevumi</w:t>
      </w:r>
      <w:r w:rsidRPr="00FC0B03">
        <w:rPr>
          <w:rFonts w:asciiTheme="majorHAnsi" w:hAnsiTheme="majorHAnsi" w:cstheme="majorHAnsi"/>
        </w:rPr>
        <w:t xml:space="preserve"> (filtrs pēc portfeļa, objekta un perioda) jāapstrādā dažu sekunžu laikā.</w:t>
      </w:r>
    </w:p>
    <w:p w14:paraId="041B81D9"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5.2. Drošība un GDPR</w:t>
      </w:r>
    </w:p>
    <w:p w14:paraId="2E51135C" w14:textId="77777777" w:rsidR="00783929" w:rsidRPr="00FC0B03" w:rsidRDefault="00783929" w:rsidP="00783929">
      <w:pPr>
        <w:numPr>
          <w:ilvl w:val="0"/>
          <w:numId w:val="44"/>
        </w:numPr>
        <w:rPr>
          <w:rFonts w:asciiTheme="majorHAnsi" w:hAnsiTheme="majorHAnsi" w:cstheme="majorHAnsi"/>
        </w:rPr>
      </w:pPr>
      <w:r w:rsidRPr="00FC0B03">
        <w:rPr>
          <w:rFonts w:asciiTheme="majorHAnsi" w:hAnsiTheme="majorHAnsi" w:cstheme="majorHAnsi"/>
        </w:rPr>
        <w:t xml:space="preserve">visi savienojumi starp komponentēm </w:t>
      </w:r>
      <w:r w:rsidR="002A7A48" w:rsidRPr="00FC0B03">
        <w:rPr>
          <w:rFonts w:asciiTheme="majorHAnsi" w:hAnsiTheme="majorHAnsi" w:cstheme="majorHAnsi"/>
        </w:rPr>
        <w:t>ir</w:t>
      </w:r>
      <w:r w:rsidRPr="00FC0B03">
        <w:rPr>
          <w:rFonts w:asciiTheme="majorHAnsi" w:hAnsiTheme="majorHAnsi" w:cstheme="majorHAnsi"/>
        </w:rPr>
        <w:t xml:space="preserve"> šifrēti;</w:t>
      </w:r>
    </w:p>
    <w:p w14:paraId="77608CBB" w14:textId="77777777" w:rsidR="00783929" w:rsidRPr="00FC0B03" w:rsidRDefault="00783929" w:rsidP="00783929">
      <w:pPr>
        <w:numPr>
          <w:ilvl w:val="0"/>
          <w:numId w:val="44"/>
        </w:numPr>
        <w:rPr>
          <w:rFonts w:asciiTheme="majorHAnsi" w:hAnsiTheme="majorHAnsi" w:cstheme="majorHAnsi"/>
        </w:rPr>
      </w:pPr>
      <w:r w:rsidRPr="00FC0B03">
        <w:rPr>
          <w:rFonts w:asciiTheme="majorHAnsi" w:hAnsiTheme="majorHAnsi" w:cstheme="majorHAnsi"/>
        </w:rPr>
        <w:t>lomu bāzēta piekļuves kontrole;</w:t>
      </w:r>
    </w:p>
    <w:p w14:paraId="6AB19FDE" w14:textId="5CDCA231" w:rsidR="00FC0B03" w:rsidRPr="00FC0B03" w:rsidRDefault="00FC0B03" w:rsidP="00783929">
      <w:pPr>
        <w:numPr>
          <w:ilvl w:val="0"/>
          <w:numId w:val="44"/>
        </w:numPr>
        <w:rPr>
          <w:rFonts w:asciiTheme="majorHAnsi" w:hAnsiTheme="majorHAnsi" w:cstheme="majorHAnsi"/>
        </w:rPr>
      </w:pPr>
      <w:r w:rsidRPr="00FC0B03">
        <w:rPr>
          <w:rFonts w:asciiTheme="majorHAnsi" w:eastAsia="Times New Roman" w:hAnsiTheme="majorHAnsi" w:cstheme="majorHAnsi"/>
          <w:color w:val="0E0E0E"/>
          <w:kern w:val="0"/>
          <w:lang w:eastAsia="en-GB"/>
          <w14:ligatures w14:val="none"/>
        </w:rPr>
        <w:t>auditējami žurnāli galvenajiem notikumiem (pieslēgšanās, konfigurācijas izmaiņas, Intraday lēmumi/ieteikumi, scenāriju aprēķini, datu importa/eksporta operācijas). Ja tiek aktivizēti atsevišķi vadības testu scenāriji, auditē arī vadības komandu mēģinājumus/komandu žurnālus (laiks, apjoms, iemesls, rezultāts).</w:t>
      </w:r>
    </w:p>
    <w:p w14:paraId="04C538F3" w14:textId="22A68E66" w:rsidR="00783929" w:rsidRPr="00FC0B03" w:rsidRDefault="00783929" w:rsidP="00783929">
      <w:pPr>
        <w:numPr>
          <w:ilvl w:val="0"/>
          <w:numId w:val="44"/>
        </w:numPr>
        <w:rPr>
          <w:rFonts w:asciiTheme="majorHAnsi" w:hAnsiTheme="majorHAnsi" w:cstheme="majorHAnsi"/>
        </w:rPr>
      </w:pPr>
      <w:r w:rsidRPr="00FC0B03">
        <w:rPr>
          <w:rFonts w:asciiTheme="majorHAnsi" w:hAnsiTheme="majorHAnsi" w:cstheme="majorHAnsi"/>
        </w:rPr>
        <w:t xml:space="preserve">datu minimizācija un datu apstrāde atbilstoši GDPR prasībām (t.sk. klientu pilnvarojumi, termiņi, apstrādātāju līgumi). </w:t>
      </w:r>
    </w:p>
    <w:p w14:paraId="1D267D79"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5.3. Mērogojamība un uzturēšana</w:t>
      </w:r>
    </w:p>
    <w:p w14:paraId="68A85176" w14:textId="77777777" w:rsidR="00783929" w:rsidRPr="00FC0B03" w:rsidRDefault="00783929" w:rsidP="00783929">
      <w:pPr>
        <w:numPr>
          <w:ilvl w:val="0"/>
          <w:numId w:val="45"/>
        </w:numPr>
        <w:rPr>
          <w:rFonts w:asciiTheme="majorHAnsi" w:hAnsiTheme="majorHAnsi" w:cstheme="majorHAnsi"/>
        </w:rPr>
      </w:pPr>
      <w:r w:rsidRPr="00FC0B03">
        <w:rPr>
          <w:rFonts w:asciiTheme="majorHAnsi" w:hAnsiTheme="majorHAnsi" w:cstheme="majorHAnsi"/>
        </w:rPr>
        <w:t>arhitektūrai jāļauj palielināt objektu skaitu bez proporcionāla uzturēšanas izmaksu pieauguma;</w:t>
      </w:r>
    </w:p>
    <w:p w14:paraId="61B39541" w14:textId="7BD2C3E5" w:rsidR="00783929" w:rsidRPr="00FC0B03" w:rsidRDefault="00783929" w:rsidP="00783929">
      <w:pPr>
        <w:numPr>
          <w:ilvl w:val="0"/>
          <w:numId w:val="45"/>
        </w:numPr>
        <w:rPr>
          <w:rFonts w:asciiTheme="majorHAnsi" w:hAnsiTheme="majorHAnsi" w:cstheme="majorHAnsi"/>
        </w:rPr>
      </w:pPr>
      <w:r w:rsidRPr="00FC0B03">
        <w:rPr>
          <w:rFonts w:asciiTheme="majorHAnsi" w:hAnsiTheme="majorHAnsi" w:cstheme="majorHAnsi"/>
        </w:rPr>
        <w:t xml:space="preserve">jābūt paredzētai iespēja migrēt </w:t>
      </w:r>
      <w:r w:rsidR="00E96769" w:rsidRPr="00FC0B03">
        <w:rPr>
          <w:rFonts w:asciiTheme="majorHAnsi" w:hAnsiTheme="majorHAnsi" w:cstheme="majorHAnsi"/>
        </w:rPr>
        <w:t xml:space="preserve">programmatūru </w:t>
      </w:r>
      <w:r w:rsidRPr="00FC0B03">
        <w:rPr>
          <w:rFonts w:asciiTheme="majorHAnsi" w:hAnsiTheme="majorHAnsi" w:cstheme="majorHAnsi"/>
        </w:rPr>
        <w:t>uz</w:t>
      </w:r>
      <w:r w:rsidR="00E96769" w:rsidRPr="00FC0B03">
        <w:rPr>
          <w:rFonts w:asciiTheme="majorHAnsi" w:hAnsiTheme="majorHAnsi" w:cstheme="majorHAnsi"/>
        </w:rPr>
        <w:t xml:space="preserve"> al</w:t>
      </w:r>
      <w:r w:rsidR="006E679C">
        <w:rPr>
          <w:rFonts w:asciiTheme="majorHAnsi" w:hAnsiTheme="majorHAnsi" w:cstheme="majorHAnsi"/>
        </w:rPr>
        <w:t>t</w:t>
      </w:r>
      <w:r w:rsidR="00E96769" w:rsidRPr="00FC0B03">
        <w:rPr>
          <w:rFonts w:asciiTheme="majorHAnsi" w:hAnsiTheme="majorHAnsi" w:cstheme="majorHAnsi"/>
        </w:rPr>
        <w:t xml:space="preserve">ernatīvu </w:t>
      </w:r>
      <w:r w:rsidRPr="00FC0B03">
        <w:rPr>
          <w:rFonts w:asciiTheme="majorHAnsi" w:hAnsiTheme="majorHAnsi" w:cstheme="majorHAnsi"/>
        </w:rPr>
        <w:t>mākoņvidi (AWS/Azure u. c.), ja tas ir nepieciešams.</w:t>
      </w:r>
    </w:p>
    <w:p w14:paraId="43C3A00B" w14:textId="7B48E907" w:rsidR="00783929" w:rsidRPr="00FC0B03" w:rsidRDefault="00FC0B03" w:rsidP="00783929">
      <w:pPr>
        <w:rPr>
          <w:rFonts w:asciiTheme="majorHAnsi" w:hAnsiTheme="majorHAnsi" w:cstheme="majorHAnsi"/>
        </w:rPr>
      </w:pPr>
      <w:r>
        <w:rPr>
          <w:rFonts w:asciiTheme="majorHAnsi" w:hAnsiTheme="majorHAnsi" w:cstheme="majorHAnsi"/>
        </w:rPr>
        <w:t xml:space="preserve">5.4. </w:t>
      </w:r>
      <w:r w:rsidR="00783929" w:rsidRPr="00FC0B03">
        <w:rPr>
          <w:rFonts w:asciiTheme="majorHAnsi" w:hAnsiTheme="majorHAnsi" w:cstheme="majorHAnsi"/>
        </w:rPr>
        <w:t>Testēšana, dokumentācija, apmācības</w:t>
      </w:r>
    </w:p>
    <w:p w14:paraId="42DFA801" w14:textId="77777777" w:rsidR="00783929" w:rsidRPr="00FC0B03" w:rsidRDefault="00783929" w:rsidP="00783929">
      <w:pPr>
        <w:numPr>
          <w:ilvl w:val="0"/>
          <w:numId w:val="46"/>
        </w:numPr>
        <w:rPr>
          <w:rFonts w:asciiTheme="majorHAnsi" w:hAnsiTheme="majorHAnsi" w:cstheme="majorHAnsi"/>
        </w:rPr>
      </w:pPr>
      <w:r w:rsidRPr="00FC0B03">
        <w:rPr>
          <w:rFonts w:asciiTheme="majorHAnsi" w:hAnsiTheme="majorHAnsi" w:cstheme="majorHAnsi"/>
        </w:rPr>
        <w:t>moduļu testi kritiskajām biznesa funkcijām;</w:t>
      </w:r>
    </w:p>
    <w:p w14:paraId="193CF852" w14:textId="77777777" w:rsidR="00783929" w:rsidRPr="00FC0B03" w:rsidRDefault="00783929" w:rsidP="00783929">
      <w:pPr>
        <w:numPr>
          <w:ilvl w:val="0"/>
          <w:numId w:val="46"/>
        </w:numPr>
        <w:rPr>
          <w:rFonts w:asciiTheme="majorHAnsi" w:hAnsiTheme="majorHAnsi" w:cstheme="majorHAnsi"/>
        </w:rPr>
      </w:pPr>
      <w:r w:rsidRPr="00FC0B03">
        <w:rPr>
          <w:rFonts w:asciiTheme="majorHAnsi" w:hAnsiTheme="majorHAnsi" w:cstheme="majorHAnsi"/>
        </w:rPr>
        <w:t>integrācijas testi ar datu avotiem (klienta eksporta faili, Nord Pool, meteo API, BESS telemetrija);</w:t>
      </w:r>
    </w:p>
    <w:p w14:paraId="530F1FFB" w14:textId="77777777" w:rsidR="00783929" w:rsidRPr="00FC0B03" w:rsidRDefault="00783929" w:rsidP="00783929">
      <w:pPr>
        <w:numPr>
          <w:ilvl w:val="0"/>
          <w:numId w:val="46"/>
        </w:numPr>
        <w:rPr>
          <w:rFonts w:asciiTheme="majorHAnsi" w:hAnsiTheme="majorHAnsi" w:cstheme="majorHAnsi"/>
        </w:rPr>
      </w:pPr>
      <w:r w:rsidRPr="00FC0B03">
        <w:rPr>
          <w:rFonts w:asciiTheme="majorHAnsi" w:hAnsiTheme="majorHAnsi" w:cstheme="majorHAnsi"/>
        </w:rPr>
        <w:t>veiktspējas testi ar pilna mēroga datu kopām;</w:t>
      </w:r>
    </w:p>
    <w:p w14:paraId="064AB0E3" w14:textId="77777777" w:rsidR="00783929" w:rsidRPr="00FC0B03" w:rsidRDefault="00783929" w:rsidP="00783929">
      <w:pPr>
        <w:numPr>
          <w:ilvl w:val="0"/>
          <w:numId w:val="46"/>
        </w:numPr>
        <w:rPr>
          <w:rFonts w:asciiTheme="majorHAnsi" w:hAnsiTheme="majorHAnsi" w:cstheme="majorHAnsi"/>
        </w:rPr>
      </w:pPr>
      <w:r w:rsidRPr="00FC0B03">
        <w:rPr>
          <w:rFonts w:asciiTheme="majorHAnsi" w:hAnsiTheme="majorHAnsi" w:cstheme="majorHAnsi"/>
        </w:rPr>
        <w:t>drošības testi (piekļuves kontrole, datu aizsardzība);</w:t>
      </w:r>
    </w:p>
    <w:p w14:paraId="7A7099A0" w14:textId="77777777" w:rsidR="00783929" w:rsidRDefault="00783929" w:rsidP="00783929">
      <w:pPr>
        <w:numPr>
          <w:ilvl w:val="0"/>
          <w:numId w:val="46"/>
        </w:numPr>
        <w:rPr>
          <w:rFonts w:asciiTheme="majorHAnsi" w:hAnsiTheme="majorHAnsi" w:cstheme="majorHAnsi"/>
        </w:rPr>
      </w:pPr>
      <w:r w:rsidRPr="00FC0B03">
        <w:rPr>
          <w:rFonts w:asciiTheme="majorHAnsi" w:hAnsiTheme="majorHAnsi" w:cstheme="majorHAnsi"/>
        </w:rPr>
        <w:t>MI kvalitātes testi (prognožu MAPE, Intraday ieteikumu efekts, datu kvalitātes kontrole).</w:t>
      </w:r>
    </w:p>
    <w:p w14:paraId="4CC292EC" w14:textId="2CA7CBD0" w:rsidR="00783929" w:rsidRPr="00FC0B03" w:rsidRDefault="00FC0B03" w:rsidP="00783929">
      <w:pPr>
        <w:rPr>
          <w:rFonts w:asciiTheme="majorHAnsi" w:hAnsiTheme="majorHAnsi" w:cstheme="majorHAnsi"/>
        </w:rPr>
      </w:pPr>
      <w:r>
        <w:rPr>
          <w:rFonts w:asciiTheme="majorHAnsi" w:hAnsiTheme="majorHAnsi" w:cstheme="majorHAnsi"/>
        </w:rPr>
        <w:t xml:space="preserve">5.5. </w:t>
      </w:r>
      <w:r w:rsidR="00783929" w:rsidRPr="00FC0B03">
        <w:rPr>
          <w:rFonts w:asciiTheme="majorHAnsi" w:hAnsiTheme="majorHAnsi" w:cstheme="majorHAnsi"/>
        </w:rPr>
        <w:t>Dokumentācija</w:t>
      </w:r>
    </w:p>
    <w:p w14:paraId="5F8B550E" w14:textId="77777777" w:rsidR="00783929" w:rsidRPr="00FC0B03" w:rsidRDefault="00783929" w:rsidP="00783929">
      <w:pPr>
        <w:numPr>
          <w:ilvl w:val="0"/>
          <w:numId w:val="47"/>
        </w:numPr>
        <w:rPr>
          <w:rFonts w:asciiTheme="majorHAnsi" w:hAnsiTheme="majorHAnsi" w:cstheme="majorHAnsi"/>
        </w:rPr>
      </w:pPr>
      <w:r w:rsidRPr="00FC0B03">
        <w:rPr>
          <w:rFonts w:asciiTheme="majorHAnsi" w:hAnsiTheme="majorHAnsi" w:cstheme="majorHAnsi"/>
        </w:rPr>
        <w:t>lietotāja rokasgrāmata operatoriem/analītiķiem;</w:t>
      </w:r>
    </w:p>
    <w:p w14:paraId="7F4AD472" w14:textId="77777777" w:rsidR="00783929" w:rsidRPr="00FC0B03" w:rsidRDefault="00783929" w:rsidP="00783929">
      <w:pPr>
        <w:numPr>
          <w:ilvl w:val="0"/>
          <w:numId w:val="47"/>
        </w:numPr>
        <w:rPr>
          <w:rFonts w:asciiTheme="majorHAnsi" w:hAnsiTheme="majorHAnsi" w:cstheme="majorHAnsi"/>
        </w:rPr>
      </w:pPr>
      <w:r w:rsidRPr="00FC0B03">
        <w:rPr>
          <w:rFonts w:asciiTheme="majorHAnsi" w:hAnsiTheme="majorHAnsi" w:cstheme="majorHAnsi"/>
        </w:rPr>
        <w:t>administratora rokasgrāmata (instalācija, konfigurācija, backup/restore);</w:t>
      </w:r>
    </w:p>
    <w:p w14:paraId="74C51BDC" w14:textId="77777777" w:rsidR="00783929" w:rsidRPr="00FC0B03" w:rsidRDefault="00783929" w:rsidP="00783929">
      <w:pPr>
        <w:numPr>
          <w:ilvl w:val="0"/>
          <w:numId w:val="47"/>
        </w:numPr>
        <w:rPr>
          <w:rFonts w:asciiTheme="majorHAnsi" w:hAnsiTheme="majorHAnsi" w:cstheme="majorHAnsi"/>
        </w:rPr>
      </w:pPr>
      <w:r w:rsidRPr="00FC0B03">
        <w:rPr>
          <w:rFonts w:asciiTheme="majorHAnsi" w:hAnsiTheme="majorHAnsi" w:cstheme="majorHAnsi"/>
        </w:rPr>
        <w:t>datu plūsmu un API apraksti;</w:t>
      </w:r>
    </w:p>
    <w:p w14:paraId="48CAD044" w14:textId="77777777" w:rsidR="00783929" w:rsidRDefault="00783929" w:rsidP="00783929">
      <w:pPr>
        <w:numPr>
          <w:ilvl w:val="0"/>
          <w:numId w:val="47"/>
        </w:numPr>
        <w:rPr>
          <w:rFonts w:asciiTheme="majorHAnsi" w:hAnsiTheme="majorHAnsi" w:cstheme="majorHAnsi"/>
        </w:rPr>
      </w:pPr>
      <w:r w:rsidRPr="00FC0B03">
        <w:rPr>
          <w:rFonts w:asciiTheme="majorHAnsi" w:hAnsiTheme="majorHAnsi" w:cstheme="majorHAnsi"/>
        </w:rPr>
        <w:t>MI moduļu apraksti (komponentes/ievaddati/izvaddati/pārmācīšanas biežums/kvalitātes kontrole)</w:t>
      </w:r>
      <w:r w:rsidR="002A7A48" w:rsidRPr="00FC0B03">
        <w:rPr>
          <w:rFonts w:asciiTheme="majorHAnsi" w:hAnsiTheme="majorHAnsi" w:cstheme="majorHAnsi"/>
        </w:rPr>
        <w:t>.</w:t>
      </w:r>
    </w:p>
    <w:p w14:paraId="27A49899" w14:textId="2BA563D2" w:rsidR="00783929" w:rsidRPr="00FC0B03" w:rsidRDefault="00FC0B03" w:rsidP="00783929">
      <w:pPr>
        <w:rPr>
          <w:rFonts w:asciiTheme="majorHAnsi" w:hAnsiTheme="majorHAnsi" w:cstheme="majorHAnsi"/>
        </w:rPr>
      </w:pPr>
      <w:r>
        <w:rPr>
          <w:rFonts w:asciiTheme="majorHAnsi" w:hAnsiTheme="majorHAnsi" w:cstheme="majorHAnsi"/>
        </w:rPr>
        <w:t xml:space="preserve">5.6. </w:t>
      </w:r>
      <w:r w:rsidR="00783929" w:rsidRPr="00FC0B03">
        <w:rPr>
          <w:rFonts w:asciiTheme="majorHAnsi" w:hAnsiTheme="majorHAnsi" w:cstheme="majorHAnsi"/>
        </w:rPr>
        <w:t>Apmācības</w:t>
      </w:r>
    </w:p>
    <w:p w14:paraId="707EDB87" w14:textId="77777777" w:rsidR="00783929" w:rsidRPr="00FC0B03" w:rsidRDefault="00783929" w:rsidP="00783929">
      <w:pPr>
        <w:numPr>
          <w:ilvl w:val="0"/>
          <w:numId w:val="48"/>
        </w:numPr>
        <w:rPr>
          <w:rFonts w:asciiTheme="majorHAnsi" w:hAnsiTheme="majorHAnsi" w:cstheme="majorHAnsi"/>
        </w:rPr>
      </w:pPr>
      <w:r w:rsidRPr="00FC0B03">
        <w:rPr>
          <w:rFonts w:asciiTheme="majorHAnsi" w:hAnsiTheme="majorHAnsi" w:cstheme="majorHAnsi"/>
        </w:rPr>
        <w:t>atsevišķas apmācību sesijas operatoriem un administratoriem;</w:t>
      </w:r>
    </w:p>
    <w:p w14:paraId="4DB8C1DA" w14:textId="77777777" w:rsidR="00783929" w:rsidRPr="00FC0B03" w:rsidRDefault="00783929" w:rsidP="00783929">
      <w:pPr>
        <w:numPr>
          <w:ilvl w:val="0"/>
          <w:numId w:val="48"/>
        </w:numPr>
        <w:rPr>
          <w:rFonts w:asciiTheme="majorHAnsi" w:hAnsiTheme="majorHAnsi" w:cstheme="majorHAnsi"/>
        </w:rPr>
      </w:pPr>
      <w:r w:rsidRPr="00FC0B03">
        <w:rPr>
          <w:rFonts w:asciiTheme="majorHAnsi" w:hAnsiTheme="majorHAnsi" w:cstheme="majorHAnsi"/>
        </w:rPr>
        <w:lastRenderedPageBreak/>
        <w:t>praktiski uzdevumi (tipiskie scenāriji – Intraday situācija, anomāliju apstrāde, elastības vadība);</w:t>
      </w:r>
    </w:p>
    <w:p w14:paraId="2A716775" w14:textId="392641BE" w:rsidR="00783929" w:rsidRDefault="00783929" w:rsidP="00783929">
      <w:pPr>
        <w:numPr>
          <w:ilvl w:val="0"/>
          <w:numId w:val="48"/>
        </w:numPr>
        <w:rPr>
          <w:rFonts w:asciiTheme="majorHAnsi" w:hAnsiTheme="majorHAnsi" w:cstheme="majorHAnsi"/>
        </w:rPr>
      </w:pPr>
      <w:r w:rsidRPr="00FC0B03">
        <w:rPr>
          <w:rFonts w:asciiTheme="majorHAnsi" w:hAnsiTheme="majorHAnsi" w:cstheme="majorHAnsi"/>
        </w:rPr>
        <w:t>sagatavoti materiāli (prezentācijas, īsie “how-to” apraksti).</w:t>
      </w:r>
    </w:p>
    <w:p w14:paraId="079EC279" w14:textId="77777777" w:rsidR="00FC0B03" w:rsidRPr="00FC0B03" w:rsidRDefault="00FC0B03" w:rsidP="00FC0B03">
      <w:pPr>
        <w:ind w:left="720"/>
        <w:rPr>
          <w:rFonts w:asciiTheme="majorHAnsi" w:hAnsiTheme="majorHAnsi" w:cstheme="majorHAnsi"/>
        </w:rPr>
      </w:pPr>
    </w:p>
    <w:p w14:paraId="50FB1A0E" w14:textId="77777777" w:rsidR="006E679C" w:rsidRDefault="006E679C" w:rsidP="00783929">
      <w:pPr>
        <w:rPr>
          <w:rFonts w:asciiTheme="majorHAnsi" w:hAnsiTheme="majorHAnsi" w:cstheme="majorHAnsi"/>
        </w:rPr>
      </w:pPr>
    </w:p>
    <w:p w14:paraId="5B9ABA03" w14:textId="5FB229D1" w:rsidR="00783929" w:rsidRPr="00FC0B03" w:rsidRDefault="00FC0B03" w:rsidP="00783929">
      <w:pPr>
        <w:rPr>
          <w:rFonts w:asciiTheme="majorHAnsi" w:hAnsiTheme="majorHAnsi" w:cstheme="majorHAnsi"/>
        </w:rPr>
      </w:pPr>
      <w:r>
        <w:rPr>
          <w:rFonts w:asciiTheme="majorHAnsi" w:hAnsiTheme="majorHAnsi" w:cstheme="majorHAnsi"/>
        </w:rPr>
        <w:t xml:space="preserve">6. </w:t>
      </w:r>
      <w:r w:rsidR="00783929" w:rsidRPr="00FC0B03">
        <w:rPr>
          <w:rFonts w:asciiTheme="majorHAnsi" w:hAnsiTheme="majorHAnsi" w:cstheme="majorHAnsi"/>
        </w:rPr>
        <w:t>Sasniedzamie rādītāji (</w:t>
      </w:r>
      <w:r w:rsidR="002A7A48" w:rsidRPr="00FC0B03">
        <w:rPr>
          <w:rFonts w:asciiTheme="majorHAnsi" w:hAnsiTheme="majorHAnsi" w:cstheme="majorHAnsi"/>
        </w:rPr>
        <w:t>KPI</w:t>
      </w:r>
      <w:r w:rsidR="00783929" w:rsidRPr="00FC0B03">
        <w:rPr>
          <w:rFonts w:asciiTheme="majorHAnsi" w:hAnsiTheme="majorHAnsi" w:cstheme="majorHAnsi"/>
        </w:rPr>
        <w:t>)</w:t>
      </w:r>
    </w:p>
    <w:tbl>
      <w:tblPr>
        <w:tblW w:w="9001" w:type="dxa"/>
        <w:tblCellSpacing w:w="15" w:type="dxa"/>
        <w:tblCellMar>
          <w:top w:w="15" w:type="dxa"/>
          <w:left w:w="15" w:type="dxa"/>
          <w:bottom w:w="15" w:type="dxa"/>
          <w:right w:w="15" w:type="dxa"/>
        </w:tblCellMar>
        <w:tblLook w:val="04A0" w:firstRow="1" w:lastRow="0" w:firstColumn="1" w:lastColumn="0" w:noHBand="0" w:noVBand="1"/>
      </w:tblPr>
      <w:tblGrid>
        <w:gridCol w:w="3126"/>
        <w:gridCol w:w="2462"/>
        <w:gridCol w:w="3413"/>
      </w:tblGrid>
      <w:tr w:rsidR="002A7A48" w:rsidRPr="00FC0B03" w14:paraId="1B3B4E58" w14:textId="77777777" w:rsidTr="002A7A48">
        <w:trPr>
          <w:tblHeader/>
          <w:tblCellSpacing w:w="15" w:type="dxa"/>
        </w:trPr>
        <w:tc>
          <w:tcPr>
            <w:tcW w:w="3081" w:type="dxa"/>
            <w:vAlign w:val="center"/>
            <w:hideMark/>
          </w:tcPr>
          <w:p w14:paraId="59DEDC01"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Rādītājs</w:t>
            </w:r>
          </w:p>
        </w:tc>
        <w:tc>
          <w:tcPr>
            <w:tcW w:w="2432" w:type="dxa"/>
            <w:vAlign w:val="center"/>
            <w:hideMark/>
          </w:tcPr>
          <w:p w14:paraId="55AB072D"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Pirms projekta</w:t>
            </w:r>
          </w:p>
        </w:tc>
        <w:tc>
          <w:tcPr>
            <w:tcW w:w="0" w:type="auto"/>
            <w:vAlign w:val="center"/>
            <w:hideMark/>
          </w:tcPr>
          <w:p w14:paraId="1D3F2A02"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Mērķis pēc projekta</w:t>
            </w:r>
          </w:p>
        </w:tc>
      </w:tr>
      <w:tr w:rsidR="002A7A48" w:rsidRPr="00FC0B03" w14:paraId="25A090EE" w14:textId="77777777" w:rsidTr="002A7A48">
        <w:trPr>
          <w:tblCellSpacing w:w="15" w:type="dxa"/>
        </w:trPr>
        <w:tc>
          <w:tcPr>
            <w:tcW w:w="3081" w:type="dxa"/>
            <w:vAlign w:val="center"/>
            <w:hideMark/>
          </w:tcPr>
          <w:p w14:paraId="4D39419C"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Prognožu kļūda (MAPE)</w:t>
            </w:r>
          </w:p>
        </w:tc>
        <w:tc>
          <w:tcPr>
            <w:tcW w:w="2432" w:type="dxa"/>
            <w:vAlign w:val="center"/>
            <w:hideMark/>
          </w:tcPr>
          <w:p w14:paraId="2896EDFE"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Aptuveni </w:t>
            </w:r>
            <w:r w:rsidR="00783929" w:rsidRPr="00FC0B03">
              <w:rPr>
                <w:rFonts w:asciiTheme="majorHAnsi" w:hAnsiTheme="majorHAnsi" w:cstheme="majorHAnsi"/>
              </w:rPr>
              <w:t>15–20%</w:t>
            </w:r>
          </w:p>
        </w:tc>
        <w:tc>
          <w:tcPr>
            <w:tcW w:w="0" w:type="auto"/>
            <w:vAlign w:val="center"/>
            <w:hideMark/>
          </w:tcPr>
          <w:p w14:paraId="4134E777"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No </w:t>
            </w:r>
            <w:r w:rsidR="00783929" w:rsidRPr="00FC0B03">
              <w:rPr>
                <w:rFonts w:asciiTheme="majorHAnsi" w:hAnsiTheme="majorHAnsi" w:cstheme="majorHAnsi"/>
              </w:rPr>
              <w:t>8–10%</w:t>
            </w:r>
          </w:p>
        </w:tc>
      </w:tr>
      <w:tr w:rsidR="002A7A48" w:rsidRPr="00FC0B03" w14:paraId="4908B260" w14:textId="77777777" w:rsidTr="002A7A48">
        <w:trPr>
          <w:tblCellSpacing w:w="15" w:type="dxa"/>
        </w:trPr>
        <w:tc>
          <w:tcPr>
            <w:tcW w:w="3081" w:type="dxa"/>
            <w:vAlign w:val="center"/>
            <w:hideMark/>
          </w:tcPr>
          <w:p w14:paraId="1BE4C5FE"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Automatizēto lēmumu īpatsvars</w:t>
            </w:r>
          </w:p>
        </w:tc>
        <w:tc>
          <w:tcPr>
            <w:tcW w:w="2432" w:type="dxa"/>
            <w:vAlign w:val="center"/>
            <w:hideMark/>
          </w:tcPr>
          <w:p w14:paraId="328C5859"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0%</w:t>
            </w:r>
          </w:p>
        </w:tc>
        <w:tc>
          <w:tcPr>
            <w:tcW w:w="0" w:type="auto"/>
            <w:vAlign w:val="center"/>
            <w:hideMark/>
          </w:tcPr>
          <w:p w14:paraId="4D261537"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Ap </w:t>
            </w:r>
            <w:r w:rsidR="00783929" w:rsidRPr="00FC0B03">
              <w:rPr>
                <w:rFonts w:asciiTheme="majorHAnsi" w:hAnsiTheme="majorHAnsi" w:cstheme="majorHAnsi"/>
              </w:rPr>
              <w:t>70%</w:t>
            </w:r>
          </w:p>
        </w:tc>
      </w:tr>
      <w:tr w:rsidR="002A7A48" w:rsidRPr="00FC0B03" w14:paraId="3C0A3648" w14:textId="77777777" w:rsidTr="002A7A48">
        <w:trPr>
          <w:tblCellSpacing w:w="15" w:type="dxa"/>
        </w:trPr>
        <w:tc>
          <w:tcPr>
            <w:tcW w:w="3081" w:type="dxa"/>
            <w:vAlign w:val="center"/>
            <w:hideMark/>
          </w:tcPr>
          <w:p w14:paraId="6DAFED15"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Apstrādāto objektu skaits</w:t>
            </w:r>
          </w:p>
        </w:tc>
        <w:tc>
          <w:tcPr>
            <w:tcW w:w="2432" w:type="dxa"/>
            <w:vAlign w:val="center"/>
            <w:hideMark/>
          </w:tcPr>
          <w:p w14:paraId="1127212A"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No </w:t>
            </w:r>
            <w:r w:rsidR="00783929" w:rsidRPr="00FC0B03">
              <w:rPr>
                <w:rFonts w:asciiTheme="majorHAnsi" w:hAnsiTheme="majorHAnsi" w:cstheme="majorHAnsi"/>
              </w:rPr>
              <w:t>5 000</w:t>
            </w:r>
          </w:p>
        </w:tc>
        <w:tc>
          <w:tcPr>
            <w:tcW w:w="0" w:type="auto"/>
            <w:vAlign w:val="center"/>
            <w:hideMark/>
          </w:tcPr>
          <w:p w14:paraId="252FF657"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Līdz </w:t>
            </w:r>
            <w:r w:rsidR="00783929" w:rsidRPr="00FC0B03">
              <w:rPr>
                <w:rFonts w:asciiTheme="majorHAnsi" w:hAnsiTheme="majorHAnsi" w:cstheme="majorHAnsi"/>
              </w:rPr>
              <w:t>12 000</w:t>
            </w:r>
          </w:p>
        </w:tc>
      </w:tr>
      <w:tr w:rsidR="002A7A48" w:rsidRPr="00FC0B03" w14:paraId="00AB40DE" w14:textId="77777777" w:rsidTr="002A7A48">
        <w:trPr>
          <w:tblCellSpacing w:w="15" w:type="dxa"/>
        </w:trPr>
        <w:tc>
          <w:tcPr>
            <w:tcW w:w="3081" w:type="dxa"/>
            <w:vAlign w:val="center"/>
            <w:hideMark/>
          </w:tcPr>
          <w:p w14:paraId="6ED1375A"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Intraday reakcijas laiks</w:t>
            </w:r>
          </w:p>
        </w:tc>
        <w:tc>
          <w:tcPr>
            <w:tcW w:w="2432" w:type="dxa"/>
            <w:vAlign w:val="center"/>
            <w:hideMark/>
          </w:tcPr>
          <w:p w14:paraId="6B4577AC" w14:textId="77777777" w:rsidR="00783929" w:rsidRPr="00FC0B03" w:rsidRDefault="00783929" w:rsidP="00783929">
            <w:pPr>
              <w:rPr>
                <w:rFonts w:asciiTheme="majorHAnsi" w:hAnsiTheme="majorHAnsi" w:cstheme="majorHAnsi"/>
              </w:rPr>
            </w:pPr>
            <w:r w:rsidRPr="00FC0B03">
              <w:rPr>
                <w:rFonts w:asciiTheme="majorHAnsi" w:hAnsiTheme="majorHAnsi" w:cstheme="majorHAnsi"/>
              </w:rPr>
              <w:t>30 min</w:t>
            </w:r>
            <w:r w:rsidR="002A7A48" w:rsidRPr="00FC0B03">
              <w:rPr>
                <w:rFonts w:asciiTheme="majorHAnsi" w:hAnsiTheme="majorHAnsi" w:cstheme="majorHAnsi"/>
              </w:rPr>
              <w:t>/</w:t>
            </w:r>
            <w:r w:rsidRPr="00FC0B03">
              <w:rPr>
                <w:rFonts w:asciiTheme="majorHAnsi" w:hAnsiTheme="majorHAnsi" w:cstheme="majorHAnsi"/>
              </w:rPr>
              <w:t>3 h cikls</w:t>
            </w:r>
          </w:p>
        </w:tc>
        <w:tc>
          <w:tcPr>
            <w:tcW w:w="0" w:type="auto"/>
            <w:vAlign w:val="center"/>
            <w:hideMark/>
          </w:tcPr>
          <w:p w14:paraId="630CE49D" w14:textId="77777777" w:rsidR="00783929" w:rsidRPr="00FC0B03" w:rsidRDefault="002A7A48" w:rsidP="00783929">
            <w:pPr>
              <w:rPr>
                <w:rFonts w:asciiTheme="majorHAnsi" w:hAnsiTheme="majorHAnsi" w:cstheme="majorHAnsi"/>
              </w:rPr>
            </w:pPr>
            <w:r w:rsidRPr="00FC0B03">
              <w:rPr>
                <w:rFonts w:asciiTheme="majorHAnsi" w:hAnsiTheme="majorHAnsi" w:cstheme="majorHAnsi"/>
              </w:rPr>
              <w:t xml:space="preserve">Uz </w:t>
            </w:r>
            <w:r w:rsidR="00783929" w:rsidRPr="00FC0B03">
              <w:rPr>
                <w:rFonts w:asciiTheme="majorHAnsi" w:hAnsiTheme="majorHAnsi" w:cstheme="majorHAnsi"/>
              </w:rPr>
              <w:t>3 min (pie labas datu kvalitātes)</w:t>
            </w:r>
          </w:p>
        </w:tc>
      </w:tr>
    </w:tbl>
    <w:p w14:paraId="2572A34B" w14:textId="4611D8DA" w:rsidR="006E679C" w:rsidRPr="006E679C" w:rsidRDefault="006E679C" w:rsidP="006E679C">
      <w:pPr>
        <w:rPr>
          <w:rFonts w:asciiTheme="majorHAnsi" w:hAnsiTheme="majorHAnsi" w:cstheme="majorHAnsi"/>
          <w:i/>
          <w:iCs/>
        </w:rPr>
      </w:pPr>
      <w:r w:rsidRPr="006E679C">
        <w:rPr>
          <w:rFonts w:asciiTheme="majorHAnsi" w:hAnsiTheme="majorHAnsi" w:cstheme="majorHAnsi"/>
          <w:i/>
          <w:iCs/>
        </w:rPr>
        <w:t>“Automatizēto lēmumu īpatsvars” sasniedzamo KPI konteksā nozīmē automātiski ģenerētu ieteikumu/uzdevumu īpatsvaru; kritiskie lēmumi tiek apstiprināti operatora uzraudzībā saskaņā ar šīs specifikācijas prasībām.</w:t>
      </w:r>
    </w:p>
    <w:p w14:paraId="44E4325B" w14:textId="77777777" w:rsidR="00783929" w:rsidRPr="00FC0B03" w:rsidRDefault="00783929">
      <w:pPr>
        <w:rPr>
          <w:rFonts w:asciiTheme="majorHAnsi" w:hAnsiTheme="majorHAnsi" w:cstheme="majorHAnsi"/>
        </w:rPr>
      </w:pPr>
    </w:p>
    <w:p w14:paraId="34A09232" w14:textId="77777777" w:rsidR="00156279" w:rsidRPr="00FC0B03" w:rsidRDefault="00156279">
      <w:pPr>
        <w:rPr>
          <w:rFonts w:asciiTheme="majorHAnsi" w:hAnsiTheme="majorHAnsi" w:cstheme="majorHAnsi"/>
        </w:rPr>
      </w:pPr>
    </w:p>
    <w:p w14:paraId="41831BDD" w14:textId="77777777" w:rsidR="00156279" w:rsidRPr="00FC0B03" w:rsidRDefault="00156279">
      <w:pPr>
        <w:rPr>
          <w:rFonts w:asciiTheme="majorHAnsi" w:hAnsiTheme="majorHAnsi" w:cstheme="majorHAnsi"/>
        </w:rPr>
      </w:pPr>
    </w:p>
    <w:p w14:paraId="2E541E36" w14:textId="77777777" w:rsidR="00156279" w:rsidRPr="00FC0B03" w:rsidRDefault="00156279">
      <w:pPr>
        <w:rPr>
          <w:rFonts w:asciiTheme="majorHAnsi" w:hAnsiTheme="majorHAnsi" w:cstheme="majorHAnsi"/>
        </w:rPr>
      </w:pPr>
    </w:p>
    <w:p w14:paraId="67728F0A" w14:textId="77777777" w:rsidR="00156279" w:rsidRPr="00FC0B03" w:rsidRDefault="00156279">
      <w:pPr>
        <w:rPr>
          <w:rFonts w:asciiTheme="majorHAnsi" w:hAnsiTheme="majorHAnsi" w:cstheme="majorHAnsi"/>
        </w:rPr>
      </w:pPr>
    </w:p>
    <w:p w14:paraId="10C83056" w14:textId="77777777" w:rsidR="00156279" w:rsidRPr="00FC0B03" w:rsidRDefault="00156279">
      <w:pPr>
        <w:rPr>
          <w:rFonts w:asciiTheme="majorHAnsi" w:hAnsiTheme="majorHAnsi" w:cstheme="majorHAnsi"/>
        </w:rPr>
      </w:pPr>
    </w:p>
    <w:p w14:paraId="084A1309" w14:textId="77777777" w:rsidR="00156279" w:rsidRPr="00FC0B03" w:rsidRDefault="00156279">
      <w:pPr>
        <w:rPr>
          <w:rFonts w:asciiTheme="majorHAnsi" w:hAnsiTheme="majorHAnsi" w:cstheme="majorHAnsi"/>
        </w:rPr>
      </w:pPr>
    </w:p>
    <w:sectPr w:rsidR="00156279" w:rsidRPr="00FC0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D7E"/>
    <w:multiLevelType w:val="multilevel"/>
    <w:tmpl w:val="FD50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31A"/>
    <w:multiLevelType w:val="multilevel"/>
    <w:tmpl w:val="9FE2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05F9D"/>
    <w:multiLevelType w:val="multilevel"/>
    <w:tmpl w:val="C790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F1492"/>
    <w:multiLevelType w:val="multilevel"/>
    <w:tmpl w:val="D50A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17AC7"/>
    <w:multiLevelType w:val="multilevel"/>
    <w:tmpl w:val="CF6C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638BA"/>
    <w:multiLevelType w:val="multilevel"/>
    <w:tmpl w:val="010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94815"/>
    <w:multiLevelType w:val="multilevel"/>
    <w:tmpl w:val="2084DA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B62672"/>
    <w:multiLevelType w:val="multilevel"/>
    <w:tmpl w:val="3568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715E5"/>
    <w:multiLevelType w:val="multilevel"/>
    <w:tmpl w:val="3494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F15F3"/>
    <w:multiLevelType w:val="multilevel"/>
    <w:tmpl w:val="91FA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B0F88"/>
    <w:multiLevelType w:val="multilevel"/>
    <w:tmpl w:val="3344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C5748"/>
    <w:multiLevelType w:val="multilevel"/>
    <w:tmpl w:val="705E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D5ED8"/>
    <w:multiLevelType w:val="multilevel"/>
    <w:tmpl w:val="BB78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74F80"/>
    <w:multiLevelType w:val="multilevel"/>
    <w:tmpl w:val="530E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F248DC"/>
    <w:multiLevelType w:val="hybridMultilevel"/>
    <w:tmpl w:val="D0A6E7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37599E"/>
    <w:multiLevelType w:val="hybridMultilevel"/>
    <w:tmpl w:val="812254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A1426A"/>
    <w:multiLevelType w:val="multilevel"/>
    <w:tmpl w:val="3BC8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A71C3B"/>
    <w:multiLevelType w:val="multilevel"/>
    <w:tmpl w:val="892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C90B85"/>
    <w:multiLevelType w:val="multilevel"/>
    <w:tmpl w:val="36A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261E2C"/>
    <w:multiLevelType w:val="multilevel"/>
    <w:tmpl w:val="4584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A15453"/>
    <w:multiLevelType w:val="hybridMultilevel"/>
    <w:tmpl w:val="54DCF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E93E61"/>
    <w:multiLevelType w:val="multilevel"/>
    <w:tmpl w:val="A6A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591BE6"/>
    <w:multiLevelType w:val="multilevel"/>
    <w:tmpl w:val="1942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C7149A"/>
    <w:multiLevelType w:val="multilevel"/>
    <w:tmpl w:val="FB5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84412E"/>
    <w:multiLevelType w:val="multilevel"/>
    <w:tmpl w:val="6AA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966918"/>
    <w:multiLevelType w:val="hybridMultilevel"/>
    <w:tmpl w:val="2D84B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9C2768"/>
    <w:multiLevelType w:val="hybridMultilevel"/>
    <w:tmpl w:val="0FEA02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FB26D5C"/>
    <w:multiLevelType w:val="hybridMultilevel"/>
    <w:tmpl w:val="850ED6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08F08BD"/>
    <w:multiLevelType w:val="multilevel"/>
    <w:tmpl w:val="FC6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4D000B"/>
    <w:multiLevelType w:val="hybridMultilevel"/>
    <w:tmpl w:val="83282A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E8512F"/>
    <w:multiLevelType w:val="multilevel"/>
    <w:tmpl w:val="8E8C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9C23C6"/>
    <w:multiLevelType w:val="multilevel"/>
    <w:tmpl w:val="5CA0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D26B32"/>
    <w:multiLevelType w:val="multilevel"/>
    <w:tmpl w:val="42A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43CE0"/>
    <w:multiLevelType w:val="multilevel"/>
    <w:tmpl w:val="4A6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94EC6"/>
    <w:multiLevelType w:val="multilevel"/>
    <w:tmpl w:val="AC56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A35B01"/>
    <w:multiLevelType w:val="multilevel"/>
    <w:tmpl w:val="EB92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7E4C53"/>
    <w:multiLevelType w:val="multilevel"/>
    <w:tmpl w:val="B592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204CA9"/>
    <w:multiLevelType w:val="multilevel"/>
    <w:tmpl w:val="77A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1375A0"/>
    <w:multiLevelType w:val="multilevel"/>
    <w:tmpl w:val="84C2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C674D7"/>
    <w:multiLevelType w:val="multilevel"/>
    <w:tmpl w:val="0B44AD8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500D53"/>
    <w:multiLevelType w:val="multilevel"/>
    <w:tmpl w:val="A984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0D837A3"/>
    <w:multiLevelType w:val="multilevel"/>
    <w:tmpl w:val="733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BE5CFE"/>
    <w:multiLevelType w:val="multilevel"/>
    <w:tmpl w:val="74147E78"/>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8AA3252"/>
    <w:multiLevelType w:val="multilevel"/>
    <w:tmpl w:val="513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630CF0"/>
    <w:multiLevelType w:val="multilevel"/>
    <w:tmpl w:val="FB22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CC29D6"/>
    <w:multiLevelType w:val="multilevel"/>
    <w:tmpl w:val="44F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531A7A"/>
    <w:multiLevelType w:val="multilevel"/>
    <w:tmpl w:val="D0DE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9A712E"/>
    <w:multiLevelType w:val="multilevel"/>
    <w:tmpl w:val="6B74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077020"/>
    <w:multiLevelType w:val="multilevel"/>
    <w:tmpl w:val="BB22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5F49DB"/>
    <w:multiLevelType w:val="multilevel"/>
    <w:tmpl w:val="573C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9D387E"/>
    <w:multiLevelType w:val="multilevel"/>
    <w:tmpl w:val="D7E04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A90A76"/>
    <w:multiLevelType w:val="multilevel"/>
    <w:tmpl w:val="11B8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C00F75"/>
    <w:multiLevelType w:val="hybridMultilevel"/>
    <w:tmpl w:val="7BE43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FF370C7"/>
    <w:multiLevelType w:val="multilevel"/>
    <w:tmpl w:val="AA9A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141970">
    <w:abstractNumId w:val="12"/>
  </w:num>
  <w:num w:numId="2" w16cid:durableId="2020154174">
    <w:abstractNumId w:val="40"/>
  </w:num>
  <w:num w:numId="3" w16cid:durableId="1339429937">
    <w:abstractNumId w:val="44"/>
  </w:num>
  <w:num w:numId="4" w16cid:durableId="401949678">
    <w:abstractNumId w:val="42"/>
  </w:num>
  <w:num w:numId="5" w16cid:durableId="411463746">
    <w:abstractNumId w:val="46"/>
  </w:num>
  <w:num w:numId="6" w16cid:durableId="994723437">
    <w:abstractNumId w:val="5"/>
  </w:num>
  <w:num w:numId="7" w16cid:durableId="1584605101">
    <w:abstractNumId w:val="51"/>
  </w:num>
  <w:num w:numId="8" w16cid:durableId="541211321">
    <w:abstractNumId w:val="22"/>
  </w:num>
  <w:num w:numId="9" w16cid:durableId="681203830">
    <w:abstractNumId w:val="2"/>
  </w:num>
  <w:num w:numId="10" w16cid:durableId="1960332149">
    <w:abstractNumId w:val="47"/>
  </w:num>
  <w:num w:numId="11" w16cid:durableId="24061383">
    <w:abstractNumId w:val="3"/>
  </w:num>
  <w:num w:numId="12" w16cid:durableId="1225989698">
    <w:abstractNumId w:val="6"/>
  </w:num>
  <w:num w:numId="13" w16cid:durableId="690031803">
    <w:abstractNumId w:val="39"/>
  </w:num>
  <w:num w:numId="14" w16cid:durableId="461775756">
    <w:abstractNumId w:val="18"/>
  </w:num>
  <w:num w:numId="15" w16cid:durableId="1530223621">
    <w:abstractNumId w:val="45"/>
  </w:num>
  <w:num w:numId="16" w16cid:durableId="685449912">
    <w:abstractNumId w:val="50"/>
  </w:num>
  <w:num w:numId="17" w16cid:durableId="1792089253">
    <w:abstractNumId w:val="9"/>
  </w:num>
  <w:num w:numId="18" w16cid:durableId="1050306745">
    <w:abstractNumId w:val="36"/>
  </w:num>
  <w:num w:numId="19" w16cid:durableId="2101179075">
    <w:abstractNumId w:val="41"/>
  </w:num>
  <w:num w:numId="20" w16cid:durableId="1143279747">
    <w:abstractNumId w:val="48"/>
  </w:num>
  <w:num w:numId="21" w16cid:durableId="1464229843">
    <w:abstractNumId w:val="23"/>
  </w:num>
  <w:num w:numId="22" w16cid:durableId="888230128">
    <w:abstractNumId w:val="43"/>
  </w:num>
  <w:num w:numId="23" w16cid:durableId="1096947067">
    <w:abstractNumId w:val="53"/>
  </w:num>
  <w:num w:numId="24" w16cid:durableId="700325600">
    <w:abstractNumId w:val="38"/>
  </w:num>
  <w:num w:numId="25" w16cid:durableId="1057053580">
    <w:abstractNumId w:val="16"/>
  </w:num>
  <w:num w:numId="26" w16cid:durableId="562763064">
    <w:abstractNumId w:val="27"/>
  </w:num>
  <w:num w:numId="27" w16cid:durableId="1956715301">
    <w:abstractNumId w:val="15"/>
  </w:num>
  <w:num w:numId="28" w16cid:durableId="410396615">
    <w:abstractNumId w:val="29"/>
  </w:num>
  <w:num w:numId="29" w16cid:durableId="1548712872">
    <w:abstractNumId w:val="25"/>
  </w:num>
  <w:num w:numId="30" w16cid:durableId="691956103">
    <w:abstractNumId w:val="20"/>
  </w:num>
  <w:num w:numId="31" w16cid:durableId="435832309">
    <w:abstractNumId w:val="52"/>
  </w:num>
  <w:num w:numId="32" w16cid:durableId="177086656">
    <w:abstractNumId w:val="26"/>
  </w:num>
  <w:num w:numId="33" w16cid:durableId="1391346879">
    <w:abstractNumId w:val="14"/>
  </w:num>
  <w:num w:numId="34" w16cid:durableId="2135753428">
    <w:abstractNumId w:val="4"/>
  </w:num>
  <w:num w:numId="35" w16cid:durableId="1674410970">
    <w:abstractNumId w:val="21"/>
  </w:num>
  <w:num w:numId="36" w16cid:durableId="1450664910">
    <w:abstractNumId w:val="32"/>
  </w:num>
  <w:num w:numId="37" w16cid:durableId="851647197">
    <w:abstractNumId w:val="28"/>
  </w:num>
  <w:num w:numId="38" w16cid:durableId="474100843">
    <w:abstractNumId w:val="33"/>
  </w:num>
  <w:num w:numId="39" w16cid:durableId="1216159072">
    <w:abstractNumId w:val="31"/>
  </w:num>
  <w:num w:numId="40" w16cid:durableId="1584147723">
    <w:abstractNumId w:val="8"/>
  </w:num>
  <w:num w:numId="41" w16cid:durableId="1524323003">
    <w:abstractNumId w:val="37"/>
  </w:num>
  <w:num w:numId="42" w16cid:durableId="362829555">
    <w:abstractNumId w:val="10"/>
  </w:num>
  <w:num w:numId="43" w16cid:durableId="1946383724">
    <w:abstractNumId w:val="49"/>
  </w:num>
  <w:num w:numId="44" w16cid:durableId="91824735">
    <w:abstractNumId w:val="0"/>
  </w:num>
  <w:num w:numId="45" w16cid:durableId="1889610708">
    <w:abstractNumId w:val="35"/>
  </w:num>
  <w:num w:numId="46" w16cid:durableId="117341423">
    <w:abstractNumId w:val="24"/>
  </w:num>
  <w:num w:numId="47" w16cid:durableId="590965777">
    <w:abstractNumId w:val="30"/>
  </w:num>
  <w:num w:numId="48" w16cid:durableId="169562163">
    <w:abstractNumId w:val="11"/>
  </w:num>
  <w:num w:numId="49" w16cid:durableId="930549347">
    <w:abstractNumId w:val="1"/>
  </w:num>
  <w:num w:numId="50" w16cid:durableId="41029112">
    <w:abstractNumId w:val="13"/>
  </w:num>
  <w:num w:numId="51" w16cid:durableId="1269004910">
    <w:abstractNumId w:val="7"/>
  </w:num>
  <w:num w:numId="52" w16cid:durableId="1779716241">
    <w:abstractNumId w:val="17"/>
  </w:num>
  <w:num w:numId="53" w16cid:durableId="60980021">
    <w:abstractNumId w:val="19"/>
  </w:num>
  <w:num w:numId="54" w16cid:durableId="1341002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76"/>
    <w:rsid w:val="00031F6A"/>
    <w:rsid w:val="00156279"/>
    <w:rsid w:val="00157D5F"/>
    <w:rsid w:val="002A7A48"/>
    <w:rsid w:val="00353BA8"/>
    <w:rsid w:val="0049295A"/>
    <w:rsid w:val="005E10C9"/>
    <w:rsid w:val="006E679C"/>
    <w:rsid w:val="00783929"/>
    <w:rsid w:val="00844395"/>
    <w:rsid w:val="008A7019"/>
    <w:rsid w:val="008B2CD7"/>
    <w:rsid w:val="009E4AA7"/>
    <w:rsid w:val="00A116B4"/>
    <w:rsid w:val="00B24576"/>
    <w:rsid w:val="00BF1277"/>
    <w:rsid w:val="00C027AE"/>
    <w:rsid w:val="00CA0BFB"/>
    <w:rsid w:val="00CB1950"/>
    <w:rsid w:val="00CC1FB5"/>
    <w:rsid w:val="00DB1AE0"/>
    <w:rsid w:val="00DE24D6"/>
    <w:rsid w:val="00E00A52"/>
    <w:rsid w:val="00E170C1"/>
    <w:rsid w:val="00E96769"/>
    <w:rsid w:val="00F55279"/>
    <w:rsid w:val="00FC0B03"/>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8E26"/>
  <w15:chartTrackingRefBased/>
  <w15:docId w15:val="{5A664797-BC5C-4041-9338-1D62F581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56279"/>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56279"/>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576"/>
    <w:pPr>
      <w:ind w:left="720"/>
      <w:contextualSpacing/>
    </w:pPr>
  </w:style>
  <w:style w:type="character" w:customStyle="1" w:styleId="Heading2Char">
    <w:name w:val="Heading 2 Char"/>
    <w:basedOn w:val="DefaultParagraphFont"/>
    <w:link w:val="Heading2"/>
    <w:uiPriority w:val="9"/>
    <w:rsid w:val="00156279"/>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56279"/>
    <w:rPr>
      <w:rFonts w:ascii="Times New Roman" w:eastAsia="Times New Roman" w:hAnsi="Times New Roman" w:cs="Times New Roman"/>
      <w:b/>
      <w:bCs/>
      <w:kern w:val="0"/>
      <w:sz w:val="27"/>
      <w:szCs w:val="27"/>
      <w:lang w:eastAsia="en-GB"/>
      <w14:ligatures w14:val="none"/>
    </w:rPr>
  </w:style>
  <w:style w:type="paragraph" w:customStyle="1" w:styleId="p1">
    <w:name w:val="p1"/>
    <w:basedOn w:val="Normal"/>
    <w:rsid w:val="001562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156279"/>
  </w:style>
  <w:style w:type="paragraph" w:customStyle="1" w:styleId="p2">
    <w:name w:val="p2"/>
    <w:basedOn w:val="Normal"/>
    <w:rsid w:val="0015627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1562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156279"/>
  </w:style>
  <w:style w:type="paragraph" w:customStyle="1" w:styleId="p4">
    <w:name w:val="p4"/>
    <w:basedOn w:val="Normal"/>
    <w:rsid w:val="0015627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156279"/>
  </w:style>
  <w:style w:type="character" w:customStyle="1" w:styleId="s4">
    <w:name w:val="s4"/>
    <w:basedOn w:val="DefaultParagraphFont"/>
    <w:rsid w:val="0015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921">
      <w:bodyDiv w:val="1"/>
      <w:marLeft w:val="0"/>
      <w:marRight w:val="0"/>
      <w:marTop w:val="0"/>
      <w:marBottom w:val="0"/>
      <w:divBdr>
        <w:top w:val="none" w:sz="0" w:space="0" w:color="auto"/>
        <w:left w:val="none" w:sz="0" w:space="0" w:color="auto"/>
        <w:bottom w:val="none" w:sz="0" w:space="0" w:color="auto"/>
        <w:right w:val="none" w:sz="0" w:space="0" w:color="auto"/>
      </w:divBdr>
    </w:div>
    <w:div w:id="50664811">
      <w:bodyDiv w:val="1"/>
      <w:marLeft w:val="0"/>
      <w:marRight w:val="0"/>
      <w:marTop w:val="0"/>
      <w:marBottom w:val="0"/>
      <w:divBdr>
        <w:top w:val="none" w:sz="0" w:space="0" w:color="auto"/>
        <w:left w:val="none" w:sz="0" w:space="0" w:color="auto"/>
        <w:bottom w:val="none" w:sz="0" w:space="0" w:color="auto"/>
        <w:right w:val="none" w:sz="0" w:space="0" w:color="auto"/>
      </w:divBdr>
    </w:div>
    <w:div w:id="96601346">
      <w:bodyDiv w:val="1"/>
      <w:marLeft w:val="0"/>
      <w:marRight w:val="0"/>
      <w:marTop w:val="0"/>
      <w:marBottom w:val="0"/>
      <w:divBdr>
        <w:top w:val="none" w:sz="0" w:space="0" w:color="auto"/>
        <w:left w:val="none" w:sz="0" w:space="0" w:color="auto"/>
        <w:bottom w:val="none" w:sz="0" w:space="0" w:color="auto"/>
        <w:right w:val="none" w:sz="0" w:space="0" w:color="auto"/>
      </w:divBdr>
    </w:div>
    <w:div w:id="116683220">
      <w:bodyDiv w:val="1"/>
      <w:marLeft w:val="0"/>
      <w:marRight w:val="0"/>
      <w:marTop w:val="0"/>
      <w:marBottom w:val="0"/>
      <w:divBdr>
        <w:top w:val="none" w:sz="0" w:space="0" w:color="auto"/>
        <w:left w:val="none" w:sz="0" w:space="0" w:color="auto"/>
        <w:bottom w:val="none" w:sz="0" w:space="0" w:color="auto"/>
        <w:right w:val="none" w:sz="0" w:space="0" w:color="auto"/>
      </w:divBdr>
    </w:div>
    <w:div w:id="188763550">
      <w:bodyDiv w:val="1"/>
      <w:marLeft w:val="0"/>
      <w:marRight w:val="0"/>
      <w:marTop w:val="0"/>
      <w:marBottom w:val="0"/>
      <w:divBdr>
        <w:top w:val="none" w:sz="0" w:space="0" w:color="auto"/>
        <w:left w:val="none" w:sz="0" w:space="0" w:color="auto"/>
        <w:bottom w:val="none" w:sz="0" w:space="0" w:color="auto"/>
        <w:right w:val="none" w:sz="0" w:space="0" w:color="auto"/>
      </w:divBdr>
    </w:div>
    <w:div w:id="255015591">
      <w:bodyDiv w:val="1"/>
      <w:marLeft w:val="0"/>
      <w:marRight w:val="0"/>
      <w:marTop w:val="0"/>
      <w:marBottom w:val="0"/>
      <w:divBdr>
        <w:top w:val="none" w:sz="0" w:space="0" w:color="auto"/>
        <w:left w:val="none" w:sz="0" w:space="0" w:color="auto"/>
        <w:bottom w:val="none" w:sz="0" w:space="0" w:color="auto"/>
        <w:right w:val="none" w:sz="0" w:space="0" w:color="auto"/>
      </w:divBdr>
      <w:divsChild>
        <w:div w:id="28380421">
          <w:marLeft w:val="0"/>
          <w:marRight w:val="0"/>
          <w:marTop w:val="0"/>
          <w:marBottom w:val="0"/>
          <w:divBdr>
            <w:top w:val="none" w:sz="0" w:space="0" w:color="auto"/>
            <w:left w:val="none" w:sz="0" w:space="0" w:color="auto"/>
            <w:bottom w:val="none" w:sz="0" w:space="0" w:color="auto"/>
            <w:right w:val="none" w:sz="0" w:space="0" w:color="auto"/>
          </w:divBdr>
          <w:divsChild>
            <w:div w:id="10066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5601">
      <w:bodyDiv w:val="1"/>
      <w:marLeft w:val="0"/>
      <w:marRight w:val="0"/>
      <w:marTop w:val="0"/>
      <w:marBottom w:val="0"/>
      <w:divBdr>
        <w:top w:val="none" w:sz="0" w:space="0" w:color="auto"/>
        <w:left w:val="none" w:sz="0" w:space="0" w:color="auto"/>
        <w:bottom w:val="none" w:sz="0" w:space="0" w:color="auto"/>
        <w:right w:val="none" w:sz="0" w:space="0" w:color="auto"/>
      </w:divBdr>
    </w:div>
    <w:div w:id="436675647">
      <w:bodyDiv w:val="1"/>
      <w:marLeft w:val="0"/>
      <w:marRight w:val="0"/>
      <w:marTop w:val="0"/>
      <w:marBottom w:val="0"/>
      <w:divBdr>
        <w:top w:val="none" w:sz="0" w:space="0" w:color="auto"/>
        <w:left w:val="none" w:sz="0" w:space="0" w:color="auto"/>
        <w:bottom w:val="none" w:sz="0" w:space="0" w:color="auto"/>
        <w:right w:val="none" w:sz="0" w:space="0" w:color="auto"/>
      </w:divBdr>
      <w:divsChild>
        <w:div w:id="1524438045">
          <w:marLeft w:val="0"/>
          <w:marRight w:val="0"/>
          <w:marTop w:val="0"/>
          <w:marBottom w:val="0"/>
          <w:divBdr>
            <w:top w:val="none" w:sz="0" w:space="0" w:color="auto"/>
            <w:left w:val="none" w:sz="0" w:space="0" w:color="auto"/>
            <w:bottom w:val="none" w:sz="0" w:space="0" w:color="auto"/>
            <w:right w:val="none" w:sz="0" w:space="0" w:color="auto"/>
          </w:divBdr>
          <w:divsChild>
            <w:div w:id="15767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56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091">
          <w:marLeft w:val="0"/>
          <w:marRight w:val="0"/>
          <w:marTop w:val="0"/>
          <w:marBottom w:val="0"/>
          <w:divBdr>
            <w:top w:val="none" w:sz="0" w:space="0" w:color="auto"/>
            <w:left w:val="none" w:sz="0" w:space="0" w:color="auto"/>
            <w:bottom w:val="none" w:sz="0" w:space="0" w:color="auto"/>
            <w:right w:val="none" w:sz="0" w:space="0" w:color="auto"/>
          </w:divBdr>
          <w:divsChild>
            <w:div w:id="19737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093">
      <w:bodyDiv w:val="1"/>
      <w:marLeft w:val="0"/>
      <w:marRight w:val="0"/>
      <w:marTop w:val="0"/>
      <w:marBottom w:val="0"/>
      <w:divBdr>
        <w:top w:val="none" w:sz="0" w:space="0" w:color="auto"/>
        <w:left w:val="none" w:sz="0" w:space="0" w:color="auto"/>
        <w:bottom w:val="none" w:sz="0" w:space="0" w:color="auto"/>
        <w:right w:val="none" w:sz="0" w:space="0" w:color="auto"/>
      </w:divBdr>
      <w:divsChild>
        <w:div w:id="528420315">
          <w:marLeft w:val="0"/>
          <w:marRight w:val="0"/>
          <w:marTop w:val="0"/>
          <w:marBottom w:val="0"/>
          <w:divBdr>
            <w:top w:val="none" w:sz="0" w:space="0" w:color="auto"/>
            <w:left w:val="none" w:sz="0" w:space="0" w:color="auto"/>
            <w:bottom w:val="none" w:sz="0" w:space="0" w:color="auto"/>
            <w:right w:val="none" w:sz="0" w:space="0" w:color="auto"/>
          </w:divBdr>
          <w:divsChild>
            <w:div w:id="1461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4387">
      <w:bodyDiv w:val="1"/>
      <w:marLeft w:val="0"/>
      <w:marRight w:val="0"/>
      <w:marTop w:val="0"/>
      <w:marBottom w:val="0"/>
      <w:divBdr>
        <w:top w:val="none" w:sz="0" w:space="0" w:color="auto"/>
        <w:left w:val="none" w:sz="0" w:space="0" w:color="auto"/>
        <w:bottom w:val="none" w:sz="0" w:space="0" w:color="auto"/>
        <w:right w:val="none" w:sz="0" w:space="0" w:color="auto"/>
      </w:divBdr>
    </w:div>
    <w:div w:id="886793305">
      <w:bodyDiv w:val="1"/>
      <w:marLeft w:val="0"/>
      <w:marRight w:val="0"/>
      <w:marTop w:val="0"/>
      <w:marBottom w:val="0"/>
      <w:divBdr>
        <w:top w:val="none" w:sz="0" w:space="0" w:color="auto"/>
        <w:left w:val="none" w:sz="0" w:space="0" w:color="auto"/>
        <w:bottom w:val="none" w:sz="0" w:space="0" w:color="auto"/>
        <w:right w:val="none" w:sz="0" w:space="0" w:color="auto"/>
      </w:divBdr>
    </w:div>
    <w:div w:id="894969734">
      <w:bodyDiv w:val="1"/>
      <w:marLeft w:val="0"/>
      <w:marRight w:val="0"/>
      <w:marTop w:val="0"/>
      <w:marBottom w:val="0"/>
      <w:divBdr>
        <w:top w:val="none" w:sz="0" w:space="0" w:color="auto"/>
        <w:left w:val="none" w:sz="0" w:space="0" w:color="auto"/>
        <w:bottom w:val="none" w:sz="0" w:space="0" w:color="auto"/>
        <w:right w:val="none" w:sz="0" w:space="0" w:color="auto"/>
      </w:divBdr>
    </w:div>
    <w:div w:id="896939529">
      <w:bodyDiv w:val="1"/>
      <w:marLeft w:val="0"/>
      <w:marRight w:val="0"/>
      <w:marTop w:val="0"/>
      <w:marBottom w:val="0"/>
      <w:divBdr>
        <w:top w:val="none" w:sz="0" w:space="0" w:color="auto"/>
        <w:left w:val="none" w:sz="0" w:space="0" w:color="auto"/>
        <w:bottom w:val="none" w:sz="0" w:space="0" w:color="auto"/>
        <w:right w:val="none" w:sz="0" w:space="0" w:color="auto"/>
      </w:divBdr>
    </w:div>
    <w:div w:id="1138767685">
      <w:bodyDiv w:val="1"/>
      <w:marLeft w:val="0"/>
      <w:marRight w:val="0"/>
      <w:marTop w:val="0"/>
      <w:marBottom w:val="0"/>
      <w:divBdr>
        <w:top w:val="none" w:sz="0" w:space="0" w:color="auto"/>
        <w:left w:val="none" w:sz="0" w:space="0" w:color="auto"/>
        <w:bottom w:val="none" w:sz="0" w:space="0" w:color="auto"/>
        <w:right w:val="none" w:sz="0" w:space="0" w:color="auto"/>
      </w:divBdr>
    </w:div>
    <w:div w:id="1218469378">
      <w:bodyDiv w:val="1"/>
      <w:marLeft w:val="0"/>
      <w:marRight w:val="0"/>
      <w:marTop w:val="0"/>
      <w:marBottom w:val="0"/>
      <w:divBdr>
        <w:top w:val="none" w:sz="0" w:space="0" w:color="auto"/>
        <w:left w:val="none" w:sz="0" w:space="0" w:color="auto"/>
        <w:bottom w:val="none" w:sz="0" w:space="0" w:color="auto"/>
        <w:right w:val="none" w:sz="0" w:space="0" w:color="auto"/>
      </w:divBdr>
    </w:div>
    <w:div w:id="1237787440">
      <w:bodyDiv w:val="1"/>
      <w:marLeft w:val="0"/>
      <w:marRight w:val="0"/>
      <w:marTop w:val="0"/>
      <w:marBottom w:val="0"/>
      <w:divBdr>
        <w:top w:val="none" w:sz="0" w:space="0" w:color="auto"/>
        <w:left w:val="none" w:sz="0" w:space="0" w:color="auto"/>
        <w:bottom w:val="none" w:sz="0" w:space="0" w:color="auto"/>
        <w:right w:val="none" w:sz="0" w:space="0" w:color="auto"/>
      </w:divBdr>
    </w:div>
    <w:div w:id="1311013900">
      <w:bodyDiv w:val="1"/>
      <w:marLeft w:val="0"/>
      <w:marRight w:val="0"/>
      <w:marTop w:val="0"/>
      <w:marBottom w:val="0"/>
      <w:divBdr>
        <w:top w:val="none" w:sz="0" w:space="0" w:color="auto"/>
        <w:left w:val="none" w:sz="0" w:space="0" w:color="auto"/>
        <w:bottom w:val="none" w:sz="0" w:space="0" w:color="auto"/>
        <w:right w:val="none" w:sz="0" w:space="0" w:color="auto"/>
      </w:divBdr>
    </w:div>
    <w:div w:id="1336498209">
      <w:bodyDiv w:val="1"/>
      <w:marLeft w:val="0"/>
      <w:marRight w:val="0"/>
      <w:marTop w:val="0"/>
      <w:marBottom w:val="0"/>
      <w:divBdr>
        <w:top w:val="none" w:sz="0" w:space="0" w:color="auto"/>
        <w:left w:val="none" w:sz="0" w:space="0" w:color="auto"/>
        <w:bottom w:val="none" w:sz="0" w:space="0" w:color="auto"/>
        <w:right w:val="none" w:sz="0" w:space="0" w:color="auto"/>
      </w:divBdr>
    </w:div>
    <w:div w:id="1414811991">
      <w:bodyDiv w:val="1"/>
      <w:marLeft w:val="0"/>
      <w:marRight w:val="0"/>
      <w:marTop w:val="0"/>
      <w:marBottom w:val="0"/>
      <w:divBdr>
        <w:top w:val="none" w:sz="0" w:space="0" w:color="auto"/>
        <w:left w:val="none" w:sz="0" w:space="0" w:color="auto"/>
        <w:bottom w:val="none" w:sz="0" w:space="0" w:color="auto"/>
        <w:right w:val="none" w:sz="0" w:space="0" w:color="auto"/>
      </w:divBdr>
    </w:div>
    <w:div w:id="1465470164">
      <w:bodyDiv w:val="1"/>
      <w:marLeft w:val="0"/>
      <w:marRight w:val="0"/>
      <w:marTop w:val="0"/>
      <w:marBottom w:val="0"/>
      <w:divBdr>
        <w:top w:val="none" w:sz="0" w:space="0" w:color="auto"/>
        <w:left w:val="none" w:sz="0" w:space="0" w:color="auto"/>
        <w:bottom w:val="none" w:sz="0" w:space="0" w:color="auto"/>
        <w:right w:val="none" w:sz="0" w:space="0" w:color="auto"/>
      </w:divBdr>
    </w:div>
    <w:div w:id="1469590241">
      <w:bodyDiv w:val="1"/>
      <w:marLeft w:val="0"/>
      <w:marRight w:val="0"/>
      <w:marTop w:val="0"/>
      <w:marBottom w:val="0"/>
      <w:divBdr>
        <w:top w:val="none" w:sz="0" w:space="0" w:color="auto"/>
        <w:left w:val="none" w:sz="0" w:space="0" w:color="auto"/>
        <w:bottom w:val="none" w:sz="0" w:space="0" w:color="auto"/>
        <w:right w:val="none" w:sz="0" w:space="0" w:color="auto"/>
      </w:divBdr>
    </w:div>
    <w:div w:id="1491290764">
      <w:bodyDiv w:val="1"/>
      <w:marLeft w:val="0"/>
      <w:marRight w:val="0"/>
      <w:marTop w:val="0"/>
      <w:marBottom w:val="0"/>
      <w:divBdr>
        <w:top w:val="none" w:sz="0" w:space="0" w:color="auto"/>
        <w:left w:val="none" w:sz="0" w:space="0" w:color="auto"/>
        <w:bottom w:val="none" w:sz="0" w:space="0" w:color="auto"/>
        <w:right w:val="none" w:sz="0" w:space="0" w:color="auto"/>
      </w:divBdr>
    </w:div>
    <w:div w:id="1519852715">
      <w:bodyDiv w:val="1"/>
      <w:marLeft w:val="0"/>
      <w:marRight w:val="0"/>
      <w:marTop w:val="0"/>
      <w:marBottom w:val="0"/>
      <w:divBdr>
        <w:top w:val="none" w:sz="0" w:space="0" w:color="auto"/>
        <w:left w:val="none" w:sz="0" w:space="0" w:color="auto"/>
        <w:bottom w:val="none" w:sz="0" w:space="0" w:color="auto"/>
        <w:right w:val="none" w:sz="0" w:space="0" w:color="auto"/>
      </w:divBdr>
    </w:div>
    <w:div w:id="1590887851">
      <w:bodyDiv w:val="1"/>
      <w:marLeft w:val="0"/>
      <w:marRight w:val="0"/>
      <w:marTop w:val="0"/>
      <w:marBottom w:val="0"/>
      <w:divBdr>
        <w:top w:val="none" w:sz="0" w:space="0" w:color="auto"/>
        <w:left w:val="none" w:sz="0" w:space="0" w:color="auto"/>
        <w:bottom w:val="none" w:sz="0" w:space="0" w:color="auto"/>
        <w:right w:val="none" w:sz="0" w:space="0" w:color="auto"/>
      </w:divBdr>
    </w:div>
    <w:div w:id="1658537230">
      <w:bodyDiv w:val="1"/>
      <w:marLeft w:val="0"/>
      <w:marRight w:val="0"/>
      <w:marTop w:val="0"/>
      <w:marBottom w:val="0"/>
      <w:divBdr>
        <w:top w:val="none" w:sz="0" w:space="0" w:color="auto"/>
        <w:left w:val="none" w:sz="0" w:space="0" w:color="auto"/>
        <w:bottom w:val="none" w:sz="0" w:space="0" w:color="auto"/>
        <w:right w:val="none" w:sz="0" w:space="0" w:color="auto"/>
      </w:divBdr>
    </w:div>
    <w:div w:id="1764304969">
      <w:bodyDiv w:val="1"/>
      <w:marLeft w:val="0"/>
      <w:marRight w:val="0"/>
      <w:marTop w:val="0"/>
      <w:marBottom w:val="0"/>
      <w:divBdr>
        <w:top w:val="none" w:sz="0" w:space="0" w:color="auto"/>
        <w:left w:val="none" w:sz="0" w:space="0" w:color="auto"/>
        <w:bottom w:val="none" w:sz="0" w:space="0" w:color="auto"/>
        <w:right w:val="none" w:sz="0" w:space="0" w:color="auto"/>
      </w:divBdr>
    </w:div>
    <w:div w:id="1813449797">
      <w:bodyDiv w:val="1"/>
      <w:marLeft w:val="0"/>
      <w:marRight w:val="0"/>
      <w:marTop w:val="0"/>
      <w:marBottom w:val="0"/>
      <w:divBdr>
        <w:top w:val="none" w:sz="0" w:space="0" w:color="auto"/>
        <w:left w:val="none" w:sz="0" w:space="0" w:color="auto"/>
        <w:bottom w:val="none" w:sz="0" w:space="0" w:color="auto"/>
        <w:right w:val="none" w:sz="0" w:space="0" w:color="auto"/>
      </w:divBdr>
    </w:div>
    <w:div w:id="1864318764">
      <w:bodyDiv w:val="1"/>
      <w:marLeft w:val="0"/>
      <w:marRight w:val="0"/>
      <w:marTop w:val="0"/>
      <w:marBottom w:val="0"/>
      <w:divBdr>
        <w:top w:val="none" w:sz="0" w:space="0" w:color="auto"/>
        <w:left w:val="none" w:sz="0" w:space="0" w:color="auto"/>
        <w:bottom w:val="none" w:sz="0" w:space="0" w:color="auto"/>
        <w:right w:val="none" w:sz="0" w:space="0" w:color="auto"/>
      </w:divBdr>
    </w:div>
    <w:div w:id="1879656183">
      <w:bodyDiv w:val="1"/>
      <w:marLeft w:val="0"/>
      <w:marRight w:val="0"/>
      <w:marTop w:val="0"/>
      <w:marBottom w:val="0"/>
      <w:divBdr>
        <w:top w:val="none" w:sz="0" w:space="0" w:color="auto"/>
        <w:left w:val="none" w:sz="0" w:space="0" w:color="auto"/>
        <w:bottom w:val="none" w:sz="0" w:space="0" w:color="auto"/>
        <w:right w:val="none" w:sz="0" w:space="0" w:color="auto"/>
      </w:divBdr>
    </w:div>
    <w:div w:id="1907567143">
      <w:bodyDiv w:val="1"/>
      <w:marLeft w:val="0"/>
      <w:marRight w:val="0"/>
      <w:marTop w:val="0"/>
      <w:marBottom w:val="0"/>
      <w:divBdr>
        <w:top w:val="none" w:sz="0" w:space="0" w:color="auto"/>
        <w:left w:val="none" w:sz="0" w:space="0" w:color="auto"/>
        <w:bottom w:val="none" w:sz="0" w:space="0" w:color="auto"/>
        <w:right w:val="none" w:sz="0" w:space="0" w:color="auto"/>
      </w:divBdr>
    </w:div>
    <w:div w:id="1976914183">
      <w:bodyDiv w:val="1"/>
      <w:marLeft w:val="0"/>
      <w:marRight w:val="0"/>
      <w:marTop w:val="0"/>
      <w:marBottom w:val="0"/>
      <w:divBdr>
        <w:top w:val="none" w:sz="0" w:space="0" w:color="auto"/>
        <w:left w:val="none" w:sz="0" w:space="0" w:color="auto"/>
        <w:bottom w:val="none" w:sz="0" w:space="0" w:color="auto"/>
        <w:right w:val="none" w:sz="0" w:space="0" w:color="auto"/>
      </w:divBdr>
    </w:div>
    <w:div w:id="2064131062">
      <w:bodyDiv w:val="1"/>
      <w:marLeft w:val="0"/>
      <w:marRight w:val="0"/>
      <w:marTop w:val="0"/>
      <w:marBottom w:val="0"/>
      <w:divBdr>
        <w:top w:val="none" w:sz="0" w:space="0" w:color="auto"/>
        <w:left w:val="none" w:sz="0" w:space="0" w:color="auto"/>
        <w:bottom w:val="none" w:sz="0" w:space="0" w:color="auto"/>
        <w:right w:val="none" w:sz="0" w:space="0" w:color="auto"/>
      </w:divBdr>
    </w:div>
    <w:div w:id="21161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2751</Words>
  <Characters>19834</Characters>
  <Application>Microsoft Office Word</Application>
  <DocSecurity>0</DocSecurity>
  <Lines>478</Lines>
  <Paragraphs>287</Paragraphs>
  <ScaleCrop>false</ScaleCrop>
  <HeadingPairs>
    <vt:vector size="2" baseType="variant">
      <vt:variant>
        <vt:lpstr>Title</vt:lpstr>
      </vt:variant>
      <vt:variant>
        <vt:i4>1</vt:i4>
      </vt:variant>
    </vt:vector>
  </HeadingPairs>
  <TitlesOfParts>
    <vt:vector size="1" baseType="lpstr">
      <vt:lpstr/>
    </vt:vector>
  </TitlesOfParts>
  <Manager/>
  <Company>LCE SIA</Company>
  <LinksUpToDate>false</LinksUpToDate>
  <CharactersWithSpaces>22414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Borushko</dc:creator>
  <cp:keywords/>
  <dc:description/>
  <cp:lastModifiedBy>Kirill Borushko</cp:lastModifiedBy>
  <cp:revision>2</cp:revision>
  <dcterms:created xsi:type="dcterms:W3CDTF">2026-01-19T14:26:00Z</dcterms:created>
  <dcterms:modified xsi:type="dcterms:W3CDTF">2026-01-19T14:26:00Z</dcterms:modified>
  <cp:category/>
</cp:coreProperties>
</file>