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 xml:space="preserve">Inkubatoru kūts pārbūve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5898F524" w:rsidR="00E94EAD" w:rsidRPr="00CD748A"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CD748A" w:rsidRPr="00CD748A">
        <w:rPr>
          <w:rFonts w:ascii="Times New Roman" w:eastAsia="Times New Roman" w:hAnsi="Times New Roman" w:cs="Times New Roman"/>
          <w:color w:val="1F497D" w:themeColor="text2"/>
          <w:sz w:val="24"/>
          <w:szCs w:val="24"/>
          <w:lang w:eastAsia="lv-LV"/>
        </w:rPr>
        <w:t>09</w:t>
      </w:r>
      <w:r w:rsidR="004C0007" w:rsidRPr="00CD748A">
        <w:rPr>
          <w:rFonts w:ascii="Times New Roman" w:eastAsia="Times New Roman" w:hAnsi="Times New Roman" w:cs="Times New Roman"/>
          <w:color w:val="1F497D" w:themeColor="text2"/>
          <w:sz w:val="24"/>
          <w:szCs w:val="24"/>
          <w:lang w:eastAsia="lv-LV"/>
        </w:rPr>
        <w:t>.</w:t>
      </w:r>
      <w:r w:rsidR="00CD748A" w:rsidRPr="00CD748A">
        <w:rPr>
          <w:rFonts w:ascii="Times New Roman" w:eastAsia="Times New Roman" w:hAnsi="Times New Roman" w:cs="Times New Roman"/>
          <w:color w:val="1F497D" w:themeColor="text2"/>
          <w:sz w:val="24"/>
          <w:szCs w:val="24"/>
          <w:lang w:eastAsia="lv-LV"/>
        </w:rPr>
        <w:t>01</w:t>
      </w:r>
      <w:r w:rsidRPr="00CD748A">
        <w:rPr>
          <w:rFonts w:ascii="Times New Roman" w:eastAsia="Times New Roman" w:hAnsi="Times New Roman" w:cs="Times New Roman"/>
          <w:color w:val="1F497D" w:themeColor="text2"/>
          <w:sz w:val="24"/>
          <w:szCs w:val="24"/>
          <w:lang w:eastAsia="lv-LV"/>
        </w:rPr>
        <w:t>.202</w:t>
      </w:r>
      <w:r w:rsidR="00CD748A" w:rsidRPr="00CD748A">
        <w:rPr>
          <w:rFonts w:ascii="Times New Roman" w:eastAsia="Times New Roman" w:hAnsi="Times New Roman" w:cs="Times New Roman"/>
          <w:color w:val="1F497D" w:themeColor="text2"/>
          <w:sz w:val="24"/>
          <w:szCs w:val="24"/>
          <w:lang w:eastAsia="lv-LV"/>
        </w:rPr>
        <w:t>6</w:t>
      </w:r>
      <w:r w:rsidRPr="00CD748A">
        <w:rPr>
          <w:rFonts w:ascii="Times New Roman" w:eastAsia="Times New Roman" w:hAnsi="Times New Roman" w:cs="Times New Roman"/>
          <w:color w:val="1F497D" w:themeColor="text2"/>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w:t>
      </w:r>
      <w:proofErr w:type="gramStart"/>
      <w:r w:rsidRPr="008E3385">
        <w:rPr>
          <w:rFonts w:eastAsia="Times New Roman"/>
          <w:color w:val="000000" w:themeColor="text1"/>
        </w:rPr>
        <w:t>PVN;</w:t>
      </w:r>
      <w:proofErr w:type="gramEnd"/>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proofErr w:type="gramStart"/>
      <w:r w:rsidRPr="00196578">
        <w:rPr>
          <w:rFonts w:eastAsia="Times New Roman"/>
          <w:color w:val="000000" w:themeColor="text1"/>
        </w:rPr>
        <w:t>pārklāties</w:t>
      </w:r>
      <w:proofErr w:type="spellEnd"/>
      <w:r w:rsidRPr="00196578">
        <w:rPr>
          <w:rFonts w:eastAsia="Times New Roman"/>
          <w:color w:val="000000" w:themeColor="text1"/>
        </w:rPr>
        <w:t>;</w:t>
      </w:r>
      <w:proofErr w:type="gramEnd"/>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w:t>
      </w:r>
      <w:proofErr w:type="gramStart"/>
      <w:r w:rsidRPr="001650A7">
        <w:rPr>
          <w:rFonts w:eastAsia="Times New Roman"/>
          <w:color w:val="000000" w:themeColor="text1"/>
        </w:rPr>
        <w:t>PVN;</w:t>
      </w:r>
      <w:proofErr w:type="gramEnd"/>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4833" w14:textId="77777777" w:rsidR="004845EF" w:rsidRDefault="004845EF" w:rsidP="00DD49C0">
      <w:pPr>
        <w:spacing w:after="0" w:line="240" w:lineRule="auto"/>
      </w:pPr>
      <w:r>
        <w:separator/>
      </w:r>
    </w:p>
  </w:endnote>
  <w:endnote w:type="continuationSeparator" w:id="0">
    <w:p w14:paraId="51A3DFE4" w14:textId="77777777" w:rsidR="004845EF" w:rsidRDefault="004845EF"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27F7" w14:textId="77777777" w:rsidR="004845EF" w:rsidRDefault="004845EF" w:rsidP="00DD49C0">
      <w:pPr>
        <w:spacing w:after="0" w:line="240" w:lineRule="auto"/>
      </w:pPr>
      <w:r>
        <w:separator/>
      </w:r>
    </w:p>
  </w:footnote>
  <w:footnote w:type="continuationSeparator" w:id="0">
    <w:p w14:paraId="604E226A" w14:textId="77777777" w:rsidR="004845EF" w:rsidRDefault="004845EF"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45EF"/>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F009E"/>
    <w:rsid w:val="0082756E"/>
    <w:rsid w:val="00832B4A"/>
    <w:rsid w:val="008343B6"/>
    <w:rsid w:val="00844DC5"/>
    <w:rsid w:val="00846B6D"/>
    <w:rsid w:val="008562B1"/>
    <w:rsid w:val="008616D4"/>
    <w:rsid w:val="00866EC6"/>
    <w:rsid w:val="00870BE6"/>
    <w:rsid w:val="0087678E"/>
    <w:rsid w:val="00895E49"/>
    <w:rsid w:val="008A0AFF"/>
    <w:rsid w:val="008A1610"/>
    <w:rsid w:val="008C43CC"/>
    <w:rsid w:val="008D1D10"/>
    <w:rsid w:val="008E3385"/>
    <w:rsid w:val="008F024F"/>
    <w:rsid w:val="008F5BB0"/>
    <w:rsid w:val="00900AF5"/>
    <w:rsid w:val="00915758"/>
    <w:rsid w:val="009336C2"/>
    <w:rsid w:val="00943DEA"/>
    <w:rsid w:val="009458FA"/>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5349E"/>
    <w:rsid w:val="00C6286B"/>
    <w:rsid w:val="00C643AD"/>
    <w:rsid w:val="00C64AAA"/>
    <w:rsid w:val="00C70318"/>
    <w:rsid w:val="00C7639E"/>
    <w:rsid w:val="00C85AC1"/>
    <w:rsid w:val="00CB0250"/>
    <w:rsid w:val="00CB6BF0"/>
    <w:rsid w:val="00CC0BCB"/>
    <w:rsid w:val="00CD182A"/>
    <w:rsid w:val="00CD4FD5"/>
    <w:rsid w:val="00CD748A"/>
    <w:rsid w:val="00D1090D"/>
    <w:rsid w:val="00D150B5"/>
    <w:rsid w:val="00D3463E"/>
    <w:rsid w:val="00D433F0"/>
    <w:rsid w:val="00D56932"/>
    <w:rsid w:val="00D60F4C"/>
    <w:rsid w:val="00D768E2"/>
    <w:rsid w:val="00D96EB6"/>
    <w:rsid w:val="00DA2C6F"/>
    <w:rsid w:val="00DB72A2"/>
    <w:rsid w:val="00DC15D9"/>
    <w:rsid w:val="00DD49C0"/>
    <w:rsid w:val="00DD78E4"/>
    <w:rsid w:val="00DE2E1B"/>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899</Words>
  <Characters>6250</Characters>
  <Application>Microsoft Office Word</Application>
  <DocSecurity>0</DocSecurity>
  <Lines>152</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2025-12-19T08:20:00Z</dcterms:modified>
</cp:coreProperties>
</file>