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1" name="Attēl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title=""/>
                    <pic:cNvPicPr>
                      <a:picLocks noChangeAspect="1" noChangeArrowheads="1"/>
                    </pic:cNvPicPr>
                  </pic:nvPicPr>
                  <pic:blipFill>
                    <a:blip r:embed="rId2"/>
                    <a:stretch>
                      <a:fillRect/>
                    </a:stretch>
                  </pic:blipFill>
                  <pic:spPr bwMode="auto">
                    <a:xfrm>
                      <a:off x="0" y="0"/>
                      <a:ext cx="1962150" cy="1061720"/>
                    </a:xfrm>
                    <a:prstGeom prst="rect">
                      <a:avLst/>
                    </a:prstGeom>
                  </pic:spPr>
                </pic:pic>
              </a:graphicData>
            </a:graphic>
          </wp:anchor>
        </w:drawing>
      </w:r>
      <w:r>
        <w:rPr>
          <w:b/>
          <w:bCs/>
        </w:rPr>
        <w:t>2.pielikums</w:t>
      </w:r>
    </w:p>
    <w:p>
      <w:pPr>
        <w:pStyle w:val="Normal"/>
        <w:jc w:val="end"/>
        <w:rPr>
          <w:b/>
          <w:bCs/>
        </w:rPr>
      </w:pPr>
      <w:r>
        <w:rPr>
          <w:sz w:val="18"/>
          <w:szCs w:val="18"/>
        </w:rPr>
        <w:t>iepirkuma “</w:t>
      </w:r>
      <w:r>
        <w:rPr>
          <w:rFonts w:eastAsia="" w:cs="Times New Roman" w:eastAsiaTheme="minorEastAsia"/>
          <w:iCs/>
          <w:color w:val="auto"/>
          <w:kern w:val="0"/>
          <w:sz w:val="18"/>
          <w:szCs w:val="18"/>
          <w:lang w:val="lv-LV" w:eastAsia="lv-LV" w:bidi="ar-SA"/>
        </w:rPr>
        <w:t xml:space="preserve">Vides pieejamības pasākumu realizācija </w:t>
      </w:r>
    </w:p>
    <w:p>
      <w:pPr>
        <w:pStyle w:val="Normal"/>
        <w:jc w:val="end"/>
        <w:rPr>
          <w:b/>
          <w:bCs/>
        </w:rPr>
      </w:pPr>
      <w:r>
        <w:rPr>
          <w:rFonts w:eastAsia="" w:cs="Times New Roman" w:eastAsiaTheme="minorEastAsia"/>
          <w:iCs/>
          <w:color w:val="auto"/>
          <w:kern w:val="0"/>
          <w:sz w:val="18"/>
          <w:szCs w:val="18"/>
          <w:lang w:val="lv-LV" w:eastAsia="lv-LV" w:bidi="ar-SA"/>
        </w:rPr>
        <w:t xml:space="preserve">MFD Doktorātā “Prūšu </w:t>
      </w:r>
      <w:r>
        <w:rPr>
          <w:sz w:val="18"/>
          <w:szCs w:val="18"/>
        </w:rPr>
        <w:t>”</w:t>
      </w:r>
      <w:r>
        <w:rPr>
          <w:rFonts w:eastAsia="Times New Roman" w:cs="Times New Roman"/>
          <w:color w:val="auto"/>
          <w:kern w:val="0"/>
          <w:sz w:val="18"/>
          <w:szCs w:val="18"/>
          <w:lang w:val="lv-LV" w:eastAsia="en-US" w:bidi="ar-SA"/>
        </w:rPr>
        <w:t>”</w:t>
      </w:r>
    </w:p>
    <w:p>
      <w:pPr>
        <w:pStyle w:val="Normal"/>
        <w:jc w:val="end"/>
        <w:rPr>
          <w:b/>
          <w:bCs/>
        </w:rPr>
      </w:pPr>
      <w:r>
        <w:rPr>
          <w:b/>
          <w:bCs/>
        </w:rPr>
      </w:r>
    </w:p>
    <w:p>
      <w:pPr>
        <w:pStyle w:val="Normal"/>
        <w:spacing w:before="0" w:after="0"/>
        <w:ind w:start="5245"/>
        <w:jc w:val="end"/>
        <w:rPr>
          <w:rFonts w:ascii="Times New Roman" w:hAnsi="Times New Roman" w:cs="Times New Roman"/>
          <w:sz w:val="18"/>
          <w:szCs w:val="18"/>
        </w:rPr>
      </w:pPr>
      <w:r>
        <w:rPr>
          <w:rFonts w:cs="Times New Roman"/>
          <w:sz w:val="18"/>
          <w:szCs w:val="18"/>
        </w:rPr>
      </w:r>
    </w:p>
    <w:p>
      <w:pPr>
        <w:pStyle w:val="Normal"/>
        <w:ind w:start="5245"/>
        <w:jc w:val="end"/>
        <w:rPr>
          <w:sz w:val="18"/>
          <w:szCs w:val="18"/>
        </w:rPr>
      </w:pPr>
      <w:r>
        <w:rPr>
          <w:sz w:val="18"/>
          <w:szCs w:val="18"/>
        </w:rPr>
      </w:r>
    </w:p>
    <w:p>
      <w:pPr>
        <w:pStyle w:val="Normal"/>
        <w:rPr>
          <w:b/>
          <w:bCs/>
        </w:rPr>
      </w:pPr>
      <w:r>
        <w:rPr>
          <w:b/>
          <w:bCs/>
        </w:rPr>
      </w:r>
    </w:p>
    <w:p>
      <w:pPr>
        <w:pStyle w:val="Normal"/>
        <w:jc w:val="center"/>
        <w:rPr>
          <w:b/>
          <w:bCs/>
        </w:rPr>
      </w:pPr>
      <w:r>
        <w:rPr>
          <w:b/>
          <w:bCs/>
        </w:rPr>
      </w:r>
    </w:p>
    <w:p>
      <w:pPr>
        <w:pStyle w:val="Normal"/>
        <w:jc w:val="center"/>
        <w:rPr>
          <w:b/>
          <w:bCs/>
          <w:caps/>
        </w:rPr>
      </w:pPr>
      <w:r>
        <w:rPr>
          <w:b/>
          <w:bCs/>
          <w:caps/>
        </w:rPr>
      </w:r>
    </w:p>
    <w:p>
      <w:pPr>
        <w:pStyle w:val="Normal"/>
        <w:jc w:val="center"/>
        <w:rPr>
          <w:b/>
          <w:bCs/>
          <w:caps/>
        </w:rPr>
      </w:pPr>
      <w:r>
        <w:rPr>
          <w:b/>
          <w:bCs/>
          <w:caps/>
        </w:rPr>
        <w:t>TehniskĀ SPECIFIKĀCIJA- dARBA UZDEVUMS</w:t>
      </w:r>
    </w:p>
    <w:p>
      <w:pPr>
        <w:pStyle w:val="Normal"/>
        <w:jc w:val="center"/>
        <w:rPr>
          <w:caps/>
        </w:rPr>
      </w:pPr>
      <w:r>
        <w:rPr>
          <w:caps/>
        </w:rPr>
      </w:r>
    </w:p>
    <w:p>
      <w:pPr>
        <w:pStyle w:val="BodyText"/>
        <w:spacing w:lineRule="auto" w:line="360" w:before="0" w:after="6"/>
        <w:jc w:val="center"/>
        <w:rPr/>
      </w:pPr>
      <w:r>
        <w:rPr>
          <w:rFonts w:cs="Times New Roman"/>
          <w:b/>
          <w:bCs/>
          <w:caps/>
          <w:sz w:val="24"/>
          <w:szCs w:val="24"/>
        </w:rPr>
        <w:t>Vides pieejamības pasākumu realizācija MFD Doktorātā “Prūšu</w:t>
      </w:r>
      <w:r>
        <w:rPr>
          <w:rFonts w:eastAsia="Times New Roman" w:cs="Times New Roman"/>
          <w:b/>
          <w:bCs/>
          <w:caps/>
          <w:color w:val="auto"/>
          <w:kern w:val="0"/>
          <w:sz w:val="24"/>
          <w:szCs w:val="24"/>
          <w:lang w:val="lv-LV" w:eastAsia="en-US" w:bidi="ar-SA"/>
        </w:rPr>
        <w:t>”</w:t>
      </w:r>
    </w:p>
    <w:p>
      <w:pPr>
        <w:pStyle w:val="Normal"/>
        <w:keepNext w:val="true"/>
        <w:numPr>
          <w:ilvl w:val="0"/>
          <w:numId w:val="0"/>
        </w:numPr>
        <w:tabs>
          <w:tab w:val="left" w:pos="720" w:leader="none"/>
        </w:tabs>
        <w:ind w:hanging="864" w:start="864"/>
        <w:jc w:val="center"/>
        <w:outlineLvl w:val="3"/>
        <w:rPr>
          <w:bCs/>
        </w:rPr>
      </w:pPr>
      <w:r>
        <w:rPr>
          <w:lang w:eastAsia="zh-CN"/>
        </w:rPr>
        <w:t>identifikā</w:t>
      </w:r>
      <w:r>
        <w:rPr>
          <w:rFonts w:eastAsia="Times New Roman" w:cs="Times New Roman"/>
          <w:color w:val="auto"/>
          <w:kern w:val="0"/>
          <w:sz w:val="24"/>
          <w:szCs w:val="24"/>
          <w:lang w:val="lv-LV" w:eastAsia="zh-CN" w:bidi="ar-SA"/>
        </w:rPr>
        <w:t>cijas Nr. DZ-P13_03-2026</w:t>
      </w:r>
    </w:p>
    <w:p>
      <w:pPr>
        <w:pStyle w:val="Normal"/>
        <w:jc w:val="center"/>
        <w:rPr/>
      </w:pPr>
      <w:r>
        <w:rPr/>
      </w:r>
    </w:p>
    <w:p>
      <w:pPr>
        <w:pStyle w:val="Normal"/>
        <w:rPr>
          <w:b/>
          <w:bCs/>
        </w:rPr>
      </w:pPr>
      <w:r>
        <w:rPr>
          <w:b/>
          <w:bCs/>
        </w:rPr>
        <w:t>1. VISPĀRĒJĀ INFORMĀCIJA</w:t>
      </w:r>
    </w:p>
    <w:p>
      <w:pPr>
        <w:pStyle w:val="Normal"/>
        <w:rPr/>
      </w:pPr>
      <w:r>
        <w:rPr/>
      </w:r>
    </w:p>
    <w:tbl>
      <w:tblPr>
        <w:tblW w:w="9649"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3695"/>
        <w:gridCol w:w="5953"/>
      </w:tblGrid>
      <w:tr>
        <w:trPr/>
        <w:tc>
          <w:tcPr>
            <w:tcW w:w="3695" w:type="dxa"/>
            <w:tcBorders>
              <w:top w:val="single" w:sz="4" w:space="0" w:color="000000"/>
              <w:start w:val="single" w:sz="4" w:space="0" w:color="000000"/>
              <w:bottom w:val="single" w:sz="4" w:space="0" w:color="000000"/>
            </w:tcBorders>
          </w:tcPr>
          <w:p>
            <w:pPr>
              <w:pStyle w:val="Normal"/>
              <w:rPr>
                <w:iCs/>
                <w:lang w:eastAsia="zh-CN"/>
              </w:rPr>
            </w:pPr>
            <w:r>
              <w:rPr>
                <w:lang w:eastAsia="zh-CN"/>
              </w:rPr>
              <w:t>Pasūtītājs</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pPr>
            <w:r>
              <w:rPr/>
              <w:t>Sabiedrība ar ierobežotu atbildību „DZIEDNIECĪBA”</w:t>
            </w:r>
          </w:p>
        </w:tc>
      </w:tr>
      <w:tr>
        <w:trPr/>
        <w:tc>
          <w:tcPr>
            <w:tcW w:w="3695" w:type="dxa"/>
            <w:tcBorders>
              <w:top w:val="single" w:sz="4" w:space="0" w:color="000000"/>
              <w:start w:val="single" w:sz="4" w:space="0" w:color="000000"/>
              <w:bottom w:val="single" w:sz="4" w:space="0" w:color="000000"/>
            </w:tcBorders>
          </w:tcPr>
          <w:p>
            <w:pPr>
              <w:pStyle w:val="Normal"/>
              <w:rPr>
                <w:lang w:eastAsia="zh-CN"/>
              </w:rPr>
            </w:pPr>
            <w:r>
              <w:rPr>
                <w:lang w:eastAsia="zh-CN"/>
              </w:rPr>
              <w:t>Nodokļu maksātāja reģistrācijas Nr.</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pPr>
            <w:r>
              <w:rPr/>
              <w:t>40003074548</w:t>
            </w:r>
          </w:p>
        </w:tc>
      </w:tr>
      <w:tr>
        <w:trPr/>
        <w:tc>
          <w:tcPr>
            <w:tcW w:w="3695" w:type="dxa"/>
            <w:tcBorders>
              <w:top w:val="single" w:sz="4" w:space="0" w:color="000000"/>
              <w:start w:val="single" w:sz="4" w:space="0" w:color="000000"/>
              <w:bottom w:val="single" w:sz="4" w:space="0" w:color="000000"/>
            </w:tcBorders>
          </w:tcPr>
          <w:p>
            <w:pPr>
              <w:pStyle w:val="Normal"/>
              <w:rPr>
                <w:lang w:eastAsia="zh-CN"/>
              </w:rPr>
            </w:pPr>
            <w:r>
              <w:rPr>
                <w:lang w:eastAsia="zh-CN"/>
              </w:rPr>
              <w:t>Pasūtītāja adrese</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pPr>
            <w:r>
              <w:rPr/>
              <w:t xml:space="preserve">Rušonu iela 15, Rīga, LV-1057 </w:t>
            </w:r>
          </w:p>
        </w:tc>
      </w:tr>
      <w:tr>
        <w:trPr/>
        <w:tc>
          <w:tcPr>
            <w:tcW w:w="3695" w:type="dxa"/>
            <w:tcBorders>
              <w:top w:val="single" w:sz="4" w:space="0" w:color="000000"/>
              <w:start w:val="single" w:sz="4" w:space="0" w:color="000000"/>
              <w:bottom w:val="single" w:sz="4" w:space="0" w:color="000000"/>
            </w:tcBorders>
          </w:tcPr>
          <w:p>
            <w:pPr>
              <w:pStyle w:val="Normal"/>
              <w:rPr>
                <w:lang w:eastAsia="zh-CN"/>
              </w:rPr>
            </w:pPr>
            <w:r>
              <w:rPr>
                <w:lang w:eastAsia="zh-CN"/>
              </w:rPr>
              <w:t>Objekta atrašanās vieta</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pPr>
            <w:r>
              <w:rPr/>
              <w:t>Valdeķu ielā 65, Rīgā, MFD Doktorāts “Ziepniekkalns”</w:t>
            </w:r>
          </w:p>
        </w:tc>
      </w:tr>
    </w:tbl>
    <w:p>
      <w:pPr>
        <w:pStyle w:val="Normal"/>
        <w:jc w:val="both"/>
        <w:rPr/>
      </w:pPr>
      <w:r>
        <w:rPr/>
        <w:t xml:space="preserve"> </w:t>
      </w:r>
    </w:p>
    <w:p>
      <w:pPr>
        <w:pStyle w:val="BodyText"/>
        <w:widowControl w:val="false"/>
        <w:suppressAutoHyphens w:val="true"/>
        <w:bidi w:val="0"/>
        <w:spacing w:before="0" w:after="0"/>
        <w:jc w:val="both"/>
        <w:rPr>
          <w:bCs/>
        </w:rPr>
      </w:pPr>
      <w:r>
        <w:rPr>
          <w:rFonts w:eastAsia="Arial Narrow"/>
        </w:rPr>
        <w:t xml:space="preserve">1. </w:t>
      </w:r>
      <w:bookmarkStart w:id="0" w:name="_Hlk152758940"/>
      <w:r>
        <w:rPr/>
        <w:t>Iepirkuma priekšm</w:t>
      </w:r>
      <w:r>
        <w:rPr>
          <w:rFonts w:eastAsia="Times New Roman" w:cs="Times New Roman"/>
          <w:color w:val="auto"/>
          <w:kern w:val="0"/>
          <w:sz w:val="24"/>
          <w:szCs w:val="24"/>
          <w:lang w:val="lv-LV" w:eastAsia="en-US" w:bidi="ar-SA"/>
        </w:rPr>
        <w:t xml:space="preserve">ets ir Vides pieejamības pasākumu realizācija MFD Doktorātā “Prūšu” </w:t>
      </w:r>
      <w:r>
        <w:rPr/>
        <w:t>(turpmāk – Darbi)</w:t>
      </w:r>
      <w:bookmarkEnd w:id="0"/>
      <w:r>
        <w:rPr/>
        <w:t xml:space="preserve">, ietverot sekojošo: </w:t>
      </w:r>
    </w:p>
    <w:p>
      <w:pPr>
        <w:pStyle w:val="Normal"/>
        <w:jc w:val="both"/>
        <w:rPr/>
      </w:pPr>
      <w:r>
        <w:rPr>
          <w:rFonts w:eastAsia="Arial Narrow"/>
        </w:rPr>
        <w:t xml:space="preserve">1.1. </w:t>
      </w:r>
      <w:r>
        <w:rPr>
          <w:rFonts w:eastAsia="Arial Narrow"/>
          <w:b/>
          <w:bCs/>
        </w:rPr>
        <w:t>Pretendents pirms piedāvājuma iesniegšanas apseko objektu</w:t>
      </w:r>
      <w:r>
        <w:rPr>
          <w:rFonts w:eastAsia="Arial Narrow"/>
          <w:b w:val="false"/>
          <w:bCs w:val="false"/>
        </w:rPr>
        <w:t xml:space="preserve"> un pārliecinās par telpu izmēriem, darbu apjomu un faktiskajiem apstākļiem objektā.</w:t>
      </w:r>
    </w:p>
    <w:p>
      <w:pPr>
        <w:pStyle w:val="Normal"/>
        <w:jc w:val="both"/>
        <w:rPr/>
      </w:pPr>
      <w:r>
        <w:rPr>
          <w:rStyle w:val="Strong"/>
          <w:b w:val="false"/>
          <w:bCs w:val="false"/>
        </w:rPr>
        <w:t>1.2.</w:t>
      </w:r>
      <w:r>
        <w:rPr>
          <w:b w:val="false"/>
          <w:bCs w:val="false"/>
        </w:rPr>
        <w:t xml:space="preserve"> Iesniedzot piedāvājumu, Pretendents pievieno darbu izmaksu tāmi, kurā iekļauti visi zemāk norādītie darbu apjomi. Izmaksās jāiekļauj arī darbi, kas nav atsevišķi izdalīti, bet ir tehnoloģiski nepieciešami vai konstatēti objekta apsekošanas laikā un nepieciešami kvalitatīvai darbu izpildei. Nepieciešamības gadījumā Pretendents var veikt padziļinātu izpēti segtajās konstrukcijās.</w:t>
      </w:r>
    </w:p>
    <w:p>
      <w:pPr>
        <w:pStyle w:val="Normal"/>
        <w:jc w:val="both"/>
        <w:rPr/>
      </w:pPr>
      <w:r>
        <w:rPr>
          <w:rStyle w:val="Strong"/>
          <w:b w:val="false"/>
          <w:bCs w:val="false"/>
        </w:rPr>
        <w:t>1.3.</w:t>
      </w:r>
      <w:r>
        <w:rPr>
          <w:b w:val="false"/>
          <w:bCs w:val="false"/>
        </w:rPr>
        <w:t xml:space="preserve"> Piedāvājumā jāiekļauj visi būvdarbi, materiāli, palīgmateriāli, iekārtas un mehānismi, kas nepieciešami Darbu pilnīgai un kvalitatīvai izpildei, arī gadījumos, ja atsevišķi darbi vai materiāli nav tieši uzskaitīti šajā darba uzdevumā, bet ir tehnoloģiski nepieciešami Darbu veikšanai.</w:t>
      </w:r>
    </w:p>
    <w:p>
      <w:pPr>
        <w:pStyle w:val="Normal"/>
        <w:jc w:val="both"/>
        <w:rPr/>
      </w:pPr>
      <w:r>
        <w:rPr>
          <w:rStyle w:val="Strong"/>
          <w:b w:val="false"/>
          <w:bCs w:val="false"/>
        </w:rPr>
        <w:t>1.4.</w:t>
      </w:r>
      <w:r>
        <w:rPr>
          <w:b w:val="false"/>
          <w:bCs w:val="false"/>
        </w:rPr>
        <w:t xml:space="preserve">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Normal"/>
        <w:jc w:val="both"/>
        <w:rPr/>
      </w:pPr>
      <w:r>
        <w:rPr>
          <w:rStyle w:val="Strong"/>
          <w:b w:val="false"/>
          <w:bCs w:val="false"/>
        </w:rPr>
        <w:t>1.5.</w:t>
      </w:r>
      <w:r>
        <w:rPr>
          <w:b w:val="false"/>
          <w:bCs w:val="false"/>
        </w:rPr>
        <w:t xml:space="preserve"> Darbu izpildes tāme jāsagatavo atbilstoši Latvijas Republikas spēkā esošo normatīvo aktu prasībām.</w:t>
      </w:r>
    </w:p>
    <w:p>
      <w:pPr>
        <w:pStyle w:val="Normal"/>
        <w:jc w:val="both"/>
        <w:rPr/>
      </w:pPr>
      <w:r>
        <w:rPr>
          <w:rStyle w:val="Strong"/>
          <w:b w:val="false"/>
          <w:bCs w:val="false"/>
        </w:rPr>
        <w:t>1.6.</w:t>
      </w:r>
      <w:r>
        <w:rPr>
          <w:b w:val="false"/>
          <w:bCs w:val="false"/>
        </w:rPr>
        <w:t xml:space="preserve"> Izpildot Darbus, jāievēro visas spēkā esošajos normatīvajos aktos noteiktās tehniskās, sanitārās, vides aizsardzības, ugunsdrošības, darba drošības un citas prasības.</w:t>
      </w:r>
    </w:p>
    <w:p>
      <w:pPr>
        <w:pStyle w:val="Normal"/>
        <w:jc w:val="both"/>
        <w:rPr/>
      </w:pPr>
      <w:r>
        <w:rPr>
          <w:rStyle w:val="Strong"/>
          <w:b w:val="false"/>
          <w:bCs w:val="false"/>
        </w:rPr>
        <w:t>1.7.</w:t>
      </w:r>
      <w:r>
        <w:rPr>
          <w:b w:val="false"/>
          <w:bCs w:val="false"/>
        </w:rPr>
        <w:t xml:space="preserve"> Darbu izpildes laikā jānorobežo bīstamās darbības zonas, ja tas nepieciešams drošības nodrošināšanai.</w:t>
      </w:r>
    </w:p>
    <w:p>
      <w:pPr>
        <w:pStyle w:val="Normal"/>
        <w:jc w:val="both"/>
        <w:rPr/>
      </w:pPr>
      <w:r>
        <w:rPr>
          <w:rStyle w:val="Strong"/>
          <w:b w:val="false"/>
          <w:bCs w:val="false"/>
        </w:rPr>
        <w:t>1.8.</w:t>
      </w:r>
      <w:r>
        <w:rPr>
          <w:b w:val="false"/>
          <w:bCs w:val="false"/>
        </w:rPr>
        <w:t xml:space="preserve"> Darbu izpildītājs nodrošina bez papildu maksas izpildīto Darbu nepilnību novēršanu, ja tās konstatētas un par tām ir sastādīts un abpusēji parakstīts defektu akts.</w:t>
      </w:r>
    </w:p>
    <w:p>
      <w:pPr>
        <w:pStyle w:val="Normal"/>
        <w:widowControl w:val="false"/>
        <w:suppressAutoHyphens w:val="true"/>
        <w:bidi w:val="0"/>
        <w:spacing w:before="0" w:after="0"/>
        <w:jc w:val="both"/>
        <w:rPr/>
      </w:pPr>
      <w:r>
        <w:rPr>
          <w:rStyle w:val="Strong"/>
          <w:rFonts w:eastAsia="Arial Narrow"/>
          <w:b w:val="false"/>
          <w:bCs w:val="false"/>
        </w:rPr>
        <w:t>1.9.</w:t>
      </w:r>
      <w:r>
        <w:rPr>
          <w:rFonts w:eastAsia="Arial Narrow"/>
          <w:b w:val="false"/>
          <w:bCs w:val="false"/>
        </w:rPr>
        <w:t xml:space="preserve"> Darbu izpildītājs nekavējoties informē Pasūtītāju par jebkādiem iespējamiem Darbu izpildes kavējumiem, ja tādi radušies vai varētu rasties.</w:t>
      </w:r>
    </w:p>
    <w:p>
      <w:pPr>
        <w:pStyle w:val="Normal"/>
        <w:tabs>
          <w:tab w:val="clear" w:pos="720"/>
          <w:tab w:val="left" w:pos="426" w:leader="none"/>
        </w:tabs>
        <w:jc w:val="both"/>
        <w:rPr>
          <w:rFonts w:eastAsia="Calibri"/>
        </w:rPr>
      </w:pPr>
      <w:r>
        <w:rPr>
          <w:rFonts w:eastAsia="Calibri"/>
        </w:rPr>
        <w:t xml:space="preserve">2. </w:t>
      </w:r>
      <w:r>
        <w:rPr>
          <w:rFonts w:eastAsia="Calibri"/>
          <w:b/>
          <w:bCs/>
        </w:rPr>
        <w:t>Papildus informācija par darbu izpildes kārtību</w:t>
      </w:r>
    </w:p>
    <w:p>
      <w:pPr>
        <w:pStyle w:val="Normal"/>
        <w:jc w:val="start"/>
        <w:rPr/>
      </w:pPr>
      <w:r>
        <w:rPr>
          <w:rStyle w:val="Strong"/>
          <w:b w:val="false"/>
          <w:bCs w:val="false"/>
        </w:rPr>
        <w:t>2.1. Darbu organizācija</w:t>
      </w:r>
      <w:r>
        <w:rPr>
          <w:bCs/>
        </w:rPr>
        <w:br/>
        <w:t>2.1.1. Būvdarbi veicami MFD Doktorāta telpās, nodrošinot ārstniecības iestādes nepārtrauktu darbību un pacientu apkalpošanas procesa netraucētu norisi.</w:t>
        <w:br/>
        <w:t>2.1.2. Darbi organizējami secīgi un pa posmiem, iepriekš saskaņojot darbu izpildes grafiku ar Pasūtītāju.</w:t>
        <w:br/>
        <w:t>2.1.3. Darbu izpildītājs izstrādā un pirms darbu uzsākšanas iesniedz Pasūtītājam saskaņošanai detalizētu darbu organizācijas plānu, kurā norādīti darbu posmi, termiņi, drošības pasākumi un iespējamie ierobežojumi.</w:t>
      </w:r>
    </w:p>
    <w:p>
      <w:pPr>
        <w:pStyle w:val="Normal"/>
        <w:jc w:val="start"/>
        <w:rPr/>
      </w:pPr>
      <w:r>
        <w:rPr>
          <w:rStyle w:val="Strong"/>
          <w:b w:val="false"/>
          <w:bCs w:val="false"/>
        </w:rPr>
        <w:t>2.2. Atbildība un drošība</w:t>
      </w:r>
      <w:r>
        <w:rPr>
          <w:bCs/>
        </w:rPr>
        <w:br/>
        <w:t>2.2.1. Darbu izpildītājs pilnā apmērā atbild par:</w:t>
      </w:r>
    </w:p>
    <w:p>
      <w:pPr>
        <w:pStyle w:val="Normal"/>
        <w:numPr>
          <w:ilvl w:val="0"/>
          <w:numId w:val="6"/>
        </w:numPr>
        <w:tabs>
          <w:tab w:val="clear" w:pos="720"/>
          <w:tab w:val="left" w:pos="0" w:leader="none"/>
        </w:tabs>
        <w:ind w:hanging="283" w:start="709"/>
        <w:jc w:val="start"/>
        <w:rPr>
          <w:bCs/>
        </w:rPr>
      </w:pPr>
      <w:r>
        <w:rPr>
          <w:bCs/>
        </w:rPr>
        <w:t>pacientu, apmeklētāju un personāla drošu, netraucētu un brīvu pārvietošanos;</w:t>
      </w:r>
    </w:p>
    <w:p>
      <w:pPr>
        <w:pStyle w:val="Normal"/>
        <w:numPr>
          <w:ilvl w:val="0"/>
          <w:numId w:val="6"/>
        </w:numPr>
        <w:tabs>
          <w:tab w:val="clear" w:pos="720"/>
          <w:tab w:val="left" w:pos="0" w:leader="none"/>
        </w:tabs>
        <w:ind w:hanging="283" w:start="709"/>
        <w:jc w:val="start"/>
        <w:rPr>
          <w:bCs/>
        </w:rPr>
      </w:pPr>
      <w:r>
        <w:rPr>
          <w:bCs/>
        </w:rPr>
        <w:t>darba zonu norobežošanu un marķēšanu;</w:t>
      </w:r>
    </w:p>
    <w:p>
      <w:pPr>
        <w:pStyle w:val="Normal"/>
        <w:numPr>
          <w:ilvl w:val="0"/>
          <w:numId w:val="6"/>
        </w:numPr>
        <w:tabs>
          <w:tab w:val="clear" w:pos="720"/>
          <w:tab w:val="left" w:pos="0" w:leader="none"/>
        </w:tabs>
        <w:ind w:hanging="283" w:start="709"/>
        <w:jc w:val="start"/>
        <w:rPr>
          <w:bCs/>
        </w:rPr>
      </w:pPr>
      <w:r>
        <w:rPr>
          <w:bCs/>
        </w:rPr>
        <w:t>darba drošības un ugunsdrošības prasību ievērošanu;</w:t>
      </w:r>
    </w:p>
    <w:p>
      <w:pPr>
        <w:pStyle w:val="Normal"/>
        <w:numPr>
          <w:ilvl w:val="0"/>
          <w:numId w:val="6"/>
        </w:numPr>
        <w:tabs>
          <w:tab w:val="clear" w:pos="720"/>
          <w:tab w:val="left" w:pos="0" w:leader="none"/>
        </w:tabs>
        <w:ind w:hanging="283" w:start="709"/>
        <w:jc w:val="start"/>
        <w:rPr>
          <w:bCs/>
        </w:rPr>
      </w:pPr>
      <w:r>
        <w:rPr>
          <w:bCs/>
        </w:rPr>
        <w:t>MFD Doktorāta darbības nepārtrauktības nodrošināšanu darbu izpildes laikā.</w:t>
      </w:r>
    </w:p>
    <w:p>
      <w:pPr>
        <w:pStyle w:val="Normal"/>
        <w:jc w:val="start"/>
        <w:rPr>
          <w:bCs/>
        </w:rPr>
      </w:pPr>
      <w:r>
        <w:rPr>
          <w:bCs/>
        </w:rPr>
        <w:t>2.2.2. Darbu izpildītājs nodrošina, ka tā personāls ievēro Pasūtītāja iekšējās kārtības noteikumus un citus saistošos normatīvos aktus.</w:t>
      </w:r>
    </w:p>
    <w:p>
      <w:pPr>
        <w:pStyle w:val="Normal"/>
        <w:jc w:val="start"/>
        <w:rPr/>
      </w:pPr>
      <w:r>
        <w:rPr>
          <w:rStyle w:val="Strong"/>
          <w:b w:val="false"/>
          <w:bCs w:val="false"/>
        </w:rPr>
        <w:t>2.3. Darbu izpildes laiks un ierobežojumi</w:t>
      </w:r>
      <w:r>
        <w:rPr>
          <w:bCs/>
        </w:rPr>
        <w:br/>
        <w:t>2.3.1. Darbi veicami darba dienās no plkst. 8:15 līdz 17:00, ja vien ar Pasūtītāju nav rakstiski saskaņots citādi.</w:t>
        <w:br/>
        <w:t>2.3.2. Darbi, kas rada paaugstinātu trokšņa līmeni, vibrāciju, putekļus vai citus ārstniecības procesam traucējošus faktorus, veicami ārpus MFD Doktorāta darba laika vai citā ar Pasūtītāju iepriekš rakstiski saskaņotā laikā.</w:t>
        <w:br/>
        <w:t>2.3.3. Inženierkomunikāciju (tai skaitā elektroapgādes, ūdensapgādes, kanalizācijas, ventilācijas u.c.) atslēgšana pieļaujama tikai pēc iepriekšējas rakstiskas saskaņošanas ar Pasūtītāju, norādot plānoto atslēguma laiku un ilgumu.</w:t>
      </w:r>
    </w:p>
    <w:p>
      <w:pPr>
        <w:pStyle w:val="Normal"/>
        <w:jc w:val="start"/>
        <w:rPr/>
      </w:pPr>
      <w:r>
        <w:rPr>
          <w:rStyle w:val="Strong"/>
          <w:b w:val="false"/>
          <w:bCs w:val="false"/>
        </w:rPr>
        <w:t>2.4. Putekļu un piesārņojuma kontrole</w:t>
      </w:r>
      <w:r>
        <w:rPr>
          <w:bCs/>
        </w:rPr>
        <w:br/>
        <w:t>2.4.1. Darbu izpildītājs nodrošina darba zonas hermētisku norobežošanu, putekļu izolāciju un piesārņojuma izplatīšanās novēršanu ārstniecības zonās.</w:t>
        <w:br/>
        <w:t>2.4.2. Pēc katras darba dienas Darbu izpildītājs nodrošina darba zonas uzkopšanu un drošas vides atjaunošanu.</w:t>
        <w:br/>
        <w:t>2.4.3. Aizliegts izmantot tehnoloģijas vai materiālus, kas rada pārmērīgu piesārņojuma risku ārstniecības iestādes telpās, ja vien tas nav iepriekš saskaņots ar Pasūtītāju.</w:t>
      </w:r>
    </w:p>
    <w:p>
      <w:pPr>
        <w:pStyle w:val="Normal"/>
        <w:jc w:val="start"/>
        <w:rPr/>
      </w:pPr>
      <w:r>
        <w:rPr>
          <w:rStyle w:val="Strong"/>
          <w:b w:val="false"/>
          <w:bCs w:val="false"/>
        </w:rPr>
        <w:t>2.5. Atkritumu apsaimniekošana</w:t>
      </w:r>
      <w:r>
        <w:rPr>
          <w:bCs/>
        </w:rPr>
        <w:br/>
        <w:t>2.5.1. Darbu izpildes laikā radušos būvniecības atkritumu savākšana un izvešana organizējama regulāri, nepieļaujot to uzkrāšanos MFD Doktorāta telpās vai teritorijā.</w:t>
        <w:br/>
        <w:t>2.5.2. Darbu izpildītājs nodrošina atkritumu apsaimniekošanu atbilstoši normatīvo aktu prasībām un uzrāda spēkā esošu līgumu ar licencētu atkritumu apsaimniekotāju.</w:t>
        <w:br/>
        <w:t>2.5.3. Atkritumu izvešana nedrīkst traucēt pacientu plūsmu un ārstniecības iestādes darbību.</w:t>
      </w:r>
    </w:p>
    <w:p>
      <w:pPr>
        <w:pStyle w:val="Normal"/>
        <w:tabs>
          <w:tab w:val="clear" w:pos="720"/>
          <w:tab w:val="left" w:pos="426" w:leader="none"/>
        </w:tabs>
        <w:jc w:val="start"/>
        <w:rPr>
          <w:rFonts w:eastAsia="Calibri"/>
        </w:rPr>
      </w:pPr>
      <w:r>
        <w:rPr>
          <w:rStyle w:val="Strong"/>
          <w:rFonts w:eastAsia="Calibri"/>
          <w:b w:val="false"/>
          <w:bCs w:val="false"/>
        </w:rPr>
        <w:t>2.6. Atbildība par bojājumiem</w:t>
      </w:r>
      <w:r>
        <w:rPr>
          <w:rFonts w:eastAsia="Calibri"/>
          <w:bCs/>
        </w:rPr>
        <w:br/>
        <w:t>2.6.1. Darbu izpildītājs pilnā apmērā atbild par jebkādiem bojājumiem MFD Doktorāta telpām, inženierkomunikācijām, aprīkojumam vai trešo personu īpašumam, kas radušies darbu izpildes rezultātā.</w:t>
        <w:br/>
        <w:t>2.6.2. Konstatētie bojājumi novēršami nekavējoties par Darbu izpildītāja līdzekļiem.</w:t>
      </w:r>
    </w:p>
    <w:p>
      <w:pPr>
        <w:pStyle w:val="Normal"/>
        <w:tabs>
          <w:tab w:val="left" w:pos="720" w:leader="none"/>
        </w:tabs>
        <w:rPr>
          <w:b/>
          <w:bCs/>
          <w:u w:val="single"/>
          <w:lang w:eastAsia="ar-SA"/>
        </w:rPr>
      </w:pPr>
      <w:r>
        <w:rPr>
          <w:bCs/>
          <w:u w:val="none" w:color="000000"/>
          <w:lang w:eastAsia="ar-SA"/>
        </w:rPr>
        <w:t xml:space="preserve">3. </w:t>
      </w:r>
      <w:r>
        <w:rPr>
          <w:b/>
          <w:u w:val="none" w:color="000000"/>
          <w:lang w:eastAsia="ar-SA"/>
        </w:rPr>
        <w:t>Kopējais izpildes termiņš</w:t>
      </w:r>
      <w:r>
        <w:rPr>
          <w:bCs/>
          <w:u w:val="none" w:color="000000"/>
          <w:lang w:eastAsia="ar-SA"/>
        </w:rPr>
        <w:t xml:space="preserve"> MFD Doktorāta koplietošanas telpu pielāgošanai vides pieejamības nodrošināšanai ir </w:t>
      </w:r>
      <w:r>
        <w:rPr>
          <w:b/>
          <w:bCs/>
          <w:u w:val="single"/>
          <w:lang w:eastAsia="ar-SA"/>
        </w:rPr>
        <w:t xml:space="preserve">ne garāks par 5 (pieci) mēnešiem. </w:t>
      </w:r>
    </w:p>
    <w:p>
      <w:pPr>
        <w:pStyle w:val="Normal"/>
        <w:rPr/>
      </w:pPr>
      <w:r>
        <w:rPr/>
        <w:t>4. Darbu izpildītājs ir atbildīgs par iepirkuma priekšmetu kopumā.</w:t>
      </w:r>
    </w:p>
    <w:p>
      <w:pPr>
        <w:pStyle w:val="Normal"/>
        <w:widowControl/>
        <w:jc w:val="both"/>
        <w:rPr>
          <w:bCs/>
        </w:rPr>
      </w:pPr>
      <w:r>
        <w:rPr/>
        <w:t xml:space="preserve">5. </w:t>
      </w:r>
      <w:r>
        <w:rPr>
          <w:rFonts w:eastAsia="Times New Roman" w:cs="Times New Roman"/>
          <w:b w:val="false"/>
          <w:bCs/>
          <w:i w:val="false"/>
          <w:strike w:val="false"/>
          <w:dstrike w:val="false"/>
          <w:outline w:val="false"/>
          <w:shadow w:val="false"/>
          <w:color w:val="000000"/>
          <w:sz w:val="22"/>
          <w:u w:val="none"/>
          <w:shd w:fill="auto" w:val="clear"/>
          <w:em w:val="none"/>
          <w:lang w:val="lv-LV" w:eastAsia="en-US" w:bidi="ar-SA"/>
        </w:rPr>
        <w:t>Veiktajiem b</w:t>
      </w:r>
      <w:r>
        <w:rPr>
          <w:b w:val="false"/>
          <w:bCs/>
          <w:i w:val="false"/>
          <w:strike w:val="false"/>
          <w:dstrike w:val="false"/>
          <w:outline w:val="false"/>
          <w:shadow w:val="false"/>
          <w:color w:val="000000"/>
          <w:sz w:val="22"/>
          <w:u w:val="none"/>
          <w:shd w:fill="auto" w:val="clear"/>
          <w:em w:val="none"/>
        </w:rPr>
        <w:t>ūvdarbiem</w:t>
      </w:r>
      <w:r>
        <w:rPr>
          <w:b w:val="false"/>
          <w:bCs/>
          <w:i w:val="false"/>
          <w:strike w:val="false"/>
          <w:dstrike w:val="false"/>
          <w:outline w:val="false"/>
          <w:shadow w:val="false"/>
          <w:color w:val="auto"/>
          <w:sz w:val="22"/>
          <w:u w:val="none"/>
          <w:em w:val="none"/>
        </w:rPr>
        <w:t xml:space="preserve"> garantijas termiņš ir </w:t>
      </w:r>
      <w:r>
        <w:rPr>
          <w:b/>
          <w:bCs/>
          <w:i w:val="false"/>
          <w:strike w:val="false"/>
          <w:dstrike w:val="false"/>
          <w:outline w:val="false"/>
          <w:shadow w:val="false"/>
          <w:color w:val="auto"/>
          <w:sz w:val="22"/>
          <w:u w:val="none"/>
          <w:em w:val="none"/>
        </w:rPr>
        <w:t>ne mazāks kā 24 (divdesmit četri) mēneši</w:t>
      </w:r>
      <w:r>
        <w:rPr>
          <w:b w:val="false"/>
          <w:bCs/>
          <w:i w:val="false"/>
          <w:strike w:val="false"/>
          <w:dstrike w:val="false"/>
          <w:outline w:val="false"/>
          <w:shadow w:val="false"/>
          <w:color w:val="auto"/>
          <w:sz w:val="22"/>
          <w:u w:val="none"/>
          <w:em w:val="none"/>
        </w:rPr>
        <w:t xml:space="preserve"> no nodošanas–pieņemšanas akta parakstīšanas dienas. Uzstādītajām iekārtām garantija tiek nodrošināta saskaņā ar ražotāja noteikumiem, bet </w:t>
      </w:r>
      <w:r>
        <w:rPr>
          <w:b/>
          <w:bCs/>
          <w:i w:val="false"/>
          <w:strike w:val="false"/>
          <w:dstrike w:val="false"/>
          <w:outline w:val="false"/>
          <w:shadow w:val="false"/>
          <w:color w:val="auto"/>
          <w:sz w:val="22"/>
          <w:u w:val="none"/>
          <w:em w:val="none"/>
        </w:rPr>
        <w:t>ne mazāk kā 24 mēnešus</w:t>
      </w:r>
      <w:r>
        <w:rPr>
          <w:b w:val="false"/>
          <w:bCs/>
          <w:i w:val="false"/>
          <w:strike w:val="false"/>
          <w:dstrike w:val="false"/>
          <w:outline w:val="false"/>
          <w:shadow w:val="false"/>
          <w:color w:val="auto"/>
          <w:sz w:val="22"/>
          <w:u w:val="none"/>
          <w:em w:val="none"/>
        </w:rPr>
        <w:t>.</w:t>
      </w:r>
    </w:p>
    <w:p>
      <w:pPr>
        <w:pStyle w:val="Normal"/>
        <w:tabs>
          <w:tab w:val="clear" w:pos="720"/>
          <w:tab w:val="left" w:pos="0" w:leader="none"/>
        </w:tabs>
        <w:rPr>
          <w:rStyle w:val="Strong"/>
          <w:rFonts w:eastAsia="Arial Narrow"/>
          <w:color w:themeColor="text1" w:val="000000"/>
          <w:sz w:val="22"/>
          <w:szCs w:val="22"/>
          <w:lang w:eastAsia="hi-IN" w:bidi="hi-IN"/>
        </w:rPr>
      </w:pPr>
      <w:r>
        <w:rPr>
          <w:rFonts w:eastAsia="Arial Narrow"/>
          <w:color w:themeColor="text1" w:val="000000"/>
          <w:sz w:val="22"/>
          <w:szCs w:val="22"/>
          <w:lang w:eastAsia="hi-IN" w:bidi="hi-IN"/>
        </w:rPr>
      </w:r>
    </w:p>
    <w:p>
      <w:pPr>
        <w:pStyle w:val="Normal"/>
        <w:tabs>
          <w:tab w:val="clear" w:pos="720"/>
          <w:tab w:val="left" w:pos="0" w:leader="none"/>
        </w:tabs>
        <w:rPr/>
      </w:pPr>
      <w:r>
        <w:rPr>
          <w:rStyle w:val="Strong"/>
          <w:rFonts w:eastAsia="Arial Narrow"/>
          <w:color w:themeColor="text1" w:val="000000"/>
          <w:lang w:eastAsia="hi-IN" w:bidi="hi-IN"/>
        </w:rPr>
        <w:t>Demontāžas darbi</w:t>
      </w:r>
    </w:p>
    <w:p>
      <w:pPr>
        <w:pStyle w:val="Normal"/>
        <w:rPr/>
      </w:pPr>
      <w:r>
        <w:rPr/>
        <w:tab/>
        <w:t>Veikt nepieciešamos demontāžas darbus ieejas mezglā, ģimenes ārsta prakses telpā un procedūru kabinetā, kas saistīti ar durvju nomaiņu un kondicionēšanas sistēmas izbūvi.</w:t>
      </w:r>
    </w:p>
    <w:p>
      <w:pPr>
        <w:pStyle w:val="BodyText"/>
        <w:rPr/>
      </w:pPr>
      <w:r>
        <w:rPr/>
        <w:t>Demontāžas darbu ietvaros paredzēts demontēt:</w:t>
      </w:r>
    </w:p>
    <w:p>
      <w:pPr>
        <w:pStyle w:val="BodyText"/>
        <w:numPr>
          <w:ilvl w:val="0"/>
          <w:numId w:val="9"/>
        </w:numPr>
        <w:spacing w:before="0" w:after="6"/>
        <w:rPr/>
      </w:pPr>
      <w:r>
        <w:rPr/>
        <w:t>esošās ieejas mezgla durvis un ar tām saistītos elementus;</w:t>
      </w:r>
    </w:p>
    <w:p>
      <w:pPr>
        <w:pStyle w:val="BodyText"/>
        <w:numPr>
          <w:ilvl w:val="0"/>
          <w:numId w:val="9"/>
        </w:numPr>
        <w:spacing w:before="0" w:after="6"/>
        <w:rPr/>
      </w:pPr>
      <w:r>
        <w:rPr/>
        <w:t>sliekšņa konstrukciju (ja nepieciešams);</w:t>
      </w:r>
    </w:p>
    <w:p>
      <w:pPr>
        <w:pStyle w:val="BodyText"/>
        <w:numPr>
          <w:ilvl w:val="0"/>
          <w:numId w:val="9"/>
        </w:numPr>
        <w:spacing w:before="0" w:after="6"/>
        <w:rPr/>
      </w:pPr>
      <w:r>
        <w:rPr/>
        <w:t>atsevišķus apdares fragmentus, kas traucē jauno risinājumu ieviešanai;</w:t>
      </w:r>
    </w:p>
    <w:p>
      <w:pPr>
        <w:pStyle w:val="BodyText"/>
        <w:numPr>
          <w:ilvl w:val="0"/>
          <w:numId w:val="9"/>
        </w:numPr>
        <w:spacing w:before="0" w:after="6"/>
        <w:rPr/>
      </w:pPr>
      <w:r>
        <w:rPr/>
        <w:t>lokālas konstrukciju vai apdares daļas inženierkomunikāciju izbūvei.</w:t>
      </w:r>
    </w:p>
    <w:p>
      <w:pPr>
        <w:pStyle w:val="BodyText"/>
        <w:rPr/>
      </w:pPr>
      <w:r>
        <w:rPr/>
        <w:t>Demontāžas darbi jāveic, nodrošinot ēkas nepārtrauktu ekspluatāciju un pacientu drošību.</w:t>
        <w:br/>
        <w:t>Būvgruži jāutilizē normatīvajos aktos noteiktajā kārtībā.</w:t>
      </w:r>
    </w:p>
    <w:p>
      <w:pPr>
        <w:pStyle w:val="BodyText"/>
        <w:rPr/>
      </w:pPr>
      <w:r>
        <w:rPr/>
      </w:r>
    </w:p>
    <w:p>
      <w:pPr>
        <w:pStyle w:val="Heading2"/>
        <w:rPr/>
      </w:pPr>
      <w:r>
        <w:rPr/>
        <w:t>Ieejas mezgla durvju nomaiņa un piekļūstamības nodrošināšana</w:t>
      </w:r>
    </w:p>
    <w:p>
      <w:pPr>
        <w:pStyle w:val="BodyText"/>
        <w:rPr/>
      </w:pPr>
      <w:r>
        <w:rPr/>
        <w:tab/>
        <w:t>Nodrošināt ieejas mezgla pārbūvi, mainot durvis un pielāgojot mezglu personu ar funkcionāliem traucējumiem drošai un patstāvīgai piekļuvei ārstniecības iestādei.</w:t>
      </w:r>
    </w:p>
    <w:p>
      <w:pPr>
        <w:pStyle w:val="BodyText"/>
        <w:numPr>
          <w:ilvl w:val="0"/>
          <w:numId w:val="0"/>
        </w:numPr>
        <w:spacing w:before="0" w:after="6"/>
        <w:ind w:hanging="0" w:start="720"/>
        <w:rPr/>
      </w:pPr>
      <w:r>
        <w:rPr/>
        <w:t>Darbu ietvaros paredzēts:</w:t>
      </w:r>
    </w:p>
    <w:p>
      <w:pPr>
        <w:pStyle w:val="BodyText"/>
        <w:numPr>
          <w:ilvl w:val="0"/>
          <w:numId w:val="10"/>
        </w:numPr>
        <w:spacing w:before="0" w:after="6"/>
        <w:rPr/>
      </w:pPr>
      <w:r>
        <w:rPr/>
        <w:t>uzstādīt jaunas ieejas durvis ar atbilstošu brīvās ejas platumu;</w:t>
      </w:r>
    </w:p>
    <w:p>
      <w:pPr>
        <w:pStyle w:val="BodyText"/>
        <w:numPr>
          <w:ilvl w:val="0"/>
          <w:numId w:val="10"/>
        </w:numPr>
        <w:spacing w:before="0" w:after="6"/>
        <w:rPr/>
      </w:pPr>
      <w:r>
        <w:rPr/>
        <w:t>samazināt vai likvidēt sliekšņa izvirzījumu, nodrošinot maksimāli līdzenu pāreju starp ārtelpu un iekštelpām;</w:t>
      </w:r>
    </w:p>
    <w:p>
      <w:pPr>
        <w:pStyle w:val="BodyText"/>
        <w:numPr>
          <w:ilvl w:val="0"/>
          <w:numId w:val="10"/>
        </w:numPr>
        <w:spacing w:before="0" w:after="6"/>
        <w:rPr/>
      </w:pPr>
      <w:r>
        <w:rPr/>
        <w:t>nodrošināt drošu pārvietošanos personām ar kustību traucējumiem, tostarp personām, kas izmanto ratiņkrēslu;</w:t>
      </w:r>
    </w:p>
    <w:p>
      <w:pPr>
        <w:pStyle w:val="BodyText"/>
        <w:numPr>
          <w:ilvl w:val="0"/>
          <w:numId w:val="10"/>
        </w:numPr>
        <w:spacing w:before="0" w:after="6"/>
        <w:rPr/>
      </w:pPr>
      <w:r>
        <w:rPr/>
        <w:t>nodrošināt hermētisku, energoefektīvu un drošu durvju mezgla izbūvi.</w:t>
      </w:r>
    </w:p>
    <w:p>
      <w:pPr>
        <w:pStyle w:val="BodyText"/>
        <w:rPr/>
      </w:pPr>
      <w:r>
        <w:rPr/>
        <w:t>Risinājumiem jāatbilst spēkā esošajiem normatīvajiem aktiem vides piekļūstamības jomā.</w:t>
        <w:br/>
        <w:t>Darbu rezultātā nedrīkst tikt pasliktināti evakuācijas ceļi un telpu funkcionālā pieejamība.</w:t>
      </w:r>
    </w:p>
    <w:p>
      <w:pPr>
        <w:pStyle w:val="Normal"/>
        <w:rPr/>
      </w:pPr>
      <w:r>
        <w:rPr/>
      </w:r>
    </w:p>
    <w:p>
      <w:pPr>
        <w:pStyle w:val="Normal"/>
        <w:tabs>
          <w:tab w:val="clear" w:pos="720"/>
          <w:tab w:val="left" w:pos="0" w:leader="none"/>
        </w:tabs>
        <w:rPr/>
      </w:pPr>
      <w:r>
        <w:rPr>
          <w:rStyle w:val="Strong"/>
          <w:rFonts w:eastAsia="Arial Narrow"/>
          <w:color w:themeColor="text1" w:val="000000"/>
          <w:lang w:eastAsia="hi-IN" w:bidi="hi-IN"/>
        </w:rPr>
        <w:t>Inženierkomunikācijas un elektroapgāde</w:t>
      </w:r>
    </w:p>
    <w:p>
      <w:pPr>
        <w:pStyle w:val="BodyText"/>
        <w:rPr/>
      </w:pPr>
      <w:r>
        <w:rPr/>
        <w:tab/>
        <w:t>Nodrošināt elektroapgādes un nepieciešamo inženierkomunikāciju pielāgošanu kondicionēšanas sistēmas uzstādīšanai.</w:t>
      </w:r>
    </w:p>
    <w:p>
      <w:pPr>
        <w:pStyle w:val="BodyText"/>
        <w:rPr/>
      </w:pPr>
      <w:r>
        <w:rPr/>
        <w:t>Veikt elektroinstalācijas izbūvi vai papildināšanu atbilstoši spēkā esošajiem normatīvajiem aktiem.</w:t>
      </w:r>
    </w:p>
    <w:p>
      <w:pPr>
        <w:pStyle w:val="BodyText"/>
        <w:rPr/>
      </w:pPr>
      <w:r>
        <w:rPr/>
        <w:t>Elektroapgādei jānodrošina:</w:t>
        <w:br/>
        <w:t>◦ droša ekspluatācija;</w:t>
        <w:br/>
        <w:t>◦ slodzes atbilstība uzstādāmajām iekārtām;</w:t>
        <w:br/>
        <w:t>◦ iespēja veikt apkopi bez ārstniecības iestādes darbības pārtraukšanas.</w:t>
      </w:r>
    </w:p>
    <w:p>
      <w:pPr>
        <w:pStyle w:val="BodyText"/>
        <w:rPr/>
      </w:pPr>
      <w:r>
        <w:rPr/>
        <w:t>Visām elektroiekārtām jābūt ar CE marķējumu.</w:t>
      </w:r>
    </w:p>
    <w:p>
      <w:pPr>
        <w:pStyle w:val="BodyText"/>
        <w:widowControl w:val="false"/>
        <w:numPr>
          <w:ilvl w:val="0"/>
          <w:numId w:val="0"/>
        </w:numPr>
        <w:tabs>
          <w:tab w:val="clear" w:pos="720"/>
          <w:tab w:val="left" w:pos="0" w:leader="none"/>
        </w:tabs>
        <w:suppressAutoHyphens w:val="true"/>
        <w:bidi w:val="0"/>
        <w:spacing w:before="0" w:after="6"/>
        <w:ind w:hanging="0" w:start="1418"/>
        <w:jc w:val="start"/>
        <w:rPr/>
      </w:pPr>
      <w:r>
        <w:rPr/>
      </w:r>
    </w:p>
    <w:p>
      <w:pPr>
        <w:pStyle w:val="Heading2"/>
        <w:rPr>
          <w:rFonts w:cs="Times New Roman"/>
        </w:rPr>
      </w:pPr>
      <w:r>
        <w:rPr>
          <w:rStyle w:val="Strong"/>
          <w:rFonts w:cs="Times New Roman"/>
          <w:b/>
          <w:bCs/>
        </w:rPr>
        <w:t>Kondicionēšanas sistēmu uzstādīšana</w:t>
      </w:r>
    </w:p>
    <w:p>
      <w:pPr>
        <w:pStyle w:val="BodyText"/>
        <w:rPr/>
      </w:pPr>
      <w:r>
        <w:rPr/>
        <w:tab/>
        <w:t>Uzstādīt kondicionēšanas iekārtas:</w:t>
      </w:r>
    </w:p>
    <w:p>
      <w:pPr>
        <w:pStyle w:val="BodyText"/>
        <w:numPr>
          <w:ilvl w:val="1"/>
          <w:numId w:val="5"/>
        </w:numPr>
        <w:tabs>
          <w:tab w:val="clear" w:pos="720"/>
          <w:tab w:val="left" w:pos="0" w:leader="none"/>
        </w:tabs>
        <w:spacing w:before="0" w:after="6"/>
        <w:rPr/>
      </w:pPr>
      <w:r>
        <w:rPr/>
        <w:t>ģimenes ārstes prakses telpā 107. kab.,</w:t>
      </w:r>
    </w:p>
    <w:p>
      <w:pPr>
        <w:pStyle w:val="BodyText"/>
        <w:numPr>
          <w:ilvl w:val="1"/>
          <w:numId w:val="5"/>
        </w:numPr>
        <w:tabs>
          <w:tab w:val="clear" w:pos="720"/>
          <w:tab w:val="left" w:pos="0" w:leader="none"/>
        </w:tabs>
        <w:spacing w:before="0" w:after="6"/>
        <w:rPr/>
      </w:pPr>
      <w:r>
        <w:rPr/>
        <w:t>procedūru kabinetā.</w:t>
      </w:r>
    </w:p>
    <w:p>
      <w:pPr>
        <w:pStyle w:val="BodyText"/>
        <w:widowControl w:val="false"/>
        <w:numPr>
          <w:ilvl w:val="0"/>
          <w:numId w:val="0"/>
        </w:numPr>
        <w:tabs>
          <w:tab w:val="clear" w:pos="720"/>
          <w:tab w:val="left" w:pos="0" w:leader="none"/>
        </w:tabs>
        <w:suppressAutoHyphens w:val="true"/>
        <w:bidi w:val="0"/>
        <w:spacing w:before="0" w:after="6"/>
        <w:ind w:hanging="0" w:start="720" w:end="0"/>
        <w:jc w:val="start"/>
        <w:rPr/>
      </w:pPr>
      <w:r>
        <w:rPr/>
        <w:t>Kondicionēšanas sistēmām jāatbilst minimālajām tehniskajām prasībām:</w:t>
      </w:r>
    </w:p>
    <w:p>
      <w:pPr>
        <w:pStyle w:val="BodyText"/>
        <w:widowControl w:val="false"/>
        <w:numPr>
          <w:ilvl w:val="0"/>
          <w:numId w:val="8"/>
        </w:numPr>
        <w:tabs>
          <w:tab w:val="clear" w:pos="720"/>
          <w:tab w:val="left" w:pos="0" w:leader="none"/>
        </w:tabs>
        <w:suppressAutoHyphens w:val="true"/>
        <w:bidi w:val="0"/>
        <w:spacing w:before="0" w:after="6"/>
        <w:ind w:firstLine="360" w:start="720" w:end="0"/>
        <w:jc w:val="start"/>
        <w:rPr/>
      </w:pPr>
      <w:r>
        <w:rPr>
          <w:rFonts w:eastAsia="Times New Roman" w:cs="Times New Roman"/>
          <w:color w:val="auto"/>
          <w:kern w:val="0"/>
          <w:sz w:val="24"/>
          <w:szCs w:val="24"/>
          <w:lang w:val="lv-LV" w:eastAsia="en-US" w:bidi="ar-SA"/>
        </w:rPr>
        <w:t>energoefektivitātes klase ne zemāka par A++;</w:t>
      </w:r>
    </w:p>
    <w:p>
      <w:pPr>
        <w:pStyle w:val="BodyText"/>
        <w:widowControl w:val="false"/>
        <w:numPr>
          <w:ilvl w:val="1"/>
          <w:numId w:val="5"/>
        </w:numPr>
        <w:tabs>
          <w:tab w:val="clear" w:pos="720"/>
          <w:tab w:val="left" w:pos="0" w:leader="none"/>
        </w:tabs>
        <w:suppressAutoHyphens w:val="true"/>
        <w:bidi w:val="0"/>
        <w:spacing w:before="0" w:after="6"/>
        <w:ind w:firstLine="360" w:start="720" w:end="0"/>
        <w:jc w:val="start"/>
        <w:rPr/>
      </w:pPr>
      <w:r>
        <w:rPr>
          <w:rFonts w:eastAsia="Times New Roman" w:cs="Times New Roman"/>
          <w:color w:val="auto"/>
          <w:kern w:val="0"/>
          <w:sz w:val="24"/>
          <w:szCs w:val="24"/>
          <w:lang w:val="lv-LV" w:eastAsia="en-US" w:bidi="ar-SA"/>
        </w:rPr>
        <w:t>zems trokšņu līmenis;</w:t>
      </w:r>
    </w:p>
    <w:p>
      <w:pPr>
        <w:pStyle w:val="BodyText"/>
        <w:widowControl w:val="false"/>
        <w:numPr>
          <w:ilvl w:val="1"/>
          <w:numId w:val="5"/>
        </w:numPr>
        <w:tabs>
          <w:tab w:val="clear" w:pos="720"/>
          <w:tab w:val="left" w:pos="0" w:leader="none"/>
        </w:tabs>
        <w:suppressAutoHyphens w:val="true"/>
        <w:bidi w:val="0"/>
        <w:spacing w:before="0" w:after="6"/>
        <w:ind w:firstLine="360" w:start="720" w:end="0"/>
        <w:jc w:val="start"/>
        <w:rPr/>
      </w:pPr>
      <w:r>
        <w:rPr>
          <w:rFonts w:eastAsia="Times New Roman" w:cs="Times New Roman"/>
          <w:color w:val="auto"/>
          <w:kern w:val="0"/>
          <w:sz w:val="24"/>
          <w:szCs w:val="24"/>
          <w:lang w:val="lv-LV" w:eastAsia="en-US" w:bidi="ar-SA"/>
        </w:rPr>
        <w:t>vienmērīga gaisa sadale;</w:t>
      </w:r>
    </w:p>
    <w:p>
      <w:pPr>
        <w:pStyle w:val="BodyText"/>
        <w:widowControl w:val="false"/>
        <w:numPr>
          <w:ilvl w:val="1"/>
          <w:numId w:val="5"/>
        </w:numPr>
        <w:tabs>
          <w:tab w:val="clear" w:pos="720"/>
          <w:tab w:val="left" w:pos="0" w:leader="none"/>
        </w:tabs>
        <w:suppressAutoHyphens w:val="true"/>
        <w:bidi w:val="0"/>
        <w:spacing w:before="0" w:after="6"/>
        <w:ind w:firstLine="360" w:start="720" w:end="0"/>
        <w:jc w:val="start"/>
        <w:rPr/>
      </w:pPr>
      <w:r>
        <w:rPr>
          <w:rFonts w:eastAsia="Times New Roman" w:cs="Times New Roman"/>
          <w:color w:val="auto"/>
          <w:kern w:val="0"/>
          <w:sz w:val="24"/>
          <w:szCs w:val="24"/>
          <w:lang w:val="lv-LV" w:eastAsia="en-US" w:bidi="ar-SA"/>
        </w:rPr>
        <w:t>iespēja regulēt temperatūru atbilstoši ārstniecības telpu vajadzībām.</w:t>
      </w:r>
    </w:p>
    <w:p>
      <w:pPr>
        <w:pStyle w:val="BodyText"/>
        <w:rPr/>
      </w:pPr>
      <w:r>
        <w:rPr/>
        <w:t>Iekārtu izvietojums nedrīkst radīt diskomfortu pacientiem un personālam.</w:t>
        <w:br/>
        <w:t>Āra bloku uzstādīšana jāveic atbilstoši normatīvo aktu prasībām un ēkas tehniskajām iespējām.</w:t>
      </w:r>
    </w:p>
    <w:p>
      <w:pPr>
        <w:pStyle w:val="BodyText"/>
        <w:widowControl w:val="false"/>
        <w:numPr>
          <w:ilvl w:val="0"/>
          <w:numId w:val="0"/>
        </w:numPr>
        <w:tabs>
          <w:tab w:val="clear" w:pos="720"/>
          <w:tab w:val="left" w:pos="0" w:leader="none"/>
        </w:tabs>
        <w:suppressAutoHyphens w:val="true"/>
        <w:bidi w:val="0"/>
        <w:spacing w:before="0" w:after="6"/>
        <w:ind w:hanging="0" w:start="0" w:end="0"/>
        <w:jc w:val="start"/>
        <w:rPr/>
      </w:pPr>
      <w:r>
        <w:rPr>
          <w:rStyle w:val="Strong"/>
          <w:rFonts w:cs="Times New Roman"/>
          <w:b/>
          <w:bCs/>
        </w:rPr>
        <w:t>Telpu apdares nosacījumi</w:t>
      </w:r>
    </w:p>
    <w:p>
      <w:pPr>
        <w:pStyle w:val="BodyText"/>
        <w:widowControl w:val="false"/>
        <w:numPr>
          <w:ilvl w:val="0"/>
          <w:numId w:val="0"/>
        </w:numPr>
        <w:suppressAutoHyphens w:val="true"/>
        <w:bidi w:val="0"/>
        <w:spacing w:before="0" w:after="120"/>
        <w:ind w:hanging="0" w:start="720" w:end="0"/>
        <w:jc w:val="start"/>
        <w:rPr/>
      </w:pPr>
      <w:r>
        <w:rPr/>
        <w:t>Vispārēji iekšējās apdares remontdarbi (t.sk. sienu krāsošana vai pilna telpu atjaunošana) nav paredzēti.</w:t>
      </w:r>
    </w:p>
    <w:p>
      <w:pPr>
        <w:pStyle w:val="BodyText"/>
        <w:widowControl w:val="false"/>
        <w:numPr>
          <w:ilvl w:val="0"/>
          <w:numId w:val="0"/>
        </w:numPr>
        <w:suppressAutoHyphens w:val="true"/>
        <w:bidi w:val="0"/>
        <w:spacing w:before="0" w:after="120"/>
        <w:ind w:hanging="0" w:start="720" w:end="0"/>
        <w:jc w:val="start"/>
        <w:rPr/>
      </w:pPr>
      <w:r>
        <w:rPr>
          <w:rStyle w:val="Strong"/>
          <w:rFonts w:cs="Times New Roman"/>
          <w:b w:val="false"/>
          <w:bCs w:val="false"/>
        </w:rPr>
        <w:t>Pieļaujami tikai lokāli atjaunošanas darbi tajās vietās, kur tas nepieciešams durvju nomaiņas vai inženierkomunikāciju izbūves rezultātā.</w:t>
      </w:r>
    </w:p>
    <w:p>
      <w:pPr>
        <w:pStyle w:val="Heading2"/>
        <w:rPr>
          <w:rFonts w:cs="Times New Roman"/>
        </w:rPr>
      </w:pPr>
      <w:r>
        <w:rPr>
          <w:rStyle w:val="Strong"/>
          <w:rFonts w:cs="Times New Roman"/>
          <w:b/>
          <w:bCs/>
        </w:rPr>
        <w:t>Darbu organizācija un nodošana</w:t>
      </w:r>
    </w:p>
    <w:p>
      <w:pPr>
        <w:pStyle w:val="BodyText"/>
        <w:rPr/>
      </w:pPr>
      <w:r>
        <w:rPr/>
        <w:tab/>
        <w:t>Darbi jāorganizē tā, lai netraucētu ārstniecības iestādes darbību un nodrošinātu pacientu drošību.</w:t>
        <w:br/>
        <w:tab/>
        <w:t xml:space="preserve">Pēc darbu pabeigšanas izpildītājs nodrošina: </w:t>
      </w:r>
    </w:p>
    <w:p>
      <w:pPr>
        <w:pStyle w:val="BodyText"/>
        <w:widowControl w:val="false"/>
        <w:numPr>
          <w:ilvl w:val="0"/>
          <w:numId w:val="7"/>
        </w:numPr>
        <w:suppressAutoHyphens w:val="true"/>
        <w:bidi w:val="0"/>
        <w:spacing w:before="0" w:after="6"/>
        <w:ind w:firstLine="360" w:start="720" w:end="0"/>
        <w:jc w:val="start"/>
        <w:rPr/>
      </w:pPr>
      <w:r>
        <w:rPr/>
        <w:t>iekārtu pārbaudi un nodošanu ekspluatācijā;</w:t>
      </w:r>
    </w:p>
    <w:p>
      <w:pPr>
        <w:pStyle w:val="BodyText"/>
        <w:widowControl w:val="false"/>
        <w:numPr>
          <w:ilvl w:val="0"/>
          <w:numId w:val="7"/>
        </w:numPr>
        <w:suppressAutoHyphens w:val="true"/>
        <w:bidi w:val="0"/>
        <w:spacing w:before="0" w:after="6"/>
        <w:ind w:firstLine="360" w:start="720" w:end="0"/>
        <w:jc w:val="start"/>
        <w:rPr/>
      </w:pPr>
      <w:r>
        <w:rPr/>
        <w:t>lietošanas un apkopes instrukciju nodošanu;</w:t>
      </w:r>
    </w:p>
    <w:p>
      <w:pPr>
        <w:pStyle w:val="BodyText"/>
        <w:widowControl w:val="false"/>
        <w:numPr>
          <w:ilvl w:val="0"/>
          <w:numId w:val="7"/>
        </w:numPr>
        <w:suppressAutoHyphens w:val="true"/>
        <w:bidi w:val="0"/>
        <w:spacing w:before="0" w:after="6"/>
        <w:ind w:firstLine="360" w:start="720" w:end="0"/>
        <w:jc w:val="start"/>
        <w:rPr/>
      </w:pPr>
      <w:r>
        <w:rPr/>
        <w:t>garantijas dokumentus;</w:t>
      </w:r>
    </w:p>
    <w:p>
      <w:pPr>
        <w:pStyle w:val="BodyText"/>
        <w:widowControl w:val="false"/>
        <w:numPr>
          <w:ilvl w:val="0"/>
          <w:numId w:val="7"/>
        </w:numPr>
        <w:suppressAutoHyphens w:val="true"/>
        <w:bidi w:val="0"/>
        <w:spacing w:before="0" w:after="6"/>
        <w:ind w:firstLine="360" w:start="720" w:end="0"/>
        <w:jc w:val="start"/>
        <w:rPr/>
      </w:pPr>
      <w:r>
        <w:rPr/>
        <w:t>izpilddokumentāciju (ja attiecināms).</w:t>
        <w:br/>
        <w:tab/>
        <w:t xml:space="preserve">   Visi darbi jāveic atbilstoši spēkā esošajiem normatīvajiem aktiem.</w:t>
      </w:r>
    </w:p>
    <w:p>
      <w:pPr>
        <w:pStyle w:val="Heading2"/>
        <w:rPr>
          <w:rFonts w:cs="Times New Roman"/>
        </w:rPr>
      </w:pPr>
      <w:r>
        <w:rPr>
          <w:rStyle w:val="Strong"/>
          <w:rFonts w:cs="Times New Roman"/>
          <w:b/>
          <w:bCs/>
        </w:rPr>
        <w:t>Papilddarbi</w:t>
      </w:r>
    </w:p>
    <w:p>
      <w:pPr>
        <w:pStyle w:val="Normal"/>
        <w:ind w:firstLine="578" w:start="142"/>
        <w:rPr/>
      </w:pPr>
      <w:r>
        <w:rPr/>
        <w:t>Par papilddarbiem var tikt atzīti tikai tie darbi:</w:t>
      </w:r>
    </w:p>
    <w:p>
      <w:pPr>
        <w:pStyle w:val="Normal"/>
        <w:numPr>
          <w:ilvl w:val="0"/>
          <w:numId w:val="3"/>
        </w:numPr>
        <w:tabs>
          <w:tab w:val="clear" w:pos="720"/>
          <w:tab w:val="left" w:pos="0" w:leader="none"/>
        </w:tabs>
        <w:ind w:firstLine="295" w:start="851"/>
        <w:rPr/>
      </w:pPr>
      <w:r>
        <w:rPr/>
        <w:t>kurus nebija iespējams paredzēt objekta apskates laikā;</w:t>
      </w:r>
    </w:p>
    <w:p>
      <w:pPr>
        <w:pStyle w:val="Normal"/>
        <w:numPr>
          <w:ilvl w:val="0"/>
          <w:numId w:val="3"/>
        </w:numPr>
        <w:tabs>
          <w:tab w:val="clear" w:pos="720"/>
          <w:tab w:val="left" w:pos="0" w:leader="none"/>
        </w:tabs>
        <w:ind w:firstLine="295" w:start="851"/>
        <w:rPr/>
      </w:pPr>
      <w:r>
        <w:rPr/>
        <w:t>kas konstatēti būvdarbu gaitā, atsedzot konstrukcijas;</w:t>
      </w:r>
    </w:p>
    <w:p>
      <w:pPr>
        <w:pStyle w:val="Normal"/>
        <w:numPr>
          <w:ilvl w:val="0"/>
          <w:numId w:val="3"/>
        </w:numPr>
        <w:tabs>
          <w:tab w:val="clear" w:pos="720"/>
          <w:tab w:val="left" w:pos="0" w:leader="none"/>
        </w:tabs>
        <w:ind w:firstLine="295" w:start="851"/>
        <w:rPr/>
      </w:pPr>
      <w:r>
        <w:rPr/>
        <w:t xml:space="preserve">kas ir tehniski nepieciešami drošas un normatīvi atbilstošas ekspluatācijas nodrošināšanai. </w:t>
      </w:r>
    </w:p>
    <w:p>
      <w:pPr>
        <w:pStyle w:val="Normal"/>
        <w:spacing w:before="0" w:after="0"/>
        <w:ind w:firstLine="578" w:start="142"/>
        <w:rPr/>
      </w:pPr>
      <w:r>
        <w:rPr/>
        <w:t>Visi darbi jāorganizē, ievērojot ārstniecības iestādes higiēnas un drošības prasības.</w:t>
      </w:r>
    </w:p>
    <w:p>
      <w:pPr>
        <w:pStyle w:val="Heading2"/>
        <w:keepNext w:val="true"/>
        <w:keepLines/>
        <w:widowControl w:val="false"/>
        <w:suppressAutoHyphens w:val="true"/>
        <w:bidi w:val="0"/>
        <w:ind w:hanging="180" w:start="180"/>
        <w:jc w:val="start"/>
        <w:rPr/>
      </w:pPr>
      <w:r>
        <w:rPr>
          <w:rStyle w:val="Strong"/>
          <w:rFonts w:cs="Times New Roman"/>
          <w:b/>
          <w:bCs/>
          <w:color w:val="auto"/>
          <w:lang w:bidi="ar-SA"/>
        </w:rPr>
        <w:t>Speciālisti un atbildība</w:t>
      </w:r>
    </w:p>
    <w:p>
      <w:pPr>
        <w:pStyle w:val="Normal"/>
        <w:ind w:firstLine="11" w:start="709"/>
        <w:rPr/>
      </w:pPr>
      <w:r>
        <w:rPr/>
        <w:t>Darbu izpildē jāiesaista sertificēti būvdarbu speciālisti atbilstoši veicamajiem darbiem.</w:t>
        <w:br/>
        <w:t>Atbildīgajai personai jānodrošina klātbūtne objektā un sadarbība ar Pasūtītāju visā būvdarbu laikā.</w:t>
      </w:r>
    </w:p>
    <w:p>
      <w:pPr>
        <w:pStyle w:val="Heading2"/>
        <w:rPr>
          <w:rFonts w:cs="Times New Roman"/>
        </w:rPr>
      </w:pPr>
      <w:r>
        <w:rPr>
          <w:rStyle w:val="Strong"/>
          <w:rFonts w:cs="Times New Roman"/>
          <w:b/>
          <w:bCs/>
          <w:color w:val="auto"/>
          <w:lang w:bidi="ar-SA"/>
        </w:rPr>
        <w:t>Nodošanas-pieņemšanas kritēriji</w:t>
      </w:r>
    </w:p>
    <w:p>
      <w:pPr>
        <w:pStyle w:val="Normal"/>
        <w:ind w:firstLine="578" w:start="142"/>
        <w:rPr/>
      </w:pPr>
      <w:r>
        <w:rPr/>
        <w:t>Darbi uzskatāmi par izpildītiem un pieņemami, ja:</w:t>
      </w:r>
    </w:p>
    <w:p>
      <w:pPr>
        <w:pStyle w:val="Normal"/>
        <w:numPr>
          <w:ilvl w:val="0"/>
          <w:numId w:val="4"/>
        </w:numPr>
        <w:tabs>
          <w:tab w:val="clear" w:pos="720"/>
          <w:tab w:val="left" w:pos="0" w:leader="none"/>
        </w:tabs>
        <w:ind w:firstLine="295" w:start="851"/>
        <w:rPr/>
      </w:pPr>
      <w:r>
        <w:rPr/>
        <w:t>Ieejas mezgla durvis ir uzstādītas un nodrošina piekļūstamību personām ar kustību traucējumiem;</w:t>
      </w:r>
    </w:p>
    <w:p>
      <w:pPr>
        <w:pStyle w:val="Normal"/>
        <w:numPr>
          <w:ilvl w:val="0"/>
          <w:numId w:val="4"/>
        </w:numPr>
        <w:tabs>
          <w:tab w:val="clear" w:pos="720"/>
          <w:tab w:val="left" w:pos="0" w:leader="none"/>
        </w:tabs>
        <w:ind w:firstLine="295" w:start="851"/>
        <w:rPr/>
      </w:pPr>
      <w:r>
        <w:rPr/>
        <w:t>Sliekšņa risinājums nodrošina drošu un brīvu pārvietošanos;</w:t>
      </w:r>
    </w:p>
    <w:p>
      <w:pPr>
        <w:pStyle w:val="Normal"/>
        <w:numPr>
          <w:ilvl w:val="0"/>
          <w:numId w:val="4"/>
        </w:numPr>
        <w:tabs>
          <w:tab w:val="clear" w:pos="720"/>
          <w:tab w:val="left" w:pos="0" w:leader="none"/>
        </w:tabs>
        <w:ind w:firstLine="295" w:start="851"/>
        <w:rPr/>
      </w:pPr>
      <w:r>
        <w:rPr/>
        <w:t>Kondicionēšanas iekārtas ir uzstādītas, pieslēgtas un funkcionē atbilstoši tehniskajām prasībām;</w:t>
      </w:r>
    </w:p>
    <w:p>
      <w:pPr>
        <w:pStyle w:val="Normal"/>
        <w:numPr>
          <w:ilvl w:val="0"/>
          <w:numId w:val="4"/>
        </w:numPr>
        <w:tabs>
          <w:tab w:val="clear" w:pos="720"/>
          <w:tab w:val="left" w:pos="0" w:leader="none"/>
        </w:tabs>
        <w:ind w:firstLine="295" w:start="851"/>
        <w:rPr/>
      </w:pPr>
      <w:r>
        <w:rPr/>
        <w:t>Elektroinstalācijas un pieslēgumi ir pārbaudīti un droši lietošanai;</w:t>
      </w:r>
    </w:p>
    <w:p>
      <w:pPr>
        <w:pStyle w:val="Normal"/>
        <w:numPr>
          <w:ilvl w:val="0"/>
          <w:numId w:val="4"/>
        </w:numPr>
        <w:tabs>
          <w:tab w:val="clear" w:pos="720"/>
          <w:tab w:val="left" w:pos="0" w:leader="none"/>
        </w:tabs>
        <w:ind w:firstLine="295" w:start="851"/>
        <w:rPr/>
      </w:pPr>
      <w:r>
        <w:rPr/>
        <w:t xml:space="preserve">Telpas ir sakoptas un piemērotas ekspluatācijai; </w:t>
      </w:r>
    </w:p>
    <w:p>
      <w:pPr>
        <w:pStyle w:val="Normal"/>
        <w:numPr>
          <w:ilvl w:val="0"/>
          <w:numId w:val="4"/>
        </w:numPr>
        <w:tabs>
          <w:tab w:val="clear" w:pos="720"/>
          <w:tab w:val="left" w:pos="0" w:leader="none"/>
        </w:tabs>
        <w:ind w:firstLine="295" w:start="851"/>
        <w:rPr/>
      </w:pPr>
      <w:r>
        <w:rPr/>
        <w:t>Noformēts nodošanas–pieņemšanas akts.</w:t>
      </w:r>
    </w:p>
    <w:tbl>
      <w:tblPr>
        <w:tblpPr w:vertAnchor="text" w:horzAnchor="margin" w:leftFromText="180" w:rightFromText="180" w:tblpX="0" w:tblpY="196"/>
        <w:tblW w:w="9639"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2963"/>
        <w:gridCol w:w="2297"/>
        <w:gridCol w:w="977"/>
        <w:gridCol w:w="3402"/>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rPr>
                <w:rFonts w:eastAsia="Calibri"/>
                <w:color w:val="000000"/>
                <w:sz w:val="20"/>
                <w:szCs w:val="20"/>
              </w:rPr>
            </w:pPr>
            <w:r>
              <w:rPr>
                <w:rFonts w:eastAsia="Calibri"/>
                <w:color w:val="000000"/>
                <w:sz w:val="20"/>
                <w:szCs w:val="20"/>
              </w:rPr>
              <w:t>(amata nosaukums)</w:t>
            </w:r>
          </w:p>
        </w:tc>
        <w:tc>
          <w:tcPr>
            <w:tcW w:w="3274"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rPr/>
            </w:pPr>
            <w:r>
              <w:rPr/>
            </w:r>
          </w:p>
          <w:p>
            <w:pPr>
              <w:pStyle w:val="Normal"/>
              <w:rPr/>
            </w:pPr>
            <w:r>
              <w:rPr/>
            </w:r>
          </w:p>
          <w:p>
            <w:pPr>
              <w:pStyle w:val="Normal"/>
              <w:rPr/>
            </w:pPr>
            <w:r>
              <w:rPr/>
              <w:t>2026.gada ______________</w:t>
            </w:r>
          </w:p>
        </w:tc>
        <w:tc>
          <w:tcPr>
            <w:tcW w:w="2297" w:type="dxa"/>
            <w:tcBorders/>
          </w:tcPr>
          <w:p>
            <w:pPr>
              <w:pStyle w:val="Normal"/>
              <w:jc w:val="both"/>
              <w:rPr>
                <w:rFonts w:eastAsia="Calibri"/>
                <w:color w:val="000000"/>
                <w:lang w:eastAsia="lv-LV"/>
              </w:rPr>
            </w:pPr>
            <w:r>
              <w:rPr>
                <w:rFonts w:eastAsia="Calibri"/>
                <w:color w:val="000000"/>
                <w:lang w:eastAsia="lv-LV"/>
              </w:rPr>
            </w:r>
          </w:p>
        </w:tc>
        <w:tc>
          <w:tcPr>
            <w:tcW w:w="4379" w:type="dxa"/>
            <w:gridSpan w:val="2"/>
            <w:tcBorders/>
          </w:tcPr>
          <w:p>
            <w:pPr>
              <w:pStyle w:val="Normal"/>
              <w:jc w:val="both"/>
              <w:rPr/>
            </w:pPr>
            <w:r>
              <w:rPr/>
            </w:r>
          </w:p>
        </w:tc>
      </w:tr>
    </w:tbl>
    <w:p>
      <w:pPr>
        <w:pStyle w:val="Normal"/>
        <w:spacing w:lineRule="auto" w:line="259" w:before="0" w:after="160"/>
        <w:rPr/>
      </w:pPr>
      <w:r>
        <w:rPr/>
      </w:r>
    </w:p>
    <w:sectPr>
      <w:footerReference w:type="even" r:id="rId3"/>
      <w:footerReference w:type="default" r:id="rId4"/>
      <w:footerReference w:type="first" r:id="rId5"/>
      <w:type w:val="nextPage"/>
      <w:pgSz w:w="12240" w:h="15840"/>
      <w:pgMar w:left="1701" w:right="850" w:gutter="0" w:header="0" w:top="993"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810"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decimal"/>
      <w:lvlText w:val="%1.%2."/>
      <w:lvlJc w:val="start"/>
      <w:pPr>
        <w:tabs>
          <w:tab w:val="num" w:pos="0"/>
        </w:tabs>
        <w:ind w:start="432" w:hanging="432"/>
      </w:pPr>
      <w:rPr/>
    </w:lvl>
    <w:lvl w:ilvl="2">
      <w:start w:val="1"/>
      <w:numFmt w:val="bullet"/>
      <w:lvlText w:val=""/>
      <w:lvlJc w:val="start"/>
      <w:pPr>
        <w:tabs>
          <w:tab w:val="num" w:pos="0"/>
        </w:tabs>
        <w:ind w:start="954" w:hanging="504"/>
      </w:pPr>
      <w:rPr>
        <w:rFonts w:ascii="Symbol" w:hAnsi="Symbol" w:cs="Symbol" w:hint="default"/>
      </w:rPr>
    </w:lvl>
    <w:lvl w:ilvl="3">
      <w:start w:val="1"/>
      <w:pStyle w:val="Heading4"/>
      <w:numFmt w:val="decimal"/>
      <w:lvlText w:val="%1.%2.%3.%4."/>
      <w:lvlJc w:val="start"/>
      <w:pPr>
        <w:tabs>
          <w:tab w:val="num" w:pos="0"/>
        </w:tabs>
        <w:ind w:start="73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731"/>
        </w:tabs>
        <w:ind w:start="731" w:hanging="0"/>
      </w:pPr>
      <w:rPr>
        <w:rFonts w:ascii="Symbol" w:hAnsi="Symbol" w:cs="Symbol" w:hint="default"/>
      </w:rPr>
    </w:lvl>
    <w:lvl w:ilvl="1">
      <w:start w:val="1"/>
      <w:numFmt w:val="bullet"/>
      <w:lvlText w:val=""/>
      <w:lvlJc w:val="start"/>
      <w:pPr>
        <w:tabs>
          <w:tab w:val="num" w:pos="360"/>
        </w:tabs>
        <w:ind w:start="360" w:firstLine="1620"/>
      </w:pPr>
      <w:rPr>
        <w:rFonts w:ascii="Symbol" w:hAnsi="Symbol" w:cs="Symbol" w:hint="default"/>
      </w:rPr>
    </w:lvl>
    <w:lvl w:ilvl="2">
      <w:start w:val="1"/>
      <w:numFmt w:val="bullet"/>
      <w:lvlText w:val=""/>
      <w:lvlJc w:val="start"/>
      <w:pPr>
        <w:tabs>
          <w:tab w:val="num" w:pos="360"/>
        </w:tabs>
        <w:ind w:start="360" w:firstLine="2340"/>
      </w:pPr>
      <w:rPr>
        <w:rFonts w:ascii="Symbol" w:hAnsi="Symbol" w:cs="Symbol" w:hint="default"/>
      </w:rPr>
    </w:lvl>
    <w:lvl w:ilvl="3">
      <w:start w:val="1"/>
      <w:numFmt w:val="bullet"/>
      <w:lvlText w:val=""/>
      <w:lvlJc w:val="start"/>
      <w:pPr>
        <w:tabs>
          <w:tab w:val="num" w:pos="360"/>
        </w:tabs>
        <w:ind w:start="360" w:firstLine="3060"/>
      </w:pPr>
      <w:rPr>
        <w:rFonts w:ascii="Symbol" w:hAnsi="Symbol" w:cs="Symbol" w:hint="default"/>
      </w:rPr>
    </w:lvl>
    <w:lvl w:ilvl="4">
      <w:start w:val="1"/>
      <w:numFmt w:val="bullet"/>
      <w:lvlText w:val="o"/>
      <w:lvlJc w:val="start"/>
      <w:pPr>
        <w:tabs>
          <w:tab w:val="num" w:pos="360"/>
        </w:tabs>
        <w:ind w:start="360" w:firstLine="3780"/>
      </w:pPr>
      <w:rPr>
        <w:rFonts w:ascii="OpenSymbol" w:hAnsi="OpenSymbol" w:cs="OpenSymbol" w:hint="default"/>
      </w:rPr>
    </w:lvl>
    <w:lvl w:ilvl="5">
      <w:start w:val="1"/>
      <w:numFmt w:val="bullet"/>
      <w:lvlText w:val=""/>
      <w:lvlJc w:val="start"/>
      <w:pPr>
        <w:tabs>
          <w:tab w:val="num" w:pos="360"/>
        </w:tabs>
        <w:ind w:start="360" w:firstLine="4500"/>
      </w:pPr>
      <w:rPr>
        <w:rFonts w:ascii="Symbol" w:hAnsi="Symbol" w:cs="Symbol" w:hint="default"/>
      </w:rPr>
    </w:lvl>
    <w:lvl w:ilvl="6">
      <w:start w:val="1"/>
      <w:numFmt w:val="bullet"/>
      <w:lvlText w:val=""/>
      <w:lvlJc w:val="start"/>
      <w:pPr>
        <w:tabs>
          <w:tab w:val="num" w:pos="360"/>
        </w:tabs>
        <w:ind w:start="360" w:firstLine="5220"/>
      </w:pPr>
      <w:rPr>
        <w:rFonts w:ascii="Symbol" w:hAnsi="Symbol" w:cs="Symbol" w:hint="default"/>
      </w:rPr>
    </w:lvl>
    <w:lvl w:ilvl="7">
      <w:start w:val="1"/>
      <w:numFmt w:val="bullet"/>
      <w:lvlText w:val="o"/>
      <w:lvlJc w:val="start"/>
      <w:pPr>
        <w:tabs>
          <w:tab w:val="num" w:pos="360"/>
        </w:tabs>
        <w:ind w:start="360" w:firstLine="5940"/>
      </w:pPr>
      <w:rPr>
        <w:rFonts w:ascii="OpenSymbol" w:hAnsi="OpenSymbol" w:cs="OpenSymbol" w:hint="default"/>
      </w:rPr>
    </w:lvl>
    <w:lvl w:ilvl="8">
      <w:start w:val="1"/>
      <w:numFmt w:val="bullet"/>
      <w:lvlText w:val=""/>
      <w:lvlJc w:val="start"/>
      <w:pPr>
        <w:tabs>
          <w:tab w:val="num" w:pos="360"/>
        </w:tabs>
        <w:ind w:start="360" w:firstLine="6660"/>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153"/>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next w:val="Normal"/>
    <w:link w:val="Heading1Char"/>
    <w:autoRedefine/>
    <w:qFormat/>
    <w:rsid w:val="00fe19d3"/>
    <w:pPr>
      <w:keepNext w:val="true"/>
      <w:keepLines/>
      <w:pageBreakBefore/>
      <w:widowControl/>
      <w:numPr>
        <w:ilvl w:val="0"/>
        <w:numId w:val="1"/>
      </w:numPr>
      <w:spacing w:lineRule="auto" w:line="259" w:before="240" w:after="120"/>
      <w:jc w:val="both"/>
      <w:outlineLvl w:val="0"/>
    </w:pPr>
    <w:rPr>
      <w:rFonts w:eastAsia="Arial Narrow"/>
      <w:b/>
      <w:color w:themeColor="accent1" w:themeShade="bf" w:val="2F5496"/>
      <w:sz w:val="28"/>
      <w:szCs w:val="28"/>
    </w:rPr>
  </w:style>
  <w:style w:type="paragraph" w:styleId="Heading2">
    <w:name w:val="Heading 2"/>
    <w:basedOn w:val="Normal"/>
    <w:next w:val="Normal"/>
    <w:link w:val="Heading2Char"/>
    <w:autoRedefine/>
    <w:unhideWhenUsed/>
    <w:qFormat/>
    <w:rsid w:val="001d7e7d"/>
    <w:pPr>
      <w:keepNext w:val="true"/>
      <w:keepLines/>
      <w:spacing w:before="114" w:after="174"/>
      <w:ind w:hanging="180" w:start="180"/>
      <w:outlineLvl w:val="1"/>
    </w:pPr>
    <w:rPr>
      <w:rFonts w:eastAsia="Arial Narrow" w:cs="" w:cstheme="majorBidi"/>
      <w:b/>
      <w:bCs/>
      <w:color w:themeColor="text1" w:val="000000"/>
      <w:lang w:eastAsia="hi-IN" w:bidi="hi-IN"/>
    </w:rPr>
  </w:style>
  <w:style w:type="paragraph" w:styleId="Heading3">
    <w:name w:val="Heading 3"/>
    <w:basedOn w:val="Normal"/>
    <w:next w:val="Normal"/>
    <w:link w:val="Heading3Char"/>
    <w:qFormat/>
    <w:rsid w:val="00d10fa6"/>
    <w:pPr>
      <w:keepNext w:val="true"/>
      <w:widowControl/>
      <w:spacing w:lineRule="auto" w:line="259" w:before="240" w:after="60"/>
      <w:outlineLvl w:val="2"/>
    </w:pPr>
    <w:rPr>
      <w:rFonts w:ascii="Calibri Light" w:hAnsi="Calibri Light"/>
      <w:b/>
      <w:bCs/>
      <w:sz w:val="26"/>
      <w:szCs w:val="26"/>
      <w:lang w:val="en-US" w:eastAsia="zh-TW"/>
    </w:rPr>
  </w:style>
  <w:style w:type="paragraph" w:styleId="Heading4">
    <w:name w:val="Heading 4"/>
    <w:basedOn w:val="Normal"/>
    <w:next w:val="BodyText"/>
    <w:link w:val="Heading4Char"/>
    <w:autoRedefine/>
    <w:qFormat/>
    <w:rsid w:val="00fe19d3"/>
    <w:pPr>
      <w:keepNext w:val="true"/>
      <w:widowControl/>
      <w:numPr>
        <w:ilvl w:val="3"/>
        <w:numId w:val="1"/>
      </w:numPr>
      <w:spacing w:before="240" w:after="120"/>
      <w:ind w:start="709"/>
      <w:outlineLvl w:val="3"/>
    </w:pPr>
    <w:rPr>
      <w:rFonts w:eastAsia="SimSun" w:cs="Tahoma"/>
      <w:bCs/>
      <w:iCs/>
      <w:lang w:eastAsia="hi-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31f44"/>
    <w:rPr>
      <w:color w:themeColor="hyperlink" w:val="0563C1"/>
      <w:u w:val="single"/>
    </w:rPr>
  </w:style>
  <w:style w:type="character" w:styleId="UnresolvedMention1" w:customStyle="1">
    <w:name w:val="Unresolved Mention1"/>
    <w:basedOn w:val="DefaultParagraphFont"/>
    <w:uiPriority w:val="99"/>
    <w:semiHidden/>
    <w:unhideWhenUsed/>
    <w:qFormat/>
    <w:rsid w:val="00e31f44"/>
    <w:rPr>
      <w:color w:val="605E5C"/>
      <w:shd w:fill="E1DFDD" w:val="clear"/>
    </w:rPr>
  </w:style>
  <w:style w:type="character" w:styleId="Heading1Char" w:customStyle="1">
    <w:name w:val="Heading 1 Char"/>
    <w:basedOn w:val="DefaultParagraphFont"/>
    <w:qFormat/>
    <w:rsid w:val="00fe19d3"/>
    <w:rPr>
      <w:rFonts w:ascii="Times New Roman" w:hAnsi="Times New Roman" w:eastAsia="Arial Narrow" w:cs="Times New Roman"/>
      <w:b/>
      <w:color w:themeColor="accent1" w:themeShade="bf" w:val="2F5496"/>
      <w:sz w:val="28"/>
      <w:szCs w:val="28"/>
      <w:lang w:val="lv-LV"/>
    </w:rPr>
  </w:style>
  <w:style w:type="character" w:styleId="Heading2Char" w:customStyle="1">
    <w:name w:val="Heading 2 Char"/>
    <w:basedOn w:val="DefaultParagraphFont"/>
    <w:qFormat/>
    <w:rsid w:val="001d7e7d"/>
    <w:rPr>
      <w:rFonts w:ascii="Times New Roman" w:hAnsi="Times New Roman" w:eastAsia="Arial Narrow" w:cs="" w:cstheme="majorBidi"/>
      <w:b/>
      <w:bCs/>
      <w:color w:themeColor="text1" w:val="000000"/>
      <w:sz w:val="24"/>
      <w:szCs w:val="24"/>
      <w:lang w:val="lv-LV" w:eastAsia="hi-IN" w:bidi="hi-IN"/>
    </w:rPr>
  </w:style>
  <w:style w:type="character" w:styleId="Heading4Char" w:customStyle="1">
    <w:name w:val="Heading 4 Char"/>
    <w:basedOn w:val="DefaultParagraphFont"/>
    <w:qFormat/>
    <w:rsid w:val="00fe19d3"/>
    <w:rPr>
      <w:rFonts w:ascii="Times New Roman" w:hAnsi="Times New Roman" w:eastAsia="SimSun" w:cs="Tahoma"/>
      <w:bCs/>
      <w:iCs/>
      <w:sz w:val="24"/>
      <w:szCs w:val="24"/>
      <w:lang w:val="lv-LV" w:eastAsia="hi-IN" w:bidi="hi-IN"/>
    </w:rPr>
  </w:style>
  <w:style w:type="character" w:styleId="ListParagraphChar" w:customStyle="1">
    <w:name w:val="List Paragraph Char"/>
    <w:link w:val="ListParagraph"/>
    <w:uiPriority w:val="34"/>
    <w:qFormat/>
    <w:locked/>
    <w:rsid w:val="00fe19d3"/>
    <w:rPr>
      <w:rFonts w:asciiTheme="majorBidi" w:hAnsiTheme="majorBidi"/>
      <w:sz w:val="24"/>
      <w:lang w:val="lv-LV"/>
    </w:rPr>
  </w:style>
  <w:style w:type="character" w:styleId="BodyTextChar" w:customStyle="1">
    <w:name w:val="Body Text Char"/>
    <w:basedOn w:val="DefaultParagraphFont"/>
    <w:uiPriority w:val="99"/>
    <w:qFormat/>
    <w:rsid w:val="00fe19d3"/>
    <w:rPr>
      <w:rFonts w:ascii="Times New Roman" w:hAnsi="Times New Roman" w:eastAsia="Times New Roman" w:cs="Times New Roman"/>
      <w:sz w:val="24"/>
      <w:szCs w:val="24"/>
      <w:lang w:val="lv-LV"/>
    </w:rPr>
  </w:style>
  <w:style w:type="character" w:styleId="BodyText3Char" w:customStyle="1">
    <w:name w:val="Body Text 3 Char"/>
    <w:basedOn w:val="DefaultParagraphFont"/>
    <w:link w:val="BodyText3"/>
    <w:uiPriority w:val="99"/>
    <w:qFormat/>
    <w:rsid w:val="00f77c32"/>
    <w:rPr>
      <w:rFonts w:ascii="Times New Roman" w:hAnsi="Times New Roman" w:eastAsia="Times New Roman" w:cs="Times New Roman"/>
      <w:sz w:val="16"/>
      <w:szCs w:val="16"/>
      <w:lang w:val="lv-LV"/>
    </w:rPr>
  </w:style>
  <w:style w:type="character" w:styleId="BodyTextIndent2Char" w:customStyle="1">
    <w:name w:val="Body Text Indent 2 Char"/>
    <w:basedOn w:val="DefaultParagraphFont"/>
    <w:link w:val="BodyTextIndent2"/>
    <w:uiPriority w:val="99"/>
    <w:semiHidden/>
    <w:qFormat/>
    <w:rsid w:val="00d67aaf"/>
    <w:rPr>
      <w:rFonts w:ascii="Times New Roman" w:hAnsi="Times New Roman" w:eastAsia="Times New Roman" w:cs="Times New Roman"/>
      <w:sz w:val="24"/>
      <w:szCs w:val="24"/>
      <w:lang w:val="lv-LV"/>
    </w:rPr>
  </w:style>
  <w:style w:type="character" w:styleId="HeaderChar" w:customStyle="1">
    <w:name w:val="Header Char"/>
    <w:basedOn w:val="DefaultParagraphFont"/>
    <w:qFormat/>
    <w:rsid w:val="00f460bf"/>
    <w:rPr>
      <w:rFonts w:ascii="Times New Roman" w:hAnsi="Times New Roman" w:eastAsia="Times New Roman" w:cs="Times New Roman"/>
      <w:sz w:val="24"/>
      <w:szCs w:val="24"/>
      <w:lang w:val="lv-LV"/>
    </w:rPr>
  </w:style>
  <w:style w:type="character" w:styleId="FooterChar" w:customStyle="1">
    <w:name w:val="Footer Char"/>
    <w:basedOn w:val="DefaultParagraphFont"/>
    <w:uiPriority w:val="99"/>
    <w:qFormat/>
    <w:rsid w:val="00f460bf"/>
    <w:rPr>
      <w:rFonts w:ascii="Times New Roman" w:hAnsi="Times New Roman" w:eastAsia="Times New Roman" w:cs="Times New Roman"/>
      <w:sz w:val="24"/>
      <w:szCs w:val="24"/>
      <w:lang w:val="lv-LV"/>
    </w:rPr>
  </w:style>
  <w:style w:type="character" w:styleId="Heading3Char" w:customStyle="1">
    <w:name w:val="Heading 3 Char"/>
    <w:basedOn w:val="DefaultParagraphFont"/>
    <w:qFormat/>
    <w:rsid w:val="00d10fa6"/>
    <w:rPr>
      <w:rFonts w:ascii="Calibri Light" w:hAnsi="Calibri Light" w:eastAsia="Times New Roman" w:cs="Times New Roman"/>
      <w:b/>
      <w:bCs/>
      <w:sz w:val="26"/>
      <w:szCs w:val="26"/>
      <w:lang w:eastAsia="zh-TW"/>
    </w:rPr>
  </w:style>
  <w:style w:type="character" w:styleId="HeaderChar1" w:customStyle="1">
    <w:name w:val="Header Char1"/>
    <w:uiPriority w:val="99"/>
    <w:qFormat/>
    <w:rsid w:val="001c1a6c"/>
    <w:rPr>
      <w:rFonts w:ascii="Times New Roman" w:hAnsi="Times New Roman" w:eastAsia="Times New Roman" w:cs="Times New Roman"/>
      <w:sz w:val="24"/>
      <w:szCs w:val="24"/>
      <w:lang w:eastAsia="en-US"/>
    </w:rPr>
  </w:style>
  <w:style w:type="character" w:styleId="BalloonTextChar" w:customStyle="1">
    <w:name w:val="Balloon Text Char"/>
    <w:basedOn w:val="DefaultParagraphFont"/>
    <w:link w:val="BalloonText"/>
    <w:uiPriority w:val="99"/>
    <w:semiHidden/>
    <w:qFormat/>
    <w:rsid w:val="00ed33bf"/>
    <w:rPr>
      <w:rFonts w:ascii="Segoe UI" w:hAnsi="Segoe UI" w:eastAsia="Times New Roman" w:cs="Segoe UI"/>
      <w:sz w:val="18"/>
      <w:szCs w:val="18"/>
      <w:lang w:val="lv-LV"/>
    </w:rPr>
  </w:style>
  <w:style w:type="character" w:styleId="Strong">
    <w:name w:val="Strong"/>
    <w:qFormat/>
    <w:rPr>
      <w:b/>
      <w:bCs/>
    </w:rPr>
  </w:style>
  <w:style w:type="character" w:styleId="Aizzmes" w:customStyle="1">
    <w:name w:val="Aizzīmes"/>
    <w:qFormat/>
    <w:rPr>
      <w:rFonts w:ascii="OpenSymbol" w:hAnsi="OpenSymbol" w:eastAsia="OpenSymbol" w:cs="OpenSymbol"/>
    </w:rPr>
  </w:style>
  <w:style w:type="character" w:styleId="LineNumber">
    <w:name w:val="Line Number"/>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uiPriority w:val="99"/>
    <w:unhideWhenUsed/>
    <w:rsid w:val="00fe19d3"/>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rPr>
  </w:style>
  <w:style w:type="paragraph" w:styleId="ListParagraph">
    <w:name w:val="List Paragraph"/>
    <w:basedOn w:val="Normal"/>
    <w:link w:val="ListParagraphChar"/>
    <w:uiPriority w:val="34"/>
    <w:qFormat/>
    <w:rsid w:val="00fe19d3"/>
    <w:pPr>
      <w:widowControl/>
      <w:spacing w:lineRule="auto" w:line="259" w:before="0" w:after="160"/>
      <w:ind w:start="720"/>
      <w:contextualSpacing/>
    </w:pPr>
    <w:rPr>
      <w:rFonts w:eastAsia="Calibri" w:cs="" w:asciiTheme="majorBidi" w:cstheme="minorBidi" w:eastAsiaTheme="minorHAnsi" w:hAnsiTheme="majorBidi"/>
      <w:szCs w:val="22"/>
    </w:rPr>
  </w:style>
  <w:style w:type="paragraph" w:styleId="BodyText3">
    <w:name w:val="Body Text 3"/>
    <w:basedOn w:val="Normal"/>
    <w:link w:val="BodyText3Char"/>
    <w:uiPriority w:val="99"/>
    <w:unhideWhenUsed/>
    <w:qFormat/>
    <w:rsid w:val="00f77c32"/>
    <w:pPr>
      <w:spacing w:before="0" w:after="120"/>
    </w:pPr>
    <w:rPr>
      <w:sz w:val="16"/>
      <w:szCs w:val="16"/>
    </w:rPr>
  </w:style>
  <w:style w:type="paragraph" w:styleId="List11" w:customStyle="1">
    <w:name w:val="List 11"/>
    <w:basedOn w:val="Normal"/>
    <w:uiPriority w:val="99"/>
    <w:semiHidden/>
    <w:qFormat/>
    <w:rsid w:val="00595064"/>
    <w:pPr>
      <w:widowControl/>
      <w:numPr>
        <w:ilvl w:val="0"/>
        <w:numId w:val="2"/>
      </w:numPr>
    </w:pPr>
    <w:rPr>
      <w:sz w:val="20"/>
      <w:szCs w:val="20"/>
      <w:lang w:eastAsia="lv-LV"/>
    </w:rPr>
  </w:style>
  <w:style w:type="paragraph" w:styleId="NormalWeb">
    <w:name w:val="Normal (Web)"/>
    <w:basedOn w:val="Normal"/>
    <w:uiPriority w:val="99"/>
    <w:unhideWhenUsed/>
    <w:qFormat/>
    <w:rsid w:val="00595064"/>
    <w:pPr>
      <w:widowControl/>
      <w:spacing w:beforeAutospacing="1" w:afterAutospacing="1"/>
    </w:pPr>
    <w:rPr>
      <w:lang w:val="en-US"/>
    </w:rPr>
  </w:style>
  <w:style w:type="paragraph" w:styleId="BodyTextIndent2">
    <w:name w:val="Body Text Indent 2"/>
    <w:basedOn w:val="Normal"/>
    <w:link w:val="BodyTextIndent2Char"/>
    <w:uiPriority w:val="99"/>
    <w:semiHidden/>
    <w:unhideWhenUsed/>
    <w:qFormat/>
    <w:rsid w:val="00d67aaf"/>
    <w:pPr>
      <w:spacing w:lineRule="auto" w:line="480" w:before="0" w:after="120"/>
      <w:ind w:start="283"/>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f460bf"/>
    <w:pPr>
      <w:tabs>
        <w:tab w:val="clear" w:pos="720"/>
        <w:tab w:val="center" w:pos="4320" w:leader="none"/>
        <w:tab w:val="right" w:pos="8640" w:leader="none"/>
      </w:tabs>
    </w:pPr>
    <w:rPr/>
  </w:style>
  <w:style w:type="paragraph" w:styleId="Footer">
    <w:name w:val="Footer"/>
    <w:basedOn w:val="Normal"/>
    <w:link w:val="FooterChar"/>
    <w:uiPriority w:val="99"/>
    <w:unhideWhenUsed/>
    <w:rsid w:val="00f460bf"/>
    <w:pPr>
      <w:tabs>
        <w:tab w:val="clear" w:pos="720"/>
        <w:tab w:val="center" w:pos="4320" w:leader="none"/>
        <w:tab w:val="right" w:pos="8640" w:leader="none"/>
      </w:tabs>
    </w:pPr>
    <w:rPr/>
  </w:style>
  <w:style w:type="paragraph" w:styleId="Stils" w:customStyle="1">
    <w:name w:val="Stils"/>
    <w:qFormat/>
    <w:rsid w:val="00e77470"/>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lv-LV" w:bidi="ar-SA"/>
    </w:rPr>
  </w:style>
  <w:style w:type="paragraph" w:styleId="Index1">
    <w:name w:val="index 1"/>
    <w:basedOn w:val="Normal"/>
    <w:next w:val="Normal"/>
    <w:autoRedefine/>
    <w:uiPriority w:val="99"/>
    <w:unhideWhenUsed/>
    <w:qFormat/>
    <w:rsid w:val="00260646"/>
    <w:pPr>
      <w:widowControl/>
      <w:ind w:hanging="240" w:start="240"/>
    </w:pPr>
    <w:rPr>
      <w:sz w:val="22"/>
      <w:szCs w:val="22"/>
    </w:rPr>
  </w:style>
  <w:style w:type="paragraph" w:styleId="BodyText21" w:customStyle="1">
    <w:name w:val="Body Text 21"/>
    <w:basedOn w:val="Normal"/>
    <w:qFormat/>
    <w:rsid w:val="00cb686b"/>
    <w:pPr>
      <w:widowControl/>
      <w:tabs>
        <w:tab w:val="clear" w:pos="720"/>
        <w:tab w:val="left" w:pos="709" w:leader="none"/>
      </w:tabs>
      <w:ind w:start="720"/>
      <w:jc w:val="both"/>
    </w:pPr>
    <w:rPr>
      <w:sz w:val="26"/>
      <w:szCs w:val="20"/>
      <w:lang w:eastAsia="lv-LV"/>
    </w:rPr>
  </w:style>
  <w:style w:type="paragraph" w:styleId="Default" w:customStyle="1">
    <w:name w:val="Default"/>
    <w:qFormat/>
    <w:rsid w:val="00425667"/>
    <w:pPr>
      <w:widowControl/>
      <w:suppressAutoHyphens w:val="true"/>
      <w:bidi w:val="0"/>
      <w:spacing w:before="0" w:after="0"/>
      <w:jc w:val="start"/>
    </w:pPr>
    <w:rPr>
      <w:rFonts w:ascii="Times New Roman" w:hAnsi="Times New Roman" w:eastAsia="" w:cs="Times New Roman" w:eastAsiaTheme="minorEastAsia"/>
      <w:color w:val="000000"/>
      <w:kern w:val="0"/>
      <w:sz w:val="24"/>
      <w:szCs w:val="24"/>
      <w:lang w:val="lv-LV" w:eastAsia="lv-LV" w:bidi="ar-SA"/>
    </w:rPr>
  </w:style>
  <w:style w:type="paragraph" w:styleId="BalloonText">
    <w:name w:val="Balloon Text"/>
    <w:basedOn w:val="Normal"/>
    <w:link w:val="BalloonTextChar"/>
    <w:uiPriority w:val="99"/>
    <w:semiHidden/>
    <w:unhideWhenUsed/>
    <w:qFormat/>
    <w:rsid w:val="00ed33bf"/>
    <w:pPr/>
    <w:rPr>
      <w:rFonts w:ascii="Segoe UI" w:hAnsi="Segoe UI" w:cs="Segoe UI"/>
      <w:sz w:val="18"/>
      <w:szCs w:val="18"/>
    </w:rPr>
  </w:style>
  <w:style w:type="paragraph" w:styleId="Ietvarasaturs" w:customStyle="1">
    <w:name w:val="Ietvara saturs"/>
    <w:basedOn w:val="Normal"/>
    <w:qFormat/>
    <w:pPr/>
    <w:rPr/>
  </w:style>
  <w:style w:type="paragraph" w:styleId="Horizontlalnija" w:customStyle="1">
    <w:name w:val="Horizontāla līnija"/>
    <w:basedOn w:val="Normal"/>
    <w:next w:val="BodyText"/>
    <w:qFormat/>
    <w:pPr>
      <w:suppressLineNumbers/>
      <w:pBdr>
        <w:bottom w:val="double" w:sz="2" w:space="0" w:color="808080"/>
      </w:pBdr>
      <w:spacing w:before="0" w:after="283"/>
    </w:pPr>
    <w:rPr>
      <w:sz w:val="12"/>
      <w:szCs w:val="12"/>
    </w:rPr>
  </w:style>
  <w:style w:type="paragraph" w:styleId="Revision">
    <w:name w:val="Revision"/>
    <w:uiPriority w:val="99"/>
    <w:semiHidden/>
    <w:qFormat/>
    <w:rsid w:val="00680709"/>
    <w:pPr>
      <w:widowControl/>
      <w:suppressAutoHyphens w:val="false"/>
      <w:bidi w:val="0"/>
      <w:spacing w:before="0" w:after="0"/>
      <w:jc w:val="start"/>
    </w:pPr>
    <w:rPr>
      <w:rFonts w:ascii="Times New Roman" w:hAnsi="Times New Roman" w:eastAsia="Times New Roman" w:cs="Times New Roman"/>
      <w:color w:val="auto"/>
      <w:kern w:val="0"/>
      <w:sz w:val="24"/>
      <w:szCs w:val="24"/>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446bd"/>
    <w:rPr>
      <w:lang w:val="lv-LV"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E510-A695-45B2-AF99-A7AEC89D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LibreOffice/24.2.1.2$Windows_X86_64 LibreOffice_project/db4def46b0453cc22e2d0305797cf981b68ef5ac</Application>
  <AppVersion>15.0000</AppVersion>
  <Pages>5</Pages>
  <Words>1210</Words>
  <Characters>8824</Characters>
  <CharactersWithSpaces>9916</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2025-07-18T10:13:00Z</dcterms:created>
  <dc:creator>Mihail Kif</dc:creator>
  <dc:description/>
  <dc:language>en-US</dc:language>
  <cp:lastModifiedBy/>
  <cp:lastPrinted>2025-07-29T11:36:00Z</cp:lastPrinted>
  <dcterms:modified xsi:type="dcterms:W3CDTF">2026-03-13T09:43:47Z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