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end"/>
        <w:rPr>
          <w:b/>
          <w:bCs/>
        </w:rPr>
      </w:pPr>
      <w:r>
        <w:rPr>
          <w:b/>
          <w:bCs/>
        </w:rPr>
        <w:t>APSTIPRINĀTS</w:t>
      </w:r>
    </w:p>
    <w:p>
      <w:pPr>
        <w:pStyle w:val="Default"/>
        <w:jc w:val="end"/>
        <w:rPr/>
      </w:pPr>
      <w:r>
        <w:rPr/>
        <w:t>ar Sabiedrības ar ierobežotu atbildību „Dziedniecība”</w:t>
      </w:r>
    </w:p>
    <w:p>
      <w:pPr>
        <w:pStyle w:val="Normal"/>
        <w:spacing w:before="0" w:after="0"/>
        <w:jc w:val="end"/>
        <w:rPr>
          <w:highlight w:val="none"/>
          <w:shd w:fill="auto" w:val="clear"/>
        </w:rPr>
      </w:pPr>
      <w:r>
        <w:rPr>
          <w:rFonts w:cs="Times New Roman" w:ascii="Times New Roman" w:hAnsi="Times New Roman"/>
          <w:sz w:val="24"/>
          <w:szCs w:val="24"/>
          <w:shd w:fill="auto" w:val="clear"/>
        </w:rPr>
        <w:t>06.03.2026. rīkojumu Nr. 06/05</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rPr/>
      </w:pPr>
      <w:r>
        <w:rPr/>
      </w:r>
    </w:p>
    <w:p>
      <w:pPr>
        <w:pStyle w:val="Normal"/>
        <w:rPr/>
      </w:pPr>
      <w:r>
        <w:rPr/>
      </w:r>
    </w:p>
    <w:p>
      <w:pPr>
        <w:pStyle w:val="Normal"/>
        <w:spacing w:lineRule="auto" w:line="240" w:before="0" w:after="0"/>
        <w:jc w:val="center"/>
        <w:rPr>
          <w:rFonts w:ascii="Times New Roman" w:hAnsi="Times New Roman"/>
        </w:rPr>
      </w:pPr>
      <w:r>
        <w:rPr>
          <w:rFonts w:ascii="Times New Roman" w:hAnsi="Times New Roman"/>
        </w:rPr>
      </w:r>
    </w:p>
    <w:p>
      <w:pPr>
        <w:pStyle w:val="Normal"/>
        <w:rPr/>
      </w:pPr>
      <w:r>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BodyText"/>
        <w:spacing w:lineRule="auto" w:line="360" w:before="0" w:after="0"/>
        <w:jc w:val="center"/>
        <w:rPr>
          <w:b/>
          <w:caps/>
          <w:sz w:val="28"/>
          <w:szCs w:val="28"/>
        </w:rPr>
      </w:pPr>
      <w:bookmarkStart w:id="0" w:name="_Hlk83641239"/>
      <w:r>
        <w:rPr>
          <w:rFonts w:cs="Times New Roman"/>
          <w:b/>
          <w:bCs/>
          <w:caps/>
          <w:sz w:val="24"/>
          <w:szCs w:val="24"/>
        </w:rPr>
        <w:t>Vides pieejamības pasākumu realizācija MFD Doktorātā “PRŪŠU</w:t>
      </w:r>
      <w:r>
        <w:rPr>
          <w:b/>
          <w:caps/>
          <w:sz w:val="28"/>
          <w:szCs w:val="28"/>
        </w:rPr>
        <w:t>”</w:t>
      </w:r>
      <w:bookmarkEnd w:id="0"/>
    </w:p>
    <w:p>
      <w:pPr>
        <w:pStyle w:val="Normal"/>
        <w:spacing w:lineRule="auto" w:line="240"/>
        <w:jc w:val="center"/>
        <w:rPr>
          <w:rFonts w:ascii="Times New Roman" w:hAnsi="Times New Roman" w:eastAsia="Times New Roman" w:cs="Times New Roman"/>
          <w:b/>
          <w:bCs/>
          <w:iCs/>
          <w:kern w:val="2"/>
          <w:sz w:val="28"/>
          <w:szCs w:val="28"/>
          <w:lang w:eastAsia="hi-IN" w:bidi="hi-IN"/>
        </w:rPr>
      </w:pPr>
      <w:r>
        <w:rPr>
          <w:rFonts w:eastAsia="Times New Roman" w:cs="Times New Roman" w:ascii="Times New Roman" w:hAnsi="Times New Roman"/>
          <w:b/>
          <w:bCs/>
          <w:iCs/>
          <w:kern w:val="2"/>
          <w:sz w:val="28"/>
          <w:szCs w:val="28"/>
          <w:lang w:eastAsia="hi-IN" w:bidi="hi-IN"/>
        </w:rPr>
      </w:r>
      <w:bookmarkStart w:id="1" w:name="_Hlk26801123"/>
      <w:bookmarkStart w:id="2" w:name="_Hlk26801123"/>
      <w:bookmarkEnd w:id="2"/>
    </w:p>
    <w:p>
      <w:pPr>
        <w:pStyle w:val="BodyText"/>
        <w:spacing w:lineRule="auto" w:line="360"/>
        <w:jc w:val="center"/>
        <w:rPr>
          <w:b/>
          <w:sz w:val="28"/>
          <w:szCs w:val="28"/>
        </w:rPr>
      </w:pPr>
      <w:r>
        <w:rPr>
          <w:b/>
          <w:bCs/>
          <w:sz w:val="28"/>
          <w:szCs w:val="28"/>
        </w:rPr>
        <w:t>IEPIRKUMA PROCEDŪRAS NOLIKUMS</w:t>
      </w:r>
    </w:p>
    <w:p>
      <w:pPr>
        <w:pStyle w:val="Normal"/>
        <w:spacing w:lineRule="auto" w:line="240" w:before="0" w:after="0"/>
        <w:ind w:start="426"/>
        <w:jc w:val="center"/>
        <w:rPr/>
      </w:pPr>
      <w:r>
        <w:rPr>
          <w:rFonts w:cs="Times New Roman" w:ascii="Times New Roman" w:hAnsi="Times New Roman"/>
          <w:bCs/>
          <w:i/>
          <w:iCs/>
          <w:sz w:val="24"/>
          <w:szCs w:val="24"/>
        </w:rPr>
        <w:t xml:space="preserve">Iepirkums tiek realizēts projekta Nr. 4.1.1.3/2/25/A/066 </w:t>
      </w:r>
      <w:r>
        <w:rPr>
          <w:rStyle w:val="Strong"/>
          <w:rFonts w:cs="Times New Roman" w:ascii="Times New Roman" w:hAnsi="Times New Roman"/>
          <w:b w:val="false"/>
          <w:bCs w:val="false"/>
          <w:i/>
          <w:iCs/>
          <w:sz w:val="24"/>
          <w:szCs w:val="24"/>
        </w:rPr>
        <w:t>Primārās veselības aprūpes lomas stiprināšana, attīstot infrastruktūru Sabiedrības ar ierobežotu atbildību “Dziedniecība” telpās</w:t>
      </w:r>
      <w:r>
        <w:rPr>
          <w:rFonts w:cs="Times New Roman" w:ascii="Times New Roman" w:hAnsi="Times New Roman"/>
          <w:bCs/>
          <w:i/>
          <w:iCs/>
          <w:sz w:val="24"/>
          <w:szCs w:val="24"/>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color w:val="auto"/>
          <w:kern w:val="0"/>
          <w:sz w:val="22"/>
          <w:szCs w:val="22"/>
          <w:lang w:val="lv-LV" w:eastAsia="lv-LV" w:bidi="ar-SA"/>
        </w:rPr>
        <w:t>ID N</w:t>
      </w:r>
      <w:r>
        <w:rPr>
          <w:rFonts w:eastAsia="Calibri" w:cs="Times New Roman" w:ascii="Times New Roman" w:hAnsi="Times New Roman"/>
          <w:color w:val="auto"/>
          <w:kern w:val="0"/>
          <w:sz w:val="22"/>
          <w:szCs w:val="22"/>
          <w:lang w:val="lv-LV" w:eastAsia="lv-LV" w:bidi="ar-SA"/>
        </w:rPr>
        <w:t>r. DZ-P13_03-2026</w:t>
      </w:r>
    </w:p>
    <w:p>
      <w:pPr>
        <w:pStyle w:val="Normal"/>
        <w:spacing w:lineRule="auto" w:line="240" w:before="0" w:after="0"/>
        <w:jc w:val="center"/>
        <w:rPr>
          <w:rFonts w:ascii="Times New Roman" w:hAnsi="Times New Roman"/>
        </w:rPr>
      </w:pPr>
      <w:r>
        <w:rPr>
          <w:rFonts w:ascii="Times New Roman" w:hAnsi="Times New Roman"/>
          <w:i/>
        </w:rPr>
        <w:t>(</w:t>
      </w:r>
      <w:r>
        <w:rPr>
          <w:rFonts w:ascii="Times New Roman" w:hAnsi="Times New Roman"/>
          <w:i/>
          <w:sz w:val="24"/>
          <w:szCs w:val="24"/>
        </w:rPr>
        <w:t>Eiropas Savienības kohēzijas fonda</w:t>
      </w:r>
      <w:r>
        <w:rPr>
          <w:rFonts w:ascii="Times New Roman" w:hAnsi="Times New Roman"/>
          <w:i/>
        </w:rPr>
        <w:t xml:space="preserve"> ietvaros)</w:t>
      </w:r>
    </w:p>
    <w:p>
      <w:pPr>
        <w:pStyle w:val="Normal"/>
        <w:spacing w:lineRule="auto" w:line="240" w:before="0" w:after="0"/>
        <w:rPr>
          <w:rFonts w:ascii="Times New Roman" w:hAnsi="Times New Roman"/>
          <w:bCs/>
          <w:sz w:val="28"/>
          <w:szCs w:val="28"/>
        </w:rPr>
      </w:pPr>
      <w:r>
        <w:rPr>
          <w:rFonts w:ascii="Times New Roman" w:hAnsi="Times New Roman"/>
          <w:bCs/>
          <w:sz w:val="28"/>
          <w:szCs w:val="28"/>
        </w:rPr>
      </w:r>
    </w:p>
    <w:p>
      <w:pPr>
        <w:pStyle w:val="Normal"/>
        <w:spacing w:lineRule="auto" w:line="240" w:before="0" w:after="0"/>
        <w:jc w:val="center"/>
        <w:rPr>
          <w:rFonts w:ascii="Times New Roman" w:hAnsi="Times New Roman"/>
        </w:rPr>
      </w:pPr>
      <w:r>
        <w:rPr/>
        <w:drawing>
          <wp:inline distT="0" distB="0" distL="0" distR="0">
            <wp:extent cx="1871980" cy="1014730"/>
            <wp:effectExtent l="0" t="0" r="0" b="0"/>
            <wp:docPr id="1" name="image1.png"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title=""/>
                    <pic:cNvPicPr>
                      <a:picLocks noChangeAspect="1" noChangeArrowheads="1"/>
                    </pic:cNvPicPr>
                  </pic:nvPicPr>
                  <pic:blipFill>
                    <a:blip r:embed="rId2"/>
                    <a:stretch>
                      <a:fillRect/>
                    </a:stretch>
                  </pic:blipFill>
                  <pic:spPr bwMode="auto">
                    <a:xfrm>
                      <a:off x="0" y="0"/>
                      <a:ext cx="1871980" cy="1014730"/>
                    </a:xfrm>
                    <a:prstGeom prst="rect">
                      <a:avLst/>
                    </a:prstGeom>
                  </pic:spPr>
                </pic:pic>
              </a:graphicData>
            </a:graphic>
          </wp:inline>
        </w:drawing>
      </w:r>
    </w:p>
    <w:p>
      <w:pPr>
        <w:pStyle w:val="BodyText"/>
        <w:spacing w:lineRule="auto" w:line="360"/>
        <w:jc w:val="center"/>
        <w:rPr>
          <w:szCs w:val="24"/>
        </w:rPr>
      </w:pPr>
      <w:r>
        <w:rPr>
          <w:szCs w:val="24"/>
        </w:rPr>
      </w:r>
    </w:p>
    <w:p>
      <w:pPr>
        <w:pStyle w:val="BodyText"/>
        <w:spacing w:lineRule="auto" w:line="360"/>
        <w:jc w:val="center"/>
        <w:rPr>
          <w:szCs w:val="24"/>
        </w:rPr>
      </w:pPr>
      <w:r>
        <w:rPr>
          <w:szCs w:val="24"/>
        </w:rPr>
      </w:r>
    </w:p>
    <w:p>
      <w:pPr>
        <w:pStyle w:val="BodyText"/>
        <w:spacing w:lineRule="auto" w:line="360"/>
        <w:jc w:val="center"/>
        <w:rPr>
          <w:szCs w:val="24"/>
        </w:rPr>
      </w:pPr>
      <w:r>
        <w:rPr>
          <w:szCs w:val="24"/>
        </w:rPr>
      </w:r>
    </w:p>
    <w:p>
      <w:pPr>
        <w:pStyle w:val="BodyText"/>
        <w:spacing w:lineRule="auto" w:line="360"/>
        <w:jc w:val="center"/>
        <w:rPr>
          <w:szCs w:val="24"/>
        </w:rPr>
      </w:pPr>
      <w:r>
        <w:rPr>
          <w:szCs w:val="24"/>
        </w:rPr>
      </w:r>
    </w:p>
    <w:p>
      <w:pPr>
        <w:pStyle w:val="BodyText"/>
        <w:spacing w:lineRule="auto" w:line="360"/>
        <w:jc w:val="center"/>
        <w:rPr>
          <w:szCs w:val="24"/>
        </w:rPr>
      </w:pPr>
      <w:r>
        <w:rPr>
          <w:szCs w:val="24"/>
        </w:rPr>
      </w:r>
    </w:p>
    <w:p>
      <w:pPr>
        <w:pStyle w:val="BodyText"/>
        <w:spacing w:lineRule="auto" w:line="360"/>
        <w:jc w:val="center"/>
        <w:rPr>
          <w:szCs w:val="24"/>
        </w:rPr>
      </w:pPr>
      <w:r>
        <w:rPr>
          <w:szCs w:val="24"/>
        </w:rPr>
        <w:t>Rīgā, 2026</w:t>
      </w:r>
    </w:p>
    <w:p>
      <w:pPr>
        <w:pStyle w:val="BodyText"/>
        <w:spacing w:lineRule="auto" w:line="360"/>
        <w:jc w:val="center"/>
        <w:rPr>
          <w:szCs w:val="24"/>
        </w:rPr>
      </w:pPr>
      <w:r>
        <w:rPr>
          <w:szCs w:val="24"/>
        </w:rPr>
      </w:r>
    </w:p>
    <w:p>
      <w:pPr>
        <w:pStyle w:val="BodyText"/>
        <w:spacing w:lineRule="auto" w:line="360"/>
        <w:jc w:val="center"/>
        <w:rPr>
          <w:szCs w:val="24"/>
        </w:rPr>
      </w:pPr>
      <w:r>
        <w:rPr>
          <w:szCs w:val="24"/>
        </w:rPr>
      </w:r>
    </w:p>
    <w:p>
      <w:pPr>
        <w:pStyle w:val="BodyText"/>
        <w:widowControl/>
        <w:numPr>
          <w:ilvl w:val="0"/>
          <w:numId w:val="4"/>
        </w:numPr>
        <w:suppressAutoHyphens w:val="true"/>
        <w:bidi w:val="0"/>
        <w:spacing w:lineRule="auto" w:line="360" w:before="0" w:after="120"/>
        <w:jc w:val="center"/>
        <w:textAlignment w:val="baseline"/>
        <w:rPr>
          <w:b/>
          <w:bCs/>
          <w:szCs w:val="24"/>
        </w:rPr>
      </w:pPr>
      <w:r>
        <w:rPr>
          <w:b/>
          <w:bCs/>
          <w:szCs w:val="24"/>
        </w:rPr>
        <w:t>VISPĀRĪGĀ INFORMĀCIJA</w:t>
      </w:r>
    </w:p>
    <w:p>
      <w:pPr>
        <w:pStyle w:val="ListParagraph"/>
        <w:numPr>
          <w:ilvl w:val="1"/>
          <w:numId w:val="4"/>
        </w:numPr>
        <w:spacing w:lineRule="auto" w:line="259"/>
        <w:ind w:hanging="432" w:start="0"/>
        <w:jc w:val="both"/>
        <w:rPr>
          <w:rFonts w:ascii="Times New Roman" w:hAnsi="Times New Roman" w:eastAsia="Calibri" w:cs="Times New Roman"/>
          <w:kern w:val="2"/>
          <w:lang w:eastAsia="en-US"/>
        </w:rPr>
      </w:pPr>
      <w:r>
        <w:rPr>
          <w:rFonts w:eastAsia="Calibri" w:cs="Times New Roman" w:ascii="Times New Roman" w:hAnsi="Times New Roman"/>
          <w:color w:val="000000"/>
          <w:kern w:val="2"/>
          <w:shd w:fill="auto" w:val="clear"/>
          <w:lang w:eastAsia="en-US"/>
        </w:rPr>
        <w:t>Iepirkuma identifikācij</w:t>
      </w:r>
      <w:r>
        <w:rPr>
          <w:rFonts w:eastAsia="Calibri" w:cs="Times New Roman" w:ascii="Times New Roman" w:hAnsi="Times New Roman"/>
          <w:color w:val="000000"/>
          <w:kern w:val="2"/>
          <w:sz w:val="22"/>
          <w:szCs w:val="22"/>
          <w:shd w:fill="auto" w:val="clear"/>
          <w:lang w:val="lv-LV" w:eastAsia="en-US" w:bidi="ar-SA"/>
        </w:rPr>
        <w:t>as numurs – </w:t>
      </w:r>
      <w:r>
        <w:rPr>
          <w:rFonts w:eastAsia="Calibri" w:cs="Times New Roman" w:ascii="Times New Roman" w:hAnsi="Times New Roman"/>
          <w:b/>
          <w:bCs/>
          <w:color w:val="000000"/>
          <w:kern w:val="2"/>
          <w:sz w:val="22"/>
          <w:szCs w:val="22"/>
          <w:shd w:fill="auto" w:val="clear"/>
          <w:lang w:val="lv-LV" w:eastAsia="en-US" w:bidi="ar-SA"/>
        </w:rPr>
        <w:t>DZ-P13_03-2026</w:t>
      </w:r>
    </w:p>
    <w:p>
      <w:pPr>
        <w:pStyle w:val="ListParagraph"/>
        <w:widowControl/>
        <w:numPr>
          <w:ilvl w:val="1"/>
          <w:numId w:val="4"/>
        </w:numPr>
        <w:suppressAutoHyphens w:val="true"/>
        <w:bidi w:val="0"/>
        <w:spacing w:lineRule="auto" w:line="259" w:before="0" w:after="200"/>
        <w:ind w:hanging="432" w:start="0"/>
        <w:contextualSpacing/>
        <w:jc w:val="both"/>
        <w:rPr>
          <w:rFonts w:ascii="Times New Roman" w:hAnsi="Times New Roman" w:eastAsia="Calibri" w:cs="Times New Roman"/>
          <w:kern w:val="2"/>
          <w:lang w:eastAsia="en-US"/>
        </w:rPr>
      </w:pPr>
      <w:r>
        <w:rPr>
          <w:rFonts w:eastAsia="Calibri" w:cs="Times New Roman" w:ascii="Times New Roman" w:hAnsi="Times New Roman"/>
          <w:b/>
          <w:bCs/>
          <w:kern w:val="2"/>
          <w:lang w:eastAsia="en-US"/>
        </w:rPr>
        <w:t>Pasūtītājs:</w:t>
      </w:r>
    </w:p>
    <w:p>
      <w:pPr>
        <w:pStyle w:val="ListParagraph"/>
        <w:widowControl/>
        <w:numPr>
          <w:ilvl w:val="0"/>
          <w:numId w:val="0"/>
        </w:numPr>
        <w:suppressAutoHyphens w:val="true"/>
        <w:bidi w:val="0"/>
        <w:spacing w:lineRule="auto" w:line="259" w:before="0" w:after="200"/>
        <w:ind w:hanging="0" w:start="0"/>
        <w:contextualSpacing/>
        <w:jc w:val="both"/>
        <w:rPr>
          <w:rFonts w:ascii="Times New Roman" w:hAnsi="Times New Roman" w:eastAsia="Calibri" w:cs="Times New Roman"/>
          <w:kern w:val="2"/>
          <w:lang w:eastAsia="en-US"/>
        </w:rPr>
      </w:pPr>
      <w:r>
        <w:rPr>
          <w:rFonts w:eastAsia="Calibri" w:cs="Times New Roman" w:ascii="Times New Roman" w:hAnsi="Times New Roman"/>
          <w:kern w:val="2"/>
          <w:lang w:eastAsia="en-US"/>
        </w:rPr>
      </w:r>
    </w:p>
    <w:tbl>
      <w:tblPr>
        <w:tblW w:w="9649" w:type="dxa"/>
        <w:jc w:val="start"/>
        <w:tblInd w:w="98" w:type="dxa"/>
        <w:tblLayout w:type="fixed"/>
        <w:tblCellMar>
          <w:top w:w="0" w:type="dxa"/>
          <w:start w:w="108" w:type="dxa"/>
          <w:bottom w:w="0" w:type="dxa"/>
          <w:end w:w="108" w:type="dxa"/>
        </w:tblCellMar>
      </w:tblPr>
      <w:tblGrid>
        <w:gridCol w:w="3838"/>
        <w:gridCol w:w="5810"/>
      </w:tblGrid>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iCs/>
                <w:lang w:eastAsia="zh-CN"/>
              </w:rPr>
            </w:pPr>
            <w:r>
              <w:rPr>
                <w:rFonts w:eastAsia="Times New Roman" w:cs="Times New Roman" w:ascii="Times New Roman" w:hAnsi="Times New Roman"/>
                <w:lang w:eastAsia="zh-CN"/>
              </w:rPr>
              <w:t>Nosaukums</w:t>
            </w:r>
          </w:p>
        </w:tc>
        <w:tc>
          <w:tcPr>
            <w:tcW w:w="58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end="-28"/>
              <w:rPr>
                <w:rFonts w:ascii="Times New Roman" w:hAnsi="Times New Roman" w:cs="Times New Roman"/>
              </w:rPr>
            </w:pPr>
            <w:r>
              <w:rPr>
                <w:rFonts w:cs="Times New Roman" w:ascii="Times New Roman" w:hAnsi="Times New Roman"/>
              </w:rPr>
              <w:t xml:space="preserve">Sabiedrība ar ierobežotu atbildību „Dziedniecība” (turpmāk – </w:t>
            </w:r>
            <w:r>
              <w:rPr>
                <w:rFonts w:cs="Times New Roman" w:ascii="Times New Roman" w:hAnsi="Times New Roman"/>
                <w:b/>
                <w:bCs/>
              </w:rPr>
              <w:t>Pasūtītājs</w:t>
            </w:r>
            <w:r>
              <w:rPr>
                <w:rFonts w:cs="Times New Roman" w:ascii="Times New Roman" w:hAnsi="Times New Roman"/>
              </w:rPr>
              <w:t>)</w:t>
            </w:r>
          </w:p>
        </w:tc>
      </w:tr>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zh-CN"/>
              </w:rPr>
            </w:pPr>
            <w:r>
              <w:rPr>
                <w:rFonts w:eastAsia="Times New Roman" w:cs="Times New Roman" w:ascii="Times New Roman" w:hAnsi="Times New Roman"/>
                <w:lang w:eastAsia="zh-CN"/>
              </w:rPr>
              <w:t>Nodokļu maksātāja reģistrācijas Nr.</w:t>
            </w:r>
          </w:p>
        </w:tc>
        <w:tc>
          <w:tcPr>
            <w:tcW w:w="58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end="-28"/>
              <w:rPr>
                <w:rFonts w:ascii="Times New Roman" w:hAnsi="Times New Roman" w:cs="Times New Roman"/>
              </w:rPr>
            </w:pPr>
            <w:r>
              <w:rPr>
                <w:rFonts w:cs="Times New Roman" w:ascii="Times New Roman" w:hAnsi="Times New Roman"/>
              </w:rPr>
              <w:t>40003074548</w:t>
            </w:r>
          </w:p>
        </w:tc>
      </w:tr>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zh-CN"/>
              </w:rPr>
            </w:pPr>
            <w:r>
              <w:rPr>
                <w:rFonts w:eastAsia="Times New Roman" w:cs="Times New Roman" w:ascii="Times New Roman" w:hAnsi="Times New Roman"/>
                <w:lang w:eastAsia="zh-CN"/>
              </w:rPr>
              <w:t>Juridiskā adrese</w:t>
            </w:r>
          </w:p>
        </w:tc>
        <w:tc>
          <w:tcPr>
            <w:tcW w:w="5810"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ind w:end="-28"/>
              <w:rPr>
                <w:rFonts w:ascii="Times New Roman" w:hAnsi="Times New Roman" w:cs="Times New Roman"/>
              </w:rPr>
            </w:pPr>
            <w:r>
              <w:rPr>
                <w:rFonts w:cs="Times New Roman" w:ascii="Times New Roman" w:hAnsi="Times New Roman"/>
              </w:rPr>
              <w:t>Rušonu iela 15, Rīga, LV-1057</w:t>
            </w:r>
          </w:p>
        </w:tc>
      </w:tr>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zh-CN"/>
              </w:rPr>
            </w:pPr>
            <w:r>
              <w:rPr>
                <w:rFonts w:eastAsia="Times New Roman" w:cs="Times New Roman" w:ascii="Times New Roman" w:hAnsi="Times New Roman"/>
                <w:lang w:eastAsia="zh-CN"/>
              </w:rPr>
              <w:t>Telefona Nr.</w:t>
            </w:r>
          </w:p>
        </w:tc>
        <w:tc>
          <w:tcPr>
            <w:tcW w:w="58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rPr>
            </w:pPr>
            <w:r>
              <w:rPr>
                <w:rFonts w:eastAsia="Times New Roman" w:cs="Times New Roman" w:ascii="Times New Roman" w:hAnsi="Times New Roman"/>
                <w:lang w:eastAsia="en-US"/>
              </w:rPr>
              <w:t>67255823</w:t>
            </w:r>
          </w:p>
        </w:tc>
      </w:tr>
      <w:tr>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val="en-US" w:eastAsia="zh-CN"/>
              </w:rPr>
            </w:pPr>
            <w:r>
              <w:rPr>
                <w:rFonts w:eastAsia="Times New Roman" w:cs="Times New Roman" w:ascii="Times New Roman" w:hAnsi="Times New Roman"/>
                <w:lang w:eastAsia="zh-CN"/>
              </w:rPr>
              <w:t>Oficiālā e-pasta adrese</w:t>
            </w:r>
          </w:p>
        </w:tc>
        <w:tc>
          <w:tcPr>
            <w:tcW w:w="581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rFonts w:ascii="Times New Roman" w:hAnsi="Times New Roman" w:cs="Times New Roman"/>
              </w:rPr>
            </w:pPr>
            <w:hyperlink r:id="rId3">
              <w:r>
                <w:rPr>
                  <w:rStyle w:val="Hyperlink"/>
                  <w:rFonts w:cs="Times New Roman" w:ascii="Times New Roman" w:hAnsi="Times New Roman"/>
                  <w:color w:val="000000"/>
                  <w:lang w:eastAsia="en-US"/>
                </w:rPr>
                <w:t>sekretars@mfd.lv</w:t>
              </w:r>
            </w:hyperlink>
          </w:p>
        </w:tc>
      </w:tr>
      <w:tr>
        <w:trPr>
          <w:trHeight w:val="745" w:hRule="atLeast"/>
        </w:trPr>
        <w:tc>
          <w:tcPr>
            <w:tcW w:w="3838" w:type="dxa"/>
            <w:tcBorders>
              <w:top w:val="single" w:sz="4" w:space="0" w:color="000000"/>
              <w:start w:val="single" w:sz="4" w:space="0" w:color="000000"/>
              <w:bottom w:val="single" w:sz="4" w:space="0" w:color="000000"/>
            </w:tcBorders>
          </w:tcPr>
          <w:p>
            <w:pPr>
              <w:pStyle w:val="Normal"/>
              <w:spacing w:lineRule="auto" w:line="240" w:before="0" w:after="0"/>
              <w:rPr>
                <w:rFonts w:ascii="Times New Roman" w:hAnsi="Times New Roman" w:eastAsia="Times New Roman" w:cs="Times New Roman"/>
                <w:lang w:eastAsia="zh-CN"/>
              </w:rPr>
            </w:pPr>
            <w:r>
              <w:rPr>
                <w:rFonts w:cs="Times New Roman" w:ascii="Times New Roman" w:hAnsi="Times New Roman"/>
              </w:rPr>
              <w:t>Pasūtītāja kontaktpersonas</w:t>
            </w:r>
          </w:p>
        </w:tc>
        <w:tc>
          <w:tcPr>
            <w:tcW w:w="581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lineRule="auto" w:line="240" w:before="0" w:after="0"/>
              <w:ind w:hanging="0" w:start="0"/>
              <w:outlineLvl w:val="0"/>
              <w:rPr>
                <w:rFonts w:ascii="Times New Roman" w:hAnsi="Times New Roman" w:cs="Times New Roman"/>
                <w:shd w:fill="FFFF00" w:val="clear"/>
              </w:rPr>
            </w:pPr>
            <w:r>
              <w:rPr>
                <w:rFonts w:cs="Times New Roman" w:ascii="Times New Roman" w:hAnsi="Times New Roman"/>
              </w:rPr>
              <w:t xml:space="preserve">Inese Volka,  </w:t>
            </w:r>
            <w:r>
              <w:rPr>
                <w:rFonts w:cs="Times New Roman" w:ascii="Times New Roman" w:hAnsi="Times New Roman"/>
                <w:color w:val="000000"/>
                <w:lang w:eastAsia="en-US"/>
              </w:rPr>
              <w:t xml:space="preserve">e-pasta adrese: </w:t>
            </w:r>
            <w:hyperlink r:id="rId4">
              <w:r>
                <w:rPr>
                  <w:rStyle w:val="Hyperlink"/>
                  <w:rFonts w:cs="Times New Roman" w:ascii="Times New Roman" w:hAnsi="Times New Roman"/>
                  <w:lang w:eastAsia="en-US"/>
                </w:rPr>
                <w:t>inese.volka@mfd.lv</w:t>
              </w:r>
            </w:hyperlink>
          </w:p>
          <w:p>
            <w:pPr>
              <w:pStyle w:val="Normal"/>
              <w:numPr>
                <w:ilvl w:val="0"/>
                <w:numId w:val="0"/>
              </w:numPr>
              <w:spacing w:lineRule="auto" w:line="240" w:before="0" w:after="0"/>
              <w:ind w:hanging="0" w:start="0"/>
              <w:outlineLvl w:val="0"/>
              <w:rPr>
                <w:rFonts w:ascii="Times New Roman" w:hAnsi="Times New Roman" w:cs="Times New Roman"/>
              </w:rPr>
            </w:pPr>
            <w:r>
              <w:rPr>
                <w:rFonts w:cs="Times New Roman" w:ascii="Times New Roman" w:hAnsi="Times New Roman"/>
              </w:rPr>
              <w:t>tālruņa Nr. 28715970</w:t>
            </w:r>
          </w:p>
        </w:tc>
      </w:tr>
    </w:tbl>
    <w:p>
      <w:pPr>
        <w:pStyle w:val="ListParagraph"/>
        <w:widowControl/>
        <w:numPr>
          <w:ilvl w:val="1"/>
          <w:numId w:val="4"/>
        </w:numPr>
        <w:suppressAutoHyphens w:val="true"/>
        <w:bidi w:val="0"/>
        <w:spacing w:lineRule="auto" w:line="259"/>
        <w:ind w:hanging="432" w:start="0"/>
        <w:jc w:val="both"/>
        <w:rPr>
          <w:rFonts w:ascii="Times New Roman" w:hAnsi="Times New Roman" w:eastAsia="Calibri" w:cs="Times New Roman"/>
          <w:b w:val="false"/>
          <w:bCs w:val="false"/>
          <w:kern w:val="2"/>
          <w:lang w:val="lv-LV" w:eastAsia="en-US"/>
        </w:rPr>
      </w:pPr>
      <w:r>
        <w:rPr>
          <w:rFonts w:eastAsia="Calibri" w:cs="Times New Roman" w:ascii="Times New Roman" w:hAnsi="Times New Roman"/>
          <w:b w:val="false"/>
          <w:bCs w:val="false"/>
          <w:kern w:val="2"/>
          <w:lang w:val="lv-LV" w:eastAsia="en-US"/>
        </w:rPr>
        <w:t>Pasūtītājs organizē iepirkumu “</w:t>
      </w:r>
      <w:r>
        <w:rPr>
          <w:rFonts w:eastAsia="Times New Roman" w:cs="Times New Roman" w:ascii="Times New Roman" w:hAnsi="Times New Roman"/>
          <w:b w:val="false"/>
          <w:bCs w:val="false"/>
          <w:color w:val="auto"/>
          <w:kern w:val="0"/>
          <w:sz w:val="24"/>
          <w:szCs w:val="24"/>
          <w:lang w:val="lv-LV" w:eastAsia="en-US" w:bidi="ar-SA"/>
        </w:rPr>
        <w:t>Vides pieejamības pasākumu realizācija MFD Doktorātā “Prūšu””.</w:t>
      </w:r>
      <w:r>
        <w:rPr>
          <w:rFonts w:eastAsia="Calibri" w:cs="Times New Roman" w:ascii="Times New Roman" w:hAnsi="Times New Roman"/>
          <w:b w:val="false"/>
          <w:bCs w:val="false"/>
          <w:kern w:val="2"/>
          <w:lang w:val="lv-LV" w:eastAsia="en-US"/>
        </w:rPr>
        <w:t xml:space="preserve"> </w:t>
      </w:r>
    </w:p>
    <w:p>
      <w:pPr>
        <w:pStyle w:val="ListParagraph"/>
        <w:widowControl/>
        <w:numPr>
          <w:ilvl w:val="1"/>
          <w:numId w:val="4"/>
        </w:numPr>
        <w:suppressAutoHyphens w:val="true"/>
        <w:bidi w:val="0"/>
        <w:spacing w:lineRule="auto" w:line="259" w:before="0" w:after="200"/>
        <w:ind w:hanging="432" w:start="0"/>
        <w:contextualSpacing/>
        <w:jc w:val="both"/>
        <w:rPr/>
      </w:pPr>
      <w:r>
        <w:rPr>
          <w:rFonts w:eastAsia="Calibri" w:cs="Times New Roman" w:ascii="Times New Roman" w:hAnsi="Times New Roman"/>
          <w:kern w:val="2"/>
          <w:lang w:eastAsia="en-US"/>
        </w:rPr>
        <w:t xml:space="preserve">Iepirkums tiek organizēts saskaņā ar Ministru kabineta 2025.gada 7.janvāra noteikumiem Nr. 23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īstenošanas noteikumi”, </w:t>
      </w:r>
      <w:r>
        <w:rPr>
          <w:rFonts w:eastAsia="Calibri" w:cs="Times New Roman" w:ascii="Times New Roman" w:hAnsi="Times New Roman"/>
          <w:b w:val="false"/>
          <w:bCs w:val="false"/>
          <w:kern w:val="2"/>
          <w:lang w:eastAsia="en-US"/>
        </w:rPr>
        <w:t>ES un Latvijas Republikas normatīvajiem aktiem par ES fondu vadību un Sadarbības iestādes 24.07.2025. lēmumu Nr. 39-2-10/3671 par projekta iesnieguma “Primārās veselības aprūpes lomas stiprināšana, attīstot infrastruktūru SIA “Dziedniecība” telpās” (turpmāk -</w:t>
      </w:r>
      <w:r>
        <w:rPr>
          <w:rFonts w:eastAsia="Calibri" w:cs="Times New Roman" w:ascii="Times New Roman" w:hAnsi="Times New Roman"/>
          <w:b/>
          <w:bCs/>
          <w:kern w:val="2"/>
          <w:lang w:eastAsia="en-US"/>
        </w:rPr>
        <w:t xml:space="preserve"> Projekts</w:t>
      </w:r>
      <w:r>
        <w:rPr>
          <w:rFonts w:eastAsia="Calibri" w:cs="Times New Roman" w:ascii="Times New Roman" w:hAnsi="Times New Roman"/>
          <w:b w:val="false"/>
          <w:bCs w:val="false"/>
          <w:kern w:val="2"/>
          <w:lang w:eastAsia="en-US"/>
        </w:rPr>
        <w:t>)</w:t>
      </w:r>
      <w:r>
        <w:rPr>
          <w:rFonts w:eastAsia="Calibri" w:cs="Times New Roman" w:ascii="Times New Roman" w:hAnsi="Times New Roman"/>
          <w:b/>
          <w:bCs/>
          <w:kern w:val="2"/>
          <w:lang w:eastAsia="en-US"/>
        </w:rPr>
        <w:t xml:space="preserve"> </w:t>
      </w:r>
      <w:r>
        <w:rPr>
          <w:rFonts w:eastAsia="Calibri" w:cs="Times New Roman" w:ascii="Times New Roman" w:hAnsi="Times New Roman"/>
          <w:b w:val="false"/>
          <w:bCs w:val="false"/>
          <w:kern w:val="2"/>
          <w:lang w:eastAsia="en-US"/>
        </w:rPr>
        <w:t xml:space="preserve">apstiprināšanu ar nosacījumu un 21.10.2025. atzinumu Nr. 39-2-10/5192 par lēmumā ietverto nosacījumu izpildi, </w:t>
      </w:r>
      <w:r>
        <w:rPr>
          <w:rFonts w:eastAsia="Calibri" w:cs="Times New Roman" w:ascii="Times New Roman" w:hAnsi="Times New Roman"/>
          <w:b/>
          <w:bCs/>
          <w:kern w:val="2"/>
          <w:lang w:eastAsia="en-US"/>
        </w:rPr>
        <w:t xml:space="preserve">projekts Nr. 4.1.1.3/2/25/A/066 Primārās veselības aprūpes lomas stiprināšana, attīstot infrastruktūru </w:t>
      </w:r>
      <w:r>
        <w:rPr>
          <w:rStyle w:val="Strong"/>
          <w:rFonts w:eastAsia="Calibri" w:cs="Times New Roman" w:ascii="Times New Roman" w:hAnsi="Times New Roman"/>
          <w:kern w:val="2"/>
          <w:sz w:val="24"/>
          <w:szCs w:val="24"/>
          <w:lang w:eastAsia="en-US"/>
        </w:rPr>
        <w:t>Sabiedrības ar ierobežotu atbildību</w:t>
      </w:r>
      <w:r>
        <w:rPr>
          <w:rFonts w:eastAsia="Calibri" w:cs="Times New Roman" w:ascii="Times New Roman" w:hAnsi="Times New Roman"/>
          <w:b/>
          <w:bCs/>
          <w:kern w:val="2"/>
          <w:lang w:eastAsia="en-US"/>
        </w:rPr>
        <w:t xml:space="preserve"> “Dziedniecība” telpās.</w:t>
      </w:r>
    </w:p>
    <w:p>
      <w:pPr>
        <w:pStyle w:val="ListParagraph"/>
        <w:widowControl/>
        <w:numPr>
          <w:ilvl w:val="1"/>
          <w:numId w:val="4"/>
        </w:numPr>
        <w:suppressAutoHyphens w:val="true"/>
        <w:bidi w:val="0"/>
        <w:spacing w:lineRule="auto" w:line="259" w:before="0" w:after="200"/>
        <w:ind w:hanging="432" w:start="0"/>
        <w:contextualSpacing/>
        <w:jc w:val="both"/>
        <w:rPr/>
      </w:pPr>
      <w:r>
        <w:rPr>
          <w:rFonts w:eastAsia="Calibri" w:cs="Times New Roman" w:ascii="Times New Roman" w:hAnsi="Times New Roman"/>
          <w:kern w:val="2"/>
          <w:lang w:eastAsia="en-US"/>
        </w:rPr>
        <w:t xml:space="preserve">Iepirkumu veikšanai Pasūtītājs ir izveidojis iepirkumu komisiju (turpmāk </w:t>
      </w:r>
      <w:r>
        <w:rPr>
          <w:rFonts w:eastAsia="Calibri" w:cs="Times New Roman" w:ascii="Times New Roman" w:hAnsi="Times New Roman"/>
          <w:b/>
          <w:bCs/>
          <w:kern w:val="2"/>
          <w:lang w:eastAsia="en-US"/>
        </w:rPr>
        <w:t>-</w:t>
      </w:r>
      <w:r>
        <w:rPr>
          <w:rFonts w:eastAsia="Calibri" w:cs="Times New Roman" w:ascii="Times New Roman" w:hAnsi="Times New Roman"/>
          <w:kern w:val="2"/>
          <w:lang w:eastAsia="en-US"/>
        </w:rPr>
        <w:t xml:space="preserve"> </w:t>
      </w:r>
      <w:r>
        <w:rPr>
          <w:rFonts w:eastAsia="Calibri" w:cs="Times New Roman" w:ascii="Times New Roman" w:hAnsi="Times New Roman"/>
          <w:b/>
          <w:bCs/>
          <w:kern w:val="2"/>
          <w:lang w:eastAsia="en-US"/>
        </w:rPr>
        <w:t>Komisija</w:t>
      </w:r>
      <w:r>
        <w:rPr>
          <w:rFonts w:eastAsia="Calibri" w:cs="Times New Roman" w:ascii="Times New Roman" w:hAnsi="Times New Roman"/>
          <w:kern w:val="2"/>
          <w:lang w:eastAsia="en-US"/>
        </w:rPr>
        <w:t>), kas pārstāv Pasūtītāja intereses.</w:t>
      </w:r>
    </w:p>
    <w:p>
      <w:pPr>
        <w:pStyle w:val="ListParagraph"/>
        <w:widowControl/>
        <w:numPr>
          <w:ilvl w:val="1"/>
          <w:numId w:val="4"/>
        </w:numPr>
        <w:suppressAutoHyphens w:val="true"/>
        <w:bidi w:val="0"/>
        <w:spacing w:lineRule="auto" w:line="259" w:before="0" w:after="200"/>
        <w:ind w:hanging="432" w:start="0"/>
        <w:contextualSpacing/>
        <w:jc w:val="both"/>
        <w:rPr>
          <w:b w:val="false"/>
          <w:bCs w:val="false"/>
        </w:rPr>
      </w:pPr>
      <w:r>
        <w:rPr>
          <w:rFonts w:eastAsia="Calibri" w:cs="Times New Roman" w:ascii="Times New Roman" w:hAnsi="Times New Roman"/>
          <w:b w:val="false"/>
          <w:bCs w:val="false"/>
          <w:iCs/>
          <w:kern w:val="2"/>
          <w:szCs w:val="24"/>
          <w:lang w:eastAsia="en-US"/>
        </w:rPr>
        <w:t>Saziņa starp Pasūtītāju un ieinteresētajiem Pretendentiem iepirkuma ietvaros notiek valsts valodā, rakstiski, pa pastu vai elektroniski (e-pastu). Pa e-pastu sūtītā informācija uzskatāma par saņemtu, ja pasūtītāja kontaktpersona nosūtījusi apstiprinošu e-pasta atbildes vēstuli tās sūtītājam vienas darba dienas laikā.</w:t>
      </w:r>
    </w:p>
    <w:p>
      <w:pPr>
        <w:pStyle w:val="ListParagraph"/>
        <w:widowControl/>
        <w:suppressAutoHyphens w:val="true"/>
        <w:bidi w:val="0"/>
        <w:spacing w:lineRule="auto" w:line="259" w:before="0" w:after="200"/>
        <w:ind w:hanging="0" w:start="0"/>
        <w:contextualSpacing/>
        <w:jc w:val="both"/>
        <w:rPr>
          <w:rFonts w:ascii="Times New Roman" w:hAnsi="Times New Roman" w:eastAsia="Calibri" w:cs="Times New Roman"/>
          <w:kern w:val="2"/>
          <w:lang w:eastAsia="en-US"/>
        </w:rPr>
      </w:pPr>
      <w:r>
        <w:rPr>
          <w:rFonts w:eastAsia="Calibri" w:cs="Times New Roman" w:ascii="Times New Roman" w:hAnsi="Times New Roman"/>
          <w:kern w:val="2"/>
          <w:lang w:eastAsia="en-US"/>
        </w:rPr>
      </w:r>
    </w:p>
    <w:p>
      <w:pPr>
        <w:pStyle w:val="ListParagraph"/>
        <w:widowControl/>
        <w:numPr>
          <w:ilvl w:val="0"/>
          <w:numId w:val="0"/>
        </w:numPr>
        <w:suppressAutoHyphens w:val="true"/>
        <w:bidi w:val="0"/>
        <w:spacing w:lineRule="auto" w:line="259" w:before="0" w:after="200"/>
        <w:ind w:hanging="0" w:start="0"/>
        <w:contextualSpacing/>
        <w:jc w:val="both"/>
        <w:rPr/>
      </w:pPr>
      <w:r>
        <w:rPr/>
      </w:r>
    </w:p>
    <w:p>
      <w:pPr>
        <w:pStyle w:val="BodyText"/>
        <w:widowControl/>
        <w:numPr>
          <w:ilvl w:val="0"/>
          <w:numId w:val="4"/>
        </w:numPr>
        <w:suppressAutoHyphens w:val="true"/>
        <w:bidi w:val="0"/>
        <w:spacing w:lineRule="auto" w:line="360"/>
        <w:jc w:val="center"/>
        <w:rPr>
          <w:b/>
          <w:bCs/>
          <w:color w:val="auto"/>
          <w:kern w:val="0"/>
          <w:szCs w:val="24"/>
          <w:lang w:val="lv-LV" w:bidi="ar-SA"/>
        </w:rPr>
      </w:pPr>
      <w:r>
        <w:rPr>
          <w:b/>
          <w:bCs/>
          <w:color w:val="auto"/>
          <w:kern w:val="0"/>
          <w:szCs w:val="24"/>
          <w:lang w:val="lv-LV" w:bidi="ar-SA"/>
        </w:rPr>
        <w:t>INFORMĀCIJA PAR IEPIRKUMA PRIEKŠMETU</w:t>
      </w:r>
    </w:p>
    <w:p>
      <w:pPr>
        <w:pStyle w:val="ListParagraph"/>
        <w:widowControl/>
        <w:numPr>
          <w:ilvl w:val="1"/>
          <w:numId w:val="4"/>
        </w:numPr>
        <w:suppressAutoHyphens w:val="true"/>
        <w:bidi w:val="0"/>
        <w:spacing w:lineRule="auto" w:line="259"/>
        <w:ind w:hanging="432" w:start="0"/>
        <w:jc w:val="both"/>
        <w:rPr>
          <w:rFonts w:ascii="Times New Roman" w:hAnsi="Times New Roman" w:eastAsia="Calibri" w:cs="Times New Roman"/>
          <w:b w:val="false"/>
          <w:bCs w:val="false"/>
          <w:iCs/>
          <w:color w:val="auto"/>
          <w:kern w:val="2"/>
          <w:sz w:val="22"/>
          <w:szCs w:val="24"/>
          <w:lang w:val="lv-LV" w:eastAsia="en-US" w:bidi="ar-SA"/>
        </w:rPr>
      </w:pPr>
      <w:r>
        <w:rPr>
          <w:rFonts w:eastAsia="Calibri" w:cs="Times New Roman" w:ascii="Times New Roman" w:hAnsi="Times New Roman"/>
          <w:b w:val="false"/>
          <w:bCs w:val="false"/>
          <w:iCs/>
          <w:color w:val="auto"/>
          <w:kern w:val="2"/>
          <w:sz w:val="22"/>
          <w:szCs w:val="24"/>
          <w:lang w:val="lv-LV" w:eastAsia="en-US" w:bidi="ar-SA"/>
        </w:rPr>
        <w:t>Iepirkuma priekšmets ir vienkāršotie atjaunošanas darbi telpu pielāgošanai v</w:t>
      </w:r>
      <w:r>
        <w:rPr>
          <w:rFonts w:eastAsia="Times New Roman" w:cs="Times New Roman" w:ascii="Times New Roman" w:hAnsi="Times New Roman"/>
          <w:b w:val="false"/>
          <w:bCs w:val="false"/>
          <w:iCs/>
          <w:color w:val="auto"/>
          <w:kern w:val="0"/>
          <w:sz w:val="24"/>
          <w:szCs w:val="24"/>
          <w:lang w:val="lv-LV" w:eastAsia="en-US" w:bidi="ar-SA"/>
        </w:rPr>
        <w:t>ides pieejamības pasākumu realizācija MFD Doktorātā “Prūšu”</w:t>
      </w:r>
      <w:r>
        <w:rPr>
          <w:rFonts w:eastAsia="Calibri" w:cs="Times New Roman" w:ascii="Times New Roman" w:hAnsi="Times New Roman"/>
          <w:b w:val="false"/>
          <w:bCs w:val="false"/>
          <w:iCs/>
          <w:color w:val="auto"/>
          <w:kern w:val="2"/>
          <w:sz w:val="22"/>
          <w:szCs w:val="24"/>
          <w:lang w:val="lv-LV" w:eastAsia="en-US" w:bidi="ar-SA"/>
        </w:rPr>
        <w:t>, saskaņā ar tehnisko specifikāciju (2.pielikums).</w:t>
      </w:r>
    </w:p>
    <w:p>
      <w:pPr>
        <w:pStyle w:val="ListParagraph"/>
        <w:widowControl/>
        <w:numPr>
          <w:ilvl w:val="1"/>
          <w:numId w:val="4"/>
        </w:numPr>
        <w:suppressAutoHyphens w:val="true"/>
        <w:bidi w:val="0"/>
        <w:spacing w:lineRule="auto" w:line="259"/>
        <w:ind w:hanging="432" w:start="0"/>
        <w:jc w:val="both"/>
        <w:rPr>
          <w:rFonts w:ascii="Times New Roman" w:hAnsi="Times New Roman" w:eastAsia="Calibri" w:cs="Times New Roman"/>
          <w:b w:val="false"/>
          <w:bCs w:val="false"/>
          <w:iCs/>
          <w:color w:val="auto"/>
          <w:kern w:val="2"/>
          <w:sz w:val="22"/>
          <w:szCs w:val="24"/>
          <w:lang w:val="lv-LV" w:eastAsia="en-US" w:bidi="ar-SA"/>
        </w:rPr>
      </w:pPr>
      <w:r>
        <w:rPr>
          <w:rFonts w:eastAsia="Calibri" w:cs="Times New Roman" w:ascii="Times New Roman" w:hAnsi="Times New Roman"/>
          <w:b w:val="false"/>
          <w:bCs w:val="false"/>
          <w:iCs/>
          <w:color w:val="auto"/>
          <w:kern w:val="2"/>
          <w:sz w:val="22"/>
          <w:szCs w:val="24"/>
          <w:lang w:val="lv-LV" w:eastAsia="en-US" w:bidi="ar-SA"/>
        </w:rPr>
        <w:t>Iepirkuma priekšmeta CPV kods: 45000000-7 – celtniecības darbi.</w:t>
      </w:r>
    </w:p>
    <w:p>
      <w:pPr>
        <w:pStyle w:val="ListParagraph"/>
        <w:widowControl/>
        <w:numPr>
          <w:ilvl w:val="1"/>
          <w:numId w:val="4"/>
        </w:numPr>
        <w:suppressAutoHyphens w:val="true"/>
        <w:bidi w:val="0"/>
        <w:spacing w:lineRule="auto" w:line="259" w:before="0" w:after="200"/>
        <w:ind w:hanging="432" w:start="0"/>
        <w:contextualSpacing/>
        <w:jc w:val="both"/>
        <w:rPr/>
      </w:pPr>
      <w:r>
        <w:rPr>
          <w:rFonts w:cs="Times New Roman" w:ascii="Times New Roman" w:hAnsi="Times New Roman"/>
        </w:rPr>
        <w:t>Iepirkuma priekšmets nav sadalīts daļās</w:t>
      </w:r>
      <w:r>
        <w:rPr>
          <w:rStyle w:val="FootnoteReference"/>
          <w:rFonts w:cs="Times New Roman" w:ascii="Times New Roman" w:hAnsi="Times New Roman"/>
        </w:rPr>
        <w:footnoteReference w:id="2"/>
      </w:r>
      <w:r>
        <w:rPr>
          <w:rFonts w:cs="Times New Roman" w:ascii="Times New Roman" w:hAnsi="Times New Roman"/>
        </w:rPr>
        <w:t>.</w:t>
      </w:r>
    </w:p>
    <w:p>
      <w:pPr>
        <w:pStyle w:val="ListParagraph"/>
        <w:widowControl/>
        <w:numPr>
          <w:ilvl w:val="1"/>
          <w:numId w:val="4"/>
        </w:numPr>
        <w:suppressAutoHyphens w:val="true"/>
        <w:bidi w:val="0"/>
        <w:spacing w:lineRule="auto" w:line="259" w:before="0" w:after="200"/>
        <w:ind w:hanging="432" w:start="0"/>
        <w:contextualSpacing/>
        <w:jc w:val="both"/>
        <w:rPr/>
      </w:pPr>
      <w:r>
        <w:rPr>
          <w:sz w:val="23"/>
        </w:rPr>
        <w:t>I</w:t>
      </w:r>
      <w:r>
        <w:rPr>
          <w:rFonts w:ascii="Times New Roman" w:hAnsi="Times New Roman"/>
          <w:sz w:val="23"/>
        </w:rPr>
        <w:t xml:space="preserve">epirkuma līguma slēgšanas tiesības tiks piešķirtas vienam Pretendentam, kura piedāvājums tiks atzīts par atbilstošu Nolikuma un Tehniskās specifikācijas prasībām un ar viszemāko cenu. Ja ir divi piedāvājumi ar vienādu cenu, izšķirošā balss ir Iepirkumu komisijas priekšsēdētājam. </w:t>
      </w:r>
    </w:p>
    <w:p>
      <w:pPr>
        <w:pStyle w:val="ListParagraph"/>
        <w:widowControl/>
        <w:numPr>
          <w:ilvl w:val="1"/>
          <w:numId w:val="4"/>
        </w:numPr>
        <w:suppressAutoHyphens w:val="true"/>
        <w:bidi w:val="0"/>
        <w:spacing w:lineRule="auto" w:line="259" w:before="0" w:after="200"/>
        <w:ind w:hanging="432" w:start="0"/>
        <w:contextualSpacing/>
        <w:jc w:val="both"/>
        <w:rPr>
          <w:rFonts w:ascii="Times New Roman" w:hAnsi="Times New Roman" w:cs="Times New Roman"/>
        </w:rPr>
      </w:pPr>
      <w:r>
        <w:rPr>
          <w:rFonts w:cs="Times New Roman" w:ascii="Times New Roman" w:hAnsi="Times New Roman"/>
        </w:rPr>
        <w:t>Līguma izpildes vieta: Prūšu iela 13, Rīga.</w:t>
      </w:r>
    </w:p>
    <w:p>
      <w:pPr>
        <w:pStyle w:val="ListParagraph"/>
        <w:widowControl/>
        <w:numPr>
          <w:ilvl w:val="1"/>
          <w:numId w:val="4"/>
        </w:numPr>
        <w:suppressAutoHyphens w:val="true"/>
        <w:bidi w:val="0"/>
        <w:spacing w:lineRule="auto" w:line="259" w:before="0" w:after="200"/>
        <w:ind w:hanging="432" w:start="0"/>
        <w:contextualSpacing/>
        <w:jc w:val="both"/>
        <w:rPr/>
      </w:pPr>
      <w:bookmarkStart w:id="3" w:name="_Hlk136000239"/>
      <w:r>
        <w:rPr>
          <w:rFonts w:cs="Times New Roman" w:ascii="Times New Roman" w:hAnsi="Times New Roman"/>
        </w:rPr>
        <w:t xml:space="preserve">Līguma izpildes termiņš:  ne ilgāk par </w:t>
      </w:r>
      <w:r>
        <w:rPr>
          <w:rFonts w:cs="Times New Roman" w:ascii="Times New Roman" w:hAnsi="Times New Roman"/>
          <w:b/>
        </w:rPr>
        <w:t>5 (pieci) mēnešiem</w:t>
      </w:r>
      <w:r>
        <w:rPr>
          <w:rFonts w:cs="Times New Roman" w:ascii="Times New Roman" w:hAnsi="Times New Roman"/>
        </w:rPr>
        <w:t xml:space="preserve"> no līguma noslēgšanas dienas, līguma izpildes laikā MFD Doktorāta darbība turpināsies un netiks pārtraukta. Pasūtītājs ir noteicis prasības un nosacījumus darbu veikšanai </w:t>
      </w:r>
      <w:r>
        <w:rPr>
          <w:rFonts w:eastAsia="Calibri" w:cs="Times New Roman" w:ascii="Times New Roman" w:hAnsi="Times New Roman"/>
        </w:rPr>
        <w:t>Nolikuma 2.pielikumā “Tehniskā specifikācija”</w:t>
      </w:r>
      <w:bookmarkEnd w:id="3"/>
      <w:r>
        <w:rPr>
          <w:rFonts w:eastAsia="Calibri" w:cs="Times New Roman" w:ascii="Times New Roman" w:hAnsi="Times New Roman"/>
        </w:rPr>
        <w:t>.</w:t>
      </w:r>
    </w:p>
    <w:p>
      <w:pPr>
        <w:pStyle w:val="ListParagraph"/>
        <w:widowControl/>
        <w:numPr>
          <w:ilvl w:val="1"/>
          <w:numId w:val="4"/>
        </w:numPr>
        <w:suppressAutoHyphens w:val="true"/>
        <w:bidi w:val="0"/>
        <w:spacing w:lineRule="auto" w:line="259" w:before="0" w:after="200"/>
        <w:ind w:hanging="432" w:start="0"/>
        <w:contextualSpacing/>
        <w:jc w:val="both"/>
        <w:rPr/>
      </w:pPr>
      <w:r>
        <w:rPr>
          <w:rFonts w:cs="Times New Roman" w:ascii="Times New Roman" w:hAnsi="Times New Roman"/>
          <w:b/>
        </w:rPr>
        <w:t>Paredzamā līgumcena</w:t>
      </w:r>
      <w:r>
        <w:rPr>
          <w:rFonts w:cs="Times New Roman" w:ascii="Times New Roman" w:hAnsi="Times New Roman"/>
          <w:bCs/>
        </w:rPr>
        <w:t>:</w:t>
      </w:r>
    </w:p>
    <w:tbl>
      <w:tblPr>
        <w:tblW w:w="5000" w:type="pct"/>
        <w:jc w:val="center"/>
        <w:tblInd w:w="0" w:type="dxa"/>
        <w:tblLayout w:type="fixed"/>
        <w:tblCellMar>
          <w:top w:w="0" w:type="dxa"/>
          <w:start w:w="108" w:type="dxa"/>
          <w:bottom w:w="0" w:type="dxa"/>
          <w:end w:w="108" w:type="dxa"/>
        </w:tblCellMar>
      </w:tblPr>
      <w:tblGrid>
        <w:gridCol w:w="6466"/>
        <w:gridCol w:w="3198"/>
      </w:tblGrid>
      <w:tr>
        <w:trPr>
          <w:trHeight w:val="430" w:hRule="atLeast"/>
        </w:trPr>
        <w:tc>
          <w:tcPr>
            <w:tcW w:w="6466"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spacing w:before="0" w:after="160"/>
              <w:ind w:start="720"/>
              <w:jc w:val="center"/>
              <w:rPr>
                <w:rFonts w:ascii="Times New Roman" w:hAnsi="Times New Roman"/>
              </w:rPr>
            </w:pPr>
            <w:r>
              <w:rPr>
                <w:rFonts w:cs="Times New Roman" w:ascii="Times New Roman" w:hAnsi="Times New Roman"/>
                <w:szCs w:val="24"/>
              </w:rPr>
              <w:t>Iepirkuma priekšmets</w:t>
            </w:r>
          </w:p>
        </w:tc>
        <w:tc>
          <w:tcPr>
            <w:tcW w:w="3198" w:type="dxa"/>
            <w:tcBorders>
              <w:top w:val="single" w:sz="4" w:space="0" w:color="000000"/>
              <w:start w:val="single" w:sz="4" w:space="0" w:color="000000"/>
              <w:bottom w:val="single" w:sz="4" w:space="0" w:color="000000"/>
              <w:end w:val="single" w:sz="4" w:space="0" w:color="000000"/>
            </w:tcBorders>
            <w:shd w:fill="F2F2F2" w:val="clear"/>
            <w:vAlign w:val="center"/>
          </w:tcPr>
          <w:p>
            <w:pPr>
              <w:pStyle w:val="Normal"/>
              <w:spacing w:before="0" w:after="160"/>
              <w:ind w:start="181" w:end="106"/>
              <w:jc w:val="center"/>
              <w:rPr>
                <w:rFonts w:ascii="Times New Roman" w:hAnsi="Times New Roman"/>
              </w:rPr>
            </w:pPr>
            <w:r>
              <w:rPr>
                <w:rFonts w:cs="Times New Roman" w:ascii="Times New Roman" w:hAnsi="Times New Roman"/>
                <w:szCs w:val="24"/>
              </w:rPr>
              <w:t>Paredzamā līguma summa, EUR bez PVN</w:t>
            </w:r>
          </w:p>
        </w:tc>
      </w:tr>
      <w:tr>
        <w:trPr>
          <w:trHeight w:val="236" w:hRule="atLeast"/>
        </w:trPr>
        <w:tc>
          <w:tcPr>
            <w:tcW w:w="6466"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before="0" w:after="160"/>
              <w:ind w:start="283"/>
              <w:rPr>
                <w:rFonts w:ascii="Times New Roman" w:hAnsi="Times New Roman"/>
              </w:rPr>
            </w:pPr>
            <w:r>
              <w:rPr>
                <w:rFonts w:ascii="Times New Roman" w:hAnsi="Times New Roman"/>
              </w:rPr>
              <w:t>Nodrošināt vi</w:t>
            </w:r>
            <w:r>
              <w:rPr>
                <w:rFonts w:eastAsia="Calibri" w:cs="Times New Roman" w:ascii="Times New Roman" w:hAnsi="Times New Roman"/>
                <w:kern w:val="2"/>
                <w:lang w:eastAsia="en-US"/>
              </w:rPr>
              <w:t xml:space="preserve">enkāršotus atjaunošanas darbus telpu pielāgošanai vides pieejamībai </w:t>
            </w:r>
            <w:r>
              <w:rPr>
                <w:rFonts w:eastAsia="Calibri" w:cs="Times New Roman" w:ascii="Times New Roman" w:hAnsi="Times New Roman"/>
                <w:color w:val="auto"/>
                <w:kern w:val="2"/>
                <w:sz w:val="22"/>
                <w:szCs w:val="22"/>
                <w:lang w:val="lv-LV" w:eastAsia="en-US" w:bidi="ar-SA"/>
              </w:rPr>
              <w:t>MFD Doktorātā “Prūšu”, tajā skaitā:</w:t>
            </w:r>
          </w:p>
        </w:tc>
        <w:tc>
          <w:tcPr>
            <w:tcW w:w="3198"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0" w:leader="none"/>
                <w:tab w:val="left" w:pos="142" w:leader="none"/>
                <w:tab w:val="left" w:pos="426" w:leader="none"/>
              </w:tabs>
              <w:spacing w:before="0" w:after="160"/>
              <w:ind w:start="1"/>
              <w:jc w:val="center"/>
              <w:rPr>
                <w:rFonts w:ascii="Times New Roman" w:hAnsi="Times New Roman"/>
              </w:rPr>
            </w:pPr>
            <w:r>
              <w:rPr>
                <w:rFonts w:eastAsia="Times New Roman" w:cs="Times New Roman" w:ascii="Times New Roman" w:hAnsi="Times New Roman"/>
                <w:bCs/>
                <w:color w:themeColor="dark1" w:val="000000"/>
                <w:szCs w:val="24"/>
              </w:rPr>
              <w:t>20 140.49</w:t>
            </w:r>
          </w:p>
        </w:tc>
      </w:tr>
      <w:tr>
        <w:trPr>
          <w:trHeight w:val="236" w:hRule="atLeast"/>
        </w:trPr>
        <w:tc>
          <w:tcPr>
            <w:tcW w:w="6466" w:type="dxa"/>
            <w:tcBorders>
              <w:start w:val="single" w:sz="4" w:space="0" w:color="000000"/>
              <w:bottom w:val="single" w:sz="4" w:space="0" w:color="000000"/>
              <w:end w:val="single" w:sz="4" w:space="0" w:color="000000"/>
            </w:tcBorders>
            <w:shd w:fill="FFFFFF" w:val="clear"/>
            <w:vAlign w:val="center"/>
          </w:tcPr>
          <w:p>
            <w:pPr>
              <w:pStyle w:val="Normal"/>
              <w:spacing w:before="0" w:after="160"/>
              <w:ind w:start="283"/>
              <w:rPr>
                <w:rFonts w:ascii="Times New Roman" w:hAnsi="Times New Roman"/>
              </w:rPr>
            </w:pPr>
            <w:r>
              <w:rPr>
                <w:rFonts w:ascii="Times New Roman" w:hAnsi="Times New Roman"/>
              </w:rPr>
              <w:t>‍</w:t>
            </w:r>
            <w:r>
              <w:rPr>
                <w:rFonts w:ascii="Times New Roman" w:hAnsi="Times New Roman"/>
              </w:rPr>
              <w:t>1.daļa: Ieejas mezgla pielāgošana vides pieejamības prasībām</w:t>
            </w:r>
          </w:p>
        </w:tc>
        <w:tc>
          <w:tcPr>
            <w:tcW w:w="3198" w:type="dxa"/>
            <w:tcBorders>
              <w:start w:val="single" w:sz="4" w:space="0" w:color="000000"/>
              <w:bottom w:val="single" w:sz="4" w:space="0" w:color="000000"/>
              <w:end w:val="single" w:sz="4" w:space="0" w:color="000000"/>
            </w:tcBorders>
            <w:vAlign w:val="center"/>
          </w:tcPr>
          <w:p>
            <w:pPr>
              <w:pStyle w:val="Normal"/>
              <w:tabs>
                <w:tab w:val="clear" w:pos="720"/>
                <w:tab w:val="left" w:pos="0" w:leader="none"/>
                <w:tab w:val="left" w:pos="142" w:leader="none"/>
                <w:tab w:val="left" w:pos="426" w:leader="none"/>
              </w:tabs>
              <w:spacing w:before="0" w:after="160"/>
              <w:ind w:start="1"/>
              <w:jc w:val="center"/>
              <w:rPr>
                <w:rFonts w:ascii="Times New Roman" w:hAnsi="Times New Roman"/>
              </w:rPr>
            </w:pPr>
            <w:r>
              <w:rPr>
                <w:rFonts w:ascii="Times New Roman" w:hAnsi="Times New Roman"/>
              </w:rPr>
              <w:t>14 876.03</w:t>
            </w:r>
          </w:p>
        </w:tc>
      </w:tr>
      <w:tr>
        <w:trPr>
          <w:trHeight w:val="236" w:hRule="atLeast"/>
        </w:trPr>
        <w:tc>
          <w:tcPr>
            <w:tcW w:w="6466" w:type="dxa"/>
            <w:tcBorders>
              <w:start w:val="single" w:sz="4" w:space="0" w:color="000000"/>
              <w:bottom w:val="single" w:sz="4" w:space="0" w:color="000000"/>
              <w:end w:val="single" w:sz="4" w:space="0" w:color="000000"/>
            </w:tcBorders>
            <w:shd w:fill="FFFFFF" w:val="clear"/>
            <w:vAlign w:val="center"/>
          </w:tcPr>
          <w:p>
            <w:pPr>
              <w:pStyle w:val="Normal"/>
              <w:spacing w:before="0" w:after="160"/>
              <w:ind w:start="283"/>
              <w:rPr>
                <w:rFonts w:ascii="Times New Roman" w:hAnsi="Times New Roman"/>
              </w:rPr>
            </w:pPr>
            <w:r>
              <w:rPr>
                <w:rFonts w:ascii="Times New Roman" w:hAnsi="Times New Roman"/>
              </w:rPr>
              <w:t>‍</w:t>
            </w:r>
            <w:r>
              <w:rPr>
                <w:rFonts w:ascii="Times New Roman" w:hAnsi="Times New Roman"/>
              </w:rPr>
              <w:t>2.daļa: Kondicionēšanas iekārtu izbūve prakses telpās un procedūru kabinetā</w:t>
            </w:r>
          </w:p>
        </w:tc>
        <w:tc>
          <w:tcPr>
            <w:tcW w:w="3198" w:type="dxa"/>
            <w:tcBorders>
              <w:start w:val="single" w:sz="4" w:space="0" w:color="000000"/>
              <w:bottom w:val="single" w:sz="4" w:space="0" w:color="000000"/>
              <w:end w:val="single" w:sz="4" w:space="0" w:color="000000"/>
            </w:tcBorders>
            <w:vAlign w:val="center"/>
          </w:tcPr>
          <w:p>
            <w:pPr>
              <w:pStyle w:val="Normal"/>
              <w:tabs>
                <w:tab w:val="clear" w:pos="720"/>
                <w:tab w:val="left" w:pos="0" w:leader="none"/>
                <w:tab w:val="left" w:pos="142" w:leader="none"/>
                <w:tab w:val="left" w:pos="426" w:leader="none"/>
              </w:tabs>
              <w:spacing w:before="0" w:after="160"/>
              <w:ind w:start="1"/>
              <w:jc w:val="center"/>
              <w:rPr>
                <w:rFonts w:ascii="Times New Roman" w:hAnsi="Times New Roman"/>
              </w:rPr>
            </w:pPr>
            <w:r>
              <w:rPr>
                <w:rFonts w:ascii="Times New Roman" w:hAnsi="Times New Roman"/>
              </w:rPr>
              <w:t>5 264.46</w:t>
            </w:r>
          </w:p>
        </w:tc>
      </w:tr>
    </w:tbl>
    <w:p>
      <w:pPr>
        <w:pStyle w:val="ListParagraph"/>
        <w:widowControl/>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Ja pretendenta piedāvātā kopējā līgumcena pārsniegs noteikto līgumcenas apmēru, pretendenta piedāvājums tiks noraidīts kā neatbilstošs, nevērtējot pretendenta kvalifikācijas un tehniskā piedāvājuma atbilstību Nolikuma prasībām.</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Pirms piedāvājuma iesniegšanas Pretendentam obligāti jāveic Objekta, kurā tiks veikti Darbi, apsekošana. Pretendents piesakās uz Objekta apsekošanu, nosūtot vēstuli uz elektroniskā pasta adresi: </w:t>
      </w:r>
      <w:hyperlink r:id="rId5">
        <w:r>
          <w:rPr>
            <w:rStyle w:val="Hyperlink"/>
            <w:rFonts w:cs="Times New Roman" w:ascii="Times New Roman" w:hAnsi="Times New Roman"/>
            <w:color w:val="auto"/>
            <w:kern w:val="0"/>
            <w:sz w:val="22"/>
            <w:szCs w:val="22"/>
            <w:lang w:val="lv-LV" w:eastAsia="lv-LV" w:bidi="ar-SA"/>
          </w:rPr>
          <w:t>iepirkumi@mfd.lv</w:t>
        </w:r>
      </w:hyperlink>
      <w:r>
        <w:rPr>
          <w:rStyle w:val="Hyperlink"/>
          <w:rFonts w:cs="Times New Roman" w:ascii="Times New Roman" w:hAnsi="Times New Roman"/>
          <w:color w:val="auto"/>
          <w:kern w:val="0"/>
          <w:sz w:val="22"/>
          <w:szCs w:val="22"/>
          <w:lang w:val="lv-LV" w:eastAsia="lv-LV" w:bidi="ar-SA"/>
        </w:rPr>
        <w:t xml:space="preserve"> </w:t>
      </w:r>
      <w:r>
        <w:rPr>
          <w:rFonts w:cs="Times New Roman" w:ascii="Times New Roman" w:hAnsi="Times New Roman"/>
          <w:color w:val="auto"/>
          <w:kern w:val="0"/>
          <w:sz w:val="22"/>
          <w:szCs w:val="22"/>
          <w:lang w:val="lv-LV" w:eastAsia="lv-LV" w:bidi="ar-SA"/>
        </w:rPr>
        <w:t xml:space="preserve"> ne vēlāk kā vienu darba dienu pirms noteiktās sanāksmes dienas, tas ir attiec</w:t>
      </w:r>
      <w:r>
        <w:rPr>
          <w:rFonts w:cs="Times New Roman" w:ascii="Times New Roman" w:hAnsi="Times New Roman"/>
          <w:color w:val="000000"/>
          <w:kern w:val="0"/>
          <w:sz w:val="22"/>
          <w:szCs w:val="22"/>
          <w:shd w:fill="auto" w:val="clear"/>
          <w:lang w:val="lv-LV" w:eastAsia="lv-LV" w:bidi="ar-SA"/>
        </w:rPr>
        <w:t xml:space="preserve">īgi </w:t>
      </w:r>
      <w:r>
        <w:rPr>
          <w:rFonts w:cs="Times New Roman" w:ascii="Times New Roman" w:hAnsi="Times New Roman"/>
          <w:b/>
          <w:bCs/>
          <w:color w:val="000000"/>
          <w:kern w:val="0"/>
          <w:sz w:val="22"/>
          <w:szCs w:val="22"/>
          <w:shd w:fill="auto" w:val="clear"/>
          <w:lang w:val="lv-LV" w:eastAsia="lv-LV" w:bidi="ar-SA"/>
        </w:rPr>
        <w:t xml:space="preserve">līdz </w:t>
      </w:r>
      <w:r>
        <w:rPr>
          <w:rFonts w:cs="Times New Roman" w:ascii="Times New Roman" w:hAnsi="Times New Roman"/>
          <w:b/>
          <w:bCs/>
          <w:color w:val="000000"/>
          <w:kern w:val="0"/>
          <w:sz w:val="22"/>
          <w:szCs w:val="22"/>
          <w:shd w:fill="auto" w:val="clear"/>
          <w:lang w:val="lv-LV" w:eastAsia="lv-LV" w:bidi="ar-SA"/>
        </w:rPr>
        <w:t>07</w:t>
      </w:r>
      <w:r>
        <w:rPr>
          <w:rFonts w:cs="Times New Roman" w:ascii="Times New Roman" w:hAnsi="Times New Roman"/>
          <w:b/>
          <w:bCs/>
          <w:color w:val="000000"/>
          <w:kern w:val="0"/>
          <w:sz w:val="22"/>
          <w:szCs w:val="22"/>
          <w:shd w:fill="auto" w:val="clear"/>
          <w:lang w:val="lv-LV" w:eastAsia="lv-LV" w:bidi="ar-SA"/>
        </w:rPr>
        <w:t>.</w:t>
      </w:r>
      <w:r>
        <w:rPr>
          <w:rFonts w:cs="Times New Roman" w:ascii="Times New Roman" w:hAnsi="Times New Roman"/>
          <w:b/>
          <w:bCs/>
          <w:color w:val="000000"/>
          <w:kern w:val="0"/>
          <w:sz w:val="22"/>
          <w:szCs w:val="22"/>
          <w:shd w:fill="auto" w:val="clear"/>
          <w:lang w:val="lv-LV" w:eastAsia="lv-LV" w:bidi="ar-SA"/>
        </w:rPr>
        <w:t>aprīļa</w:t>
      </w:r>
      <w:r>
        <w:rPr>
          <w:rFonts w:cs="Times New Roman" w:ascii="Times New Roman" w:hAnsi="Times New Roman"/>
          <w:b/>
          <w:bCs/>
          <w:color w:val="000000"/>
          <w:kern w:val="0"/>
          <w:sz w:val="22"/>
          <w:szCs w:val="22"/>
          <w:shd w:fill="auto" w:val="clear"/>
          <w:lang w:val="lv-LV" w:eastAsia="lv-LV" w:bidi="ar-SA"/>
        </w:rPr>
        <w:t xml:space="preserve"> plkst. 16:00</w:t>
      </w:r>
      <w:r>
        <w:rPr>
          <w:rFonts w:cs="Times New Roman" w:ascii="Times New Roman" w:hAnsi="Times New Roman"/>
          <w:color w:val="000000"/>
          <w:kern w:val="0"/>
          <w:sz w:val="22"/>
          <w:szCs w:val="22"/>
          <w:shd w:fill="auto" w:val="clear"/>
          <w:lang w:val="lv-LV" w:eastAsia="lv-LV" w:bidi="ar-SA"/>
        </w:rPr>
        <w:t>.</w:t>
      </w:r>
      <w:r>
        <w:rPr>
          <w:rFonts w:cs="Times New Roman" w:ascii="Times New Roman" w:hAnsi="Times New Roman"/>
          <w:color w:val="auto"/>
          <w:kern w:val="0"/>
          <w:sz w:val="22"/>
          <w:szCs w:val="22"/>
          <w:lang w:val="lv-LV" w:eastAsia="lv-LV" w:bidi="ar-SA"/>
        </w:rPr>
        <w:t xml:space="preserve"> Iesniedzot piedāvājumu pretendents piedāvājumam pievieno apskates laikā abpusēji parakstītu objekta apsekošanas aktu (nolikuma 7.pielikums). </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Objekta apsekošanas neveikušo pretendentu piedāvājumi tiks noraidīti un tie nepiedalīsies piedāvājuma vērtēšanas procesā. </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Paredzēts avansa maksājums 30% apmērā saskaņā ar iepirkuma līguma nosacījumiem.</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Piedāvājuma izvēles kritērijs: Pasūtītājs piešķir iepirkuma līguma slēgšanas tiesības saimnieciski visizdevīgākajam piedāvājumam, kuru nosaka, ņemot vērā tikai cenu.</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Veiktajiem būvdarbiem </w:t>
      </w:r>
      <w:r>
        <w:rPr>
          <w:rFonts w:cs="Times New Roman" w:ascii="Times New Roman" w:hAnsi="Times New Roman"/>
          <w:b/>
          <w:bCs/>
          <w:color w:val="auto"/>
          <w:kern w:val="0"/>
          <w:sz w:val="22"/>
          <w:szCs w:val="22"/>
          <w:lang w:val="lv-LV" w:eastAsia="lv-LV" w:bidi="ar-SA"/>
        </w:rPr>
        <w:t>garantijas termiņš ir ne mazāks kā 24</w:t>
      </w:r>
      <w:r>
        <w:rPr>
          <w:rFonts w:cs="Times New Roman" w:ascii="Times New Roman" w:hAnsi="Times New Roman"/>
          <w:color w:val="auto"/>
          <w:kern w:val="0"/>
          <w:sz w:val="22"/>
          <w:szCs w:val="22"/>
          <w:lang w:val="lv-LV" w:eastAsia="lv-LV" w:bidi="ar-SA"/>
        </w:rPr>
        <w:t xml:space="preserve"> (divdesmit četri) mēneši no nodošanas–pieņemšanas akta parakstīšanas dienas.</w:t>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Uzstādītajām iekārtām garantija tiek nodrošināta saskaņā ar ražotāja noteikumiem, bet </w:t>
      </w:r>
      <w:r>
        <w:rPr>
          <w:rFonts w:cs="Times New Roman" w:ascii="Times New Roman" w:hAnsi="Times New Roman"/>
          <w:b/>
          <w:bCs/>
          <w:color w:val="auto"/>
          <w:kern w:val="0"/>
          <w:sz w:val="22"/>
          <w:szCs w:val="22"/>
          <w:lang w:val="lv-LV" w:eastAsia="lv-LV" w:bidi="ar-SA"/>
        </w:rPr>
        <w:t xml:space="preserve">ne mazāk kā 24 mēnešus. </w:t>
      </w:r>
    </w:p>
    <w:p>
      <w:pPr>
        <w:pStyle w:val="Normal"/>
        <w:numPr>
          <w:ilvl w:val="0"/>
          <w:numId w:val="4"/>
        </w:numPr>
        <w:spacing w:lineRule="auto" w:line="240" w:before="0" w:after="0"/>
        <w:jc w:val="center"/>
        <w:rPr>
          <w:rFonts w:ascii="Times New Roman" w:hAnsi="Times New Roman"/>
          <w:sz w:val="24"/>
          <w:szCs w:val="24"/>
        </w:rPr>
      </w:pPr>
      <w:r>
        <w:rPr>
          <w:rFonts w:eastAsia="Calibri" w:cs="Times New Roman" w:ascii="Times New Roman" w:hAnsi="Times New Roman"/>
          <w:b/>
          <w:bCs/>
          <w:kern w:val="2"/>
          <w:sz w:val="24"/>
          <w:szCs w:val="24"/>
          <w:lang w:val="lv-LV" w:eastAsia="en-US"/>
        </w:rPr>
        <w:t>PRETENDENTS</w:t>
      </w:r>
      <w:r>
        <w:rPr>
          <w:rFonts w:eastAsia="Calibri" w:cs="Times New Roman" w:ascii="Times New Roman" w:hAnsi="Times New Roman"/>
          <w:b/>
          <w:bCs/>
          <w:kern w:val="2"/>
          <w:sz w:val="24"/>
          <w:szCs w:val="24"/>
          <w:lang w:eastAsia="en-US"/>
        </w:rPr>
        <w:t xml:space="preserve"> </w:t>
      </w:r>
    </w:p>
    <w:p>
      <w:pPr>
        <w:pStyle w:val="Normal"/>
        <w:numPr>
          <w:ilvl w:val="0"/>
          <w:numId w:val="0"/>
        </w:numPr>
        <w:spacing w:lineRule="auto" w:line="240" w:before="0" w:after="0"/>
        <w:ind w:hanging="0" w:start="360"/>
        <w:jc w:val="center"/>
        <w:rPr>
          <w:rFonts w:ascii="Times New Roman" w:hAnsi="Times New Roman"/>
          <w:sz w:val="24"/>
          <w:szCs w:val="24"/>
        </w:rPr>
      </w:pPr>
      <w:r>
        <w:rPr>
          <w:rFonts w:ascii="Times New Roman" w:hAnsi="Times New Roman"/>
          <w:sz w:val="24"/>
          <w:szCs w:val="24"/>
        </w:rPr>
      </w:r>
    </w:p>
    <w:p>
      <w:pPr>
        <w:pStyle w:val="ListParagraph"/>
        <w:widowControl/>
        <w:numPr>
          <w:ilvl w:val="1"/>
          <w:numId w:val="4"/>
        </w:numPr>
        <w:suppressAutoHyphens w:val="true"/>
        <w:bidi w:val="0"/>
        <w:spacing w:lineRule="auto" w:line="259"/>
        <w:ind w:hanging="432" w:start="0"/>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Piedāvājumu drīkst iesniegt piegādātājs, kas ir juridiska vai fiziska persona (turpmāk – Pretendents), šādu personu apvienība jebkurā to kombinācijā (turpmāk arī – Pretendents), kas atbilst šādiem kritērijiem: </w:t>
      </w:r>
    </w:p>
    <w:p>
      <w:pPr>
        <w:pStyle w:val="ListParagraph"/>
        <w:widowControl/>
        <w:numPr>
          <w:ilvl w:val="0"/>
          <w:numId w:val="0"/>
        </w:numPr>
        <w:suppressAutoHyphens w:val="true"/>
        <w:bidi w:val="0"/>
        <w:spacing w:lineRule="auto" w:line="259" w:before="0" w:after="200"/>
        <w:ind w:hanging="0" w:start="-449" w:end="0"/>
        <w:contextualSpacing/>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3.1.1. Pretendents nav pasludināts par maksātnespējīgu, neatrodas likvidācijas procesā, tā saimnieciskā darbība nav </w:t>
        <w:tab/>
        <w:t>apgrūtināta vai pārtraukta, kā arī Pretendents nav iekļauts sankciju sarakstā.</w:t>
      </w:r>
    </w:p>
    <w:p>
      <w:pPr>
        <w:pStyle w:val="ListParagraph"/>
        <w:widowControl/>
        <w:numPr>
          <w:ilvl w:val="0"/>
          <w:numId w:val="0"/>
        </w:numPr>
        <w:suppressAutoHyphens w:val="true"/>
        <w:bidi w:val="0"/>
        <w:spacing w:lineRule="auto" w:line="259" w:before="0" w:after="200"/>
        <w:ind w:hanging="0" w:start="-449" w:end="0"/>
        <w:contextualSpacing/>
        <w:jc w:val="both"/>
        <w:rPr>
          <w:rFonts w:ascii="Times New Roman" w:hAnsi="Times New Roman" w:cs="Times New Roman"/>
          <w:color w:val="auto"/>
          <w:kern w:val="0"/>
          <w:sz w:val="22"/>
          <w:szCs w:val="22"/>
          <w:lang w:val="lv-LV" w:eastAsia="lv-LV" w:bidi="ar-SA"/>
        </w:rPr>
      </w:pPr>
      <w:r>
        <w:rPr>
          <w:rFonts w:cs="Times New Roman" w:ascii="Times New Roman" w:hAnsi="Times New Roman"/>
          <w:color w:val="auto"/>
          <w:kern w:val="0"/>
          <w:sz w:val="22"/>
          <w:szCs w:val="22"/>
          <w:lang w:val="lv-LV" w:eastAsia="lv-LV" w:bidi="ar-SA"/>
        </w:rPr>
        <w:t xml:space="preserve">3.1.2. Pretendents nav saistīts ar pasūtītāju Latvijas Republikas likuma “Par nodokļiem un nodevām” izpratnē un </w:t>
        <w:tab/>
        <w:t xml:space="preserve">neatrodas interešu konfliktā saskaņā ar Latvijas Republikas Ministru kabineta 2017.gada 28. februāra </w:t>
        <w:tab/>
        <w:t xml:space="preserve">noteikumu Nr. 104 “Noteikumi par iepirkuma procedūru un tās piemērošanas kārtību pasūtītāja finansētiem </w:t>
        <w:tab/>
        <w:t>projektiem” 12. un 13. punktu.</w:t>
      </w:r>
    </w:p>
    <w:p>
      <w:pPr>
        <w:pStyle w:val="Normal"/>
        <w:spacing w:lineRule="auto" w:line="240" w:before="0" w:after="0"/>
        <w:ind w:hanging="567" w:start="567"/>
        <w:jc w:val="both"/>
        <w:rPr>
          <w:rFonts w:ascii="Times New Roman" w:hAnsi="Times New Roman" w:eastAsia="Times New Roman" w:cs="Times New Roman"/>
          <w:color w:val="000000"/>
          <w:sz w:val="24"/>
          <w:szCs w:val="24"/>
          <w:u w:val="none"/>
        </w:rPr>
      </w:pPr>
      <w:r>
        <w:rPr>
          <w:rFonts w:eastAsia="Times New Roman" w:cs="Times New Roman" w:ascii="Times New Roman" w:hAnsi="Times New Roman"/>
          <w:color w:val="000000"/>
          <w:sz w:val="24"/>
          <w:szCs w:val="24"/>
          <w:u w:val="none"/>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PRETENDENTU KVALIFIKĀCIJA</w:t>
      </w:r>
    </w:p>
    <w:p>
      <w:pPr>
        <w:pStyle w:val="Normal"/>
        <w:spacing w:lineRule="auto" w:line="240" w:before="0" w:after="0"/>
        <w:ind w:start="720"/>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r>
      <w:bookmarkStart w:id="4" w:name="_Toc64264072"/>
      <w:bookmarkStart w:id="5" w:name="_Toc65454241"/>
      <w:bookmarkStart w:id="6" w:name="_Toc65862771"/>
      <w:bookmarkStart w:id="7" w:name="_Toc65956610"/>
      <w:bookmarkStart w:id="8" w:name="_Toc65967969"/>
      <w:bookmarkStart w:id="9" w:name="_Toc72766066"/>
      <w:bookmarkStart w:id="10" w:name="_Toc73116766"/>
      <w:bookmarkStart w:id="11" w:name="_Toc79552066"/>
      <w:bookmarkStart w:id="12" w:name="_Toc141341762"/>
      <w:bookmarkStart w:id="13" w:name="_Toc141785293"/>
      <w:bookmarkStart w:id="14" w:name="_Toc45663519"/>
      <w:bookmarkStart w:id="15" w:name="_Toc64201623"/>
      <w:bookmarkStart w:id="16" w:name="_Toc64264072"/>
      <w:bookmarkStart w:id="17" w:name="_Toc65454241"/>
      <w:bookmarkStart w:id="18" w:name="_Toc65862771"/>
      <w:bookmarkStart w:id="19" w:name="_Toc65956610"/>
      <w:bookmarkStart w:id="20" w:name="_Toc65967969"/>
      <w:bookmarkStart w:id="21" w:name="_Toc72766066"/>
      <w:bookmarkStart w:id="22" w:name="_Toc73116766"/>
      <w:bookmarkStart w:id="23" w:name="_Toc79552066"/>
      <w:bookmarkStart w:id="24" w:name="_Toc141341762"/>
      <w:bookmarkStart w:id="25" w:name="_Toc141785293"/>
      <w:bookmarkStart w:id="26" w:name="_Toc45663519"/>
      <w:bookmarkStart w:id="27" w:name="_Toc64201623"/>
      <w:bookmarkEnd w:id="16"/>
      <w:bookmarkEnd w:id="17"/>
      <w:bookmarkEnd w:id="18"/>
      <w:bookmarkEnd w:id="19"/>
      <w:bookmarkEnd w:id="20"/>
      <w:bookmarkEnd w:id="21"/>
      <w:bookmarkEnd w:id="22"/>
      <w:bookmarkEnd w:id="23"/>
      <w:bookmarkEnd w:id="24"/>
      <w:bookmarkEnd w:id="25"/>
      <w:bookmarkEnd w:id="26"/>
      <w:bookmarkEnd w:id="27"/>
    </w:p>
    <w:tbl>
      <w:tblPr>
        <w:tblW w:w="10393" w:type="dxa"/>
        <w:jc w:val="start"/>
        <w:tblInd w:w="-464" w:type="dxa"/>
        <w:tblLayout w:type="fixed"/>
        <w:tblCellMar>
          <w:top w:w="0" w:type="dxa"/>
          <w:start w:w="108" w:type="dxa"/>
          <w:bottom w:w="0" w:type="dxa"/>
          <w:end w:w="108" w:type="dxa"/>
        </w:tblCellMar>
      </w:tblPr>
      <w:tblGrid>
        <w:gridCol w:w="5196"/>
        <w:gridCol w:w="5196"/>
      </w:tblGrid>
      <w:tr>
        <w:trPr/>
        <w:tc>
          <w:tcPr>
            <w:tcW w:w="5196" w:type="dxa"/>
            <w:tcBorders>
              <w:top w:val="single" w:sz="4" w:space="0" w:color="000000"/>
              <w:start w:val="single" w:sz="4" w:space="0" w:color="000000"/>
              <w:bottom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b/>
                <w:bCs/>
                <w:kern w:val="0"/>
                <w:sz w:val="22"/>
                <w:szCs w:val="22"/>
                <w:lang w:bidi="ar-SA"/>
              </w:rPr>
              <w:t>Prasības</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cs="Times New Roman" w:ascii="Times New Roman" w:hAnsi="Times New Roman"/>
                <w:b/>
                <w:bCs/>
                <w:kern w:val="0"/>
                <w:sz w:val="22"/>
                <w:szCs w:val="22"/>
                <w:lang w:bidi="ar-SA"/>
              </w:rPr>
              <w:t>Iesniedzamie atlases dokumenti</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Pieteikums par piedalīšanos iepirkumā, ko paraksta Pretendenta pārstāvis ar pārstāvības tiesībām, vai tā pilnvarota persona. Ja Pretendents ir piegādātāju apvienība un sabiedrības līgumā nav atrunātas pārstāvības tiesības, pieteikuma oriģinālu paraksta katras personas, kas iekļauta piegādātāju apvienībā, pārstāvis ar pārstāvības tiesībām.</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kern w:val="0"/>
                <w:sz w:val="22"/>
                <w:szCs w:val="22"/>
                <w:lang w:bidi="ar-SA"/>
              </w:rPr>
              <w:t xml:space="preserve">1) Parakstīts </w:t>
            </w:r>
            <w:r>
              <w:rPr>
                <w:rFonts w:cs="Times New Roman" w:ascii="Times New Roman" w:hAnsi="Times New Roman"/>
                <w:b/>
                <w:bCs/>
                <w:kern w:val="0"/>
                <w:sz w:val="22"/>
                <w:szCs w:val="22"/>
                <w:lang w:bidi="ar-SA"/>
              </w:rPr>
              <w:t xml:space="preserve">pieteikums </w:t>
            </w:r>
            <w:r>
              <w:rPr>
                <w:rFonts w:cs="Times New Roman" w:ascii="Times New Roman" w:hAnsi="Times New Roman"/>
                <w:b/>
                <w:kern w:val="0"/>
                <w:sz w:val="22"/>
                <w:szCs w:val="22"/>
                <w:lang w:bidi="ar-SA"/>
              </w:rPr>
              <w:t>(1.pielikums)</w:t>
            </w:r>
            <w:r>
              <w:rPr>
                <w:rFonts w:cs="Times New Roman" w:ascii="Times New Roman" w:hAnsi="Times New Roman"/>
                <w:kern w:val="0"/>
                <w:sz w:val="22"/>
                <w:szCs w:val="22"/>
                <w:lang w:bidi="ar-SA"/>
              </w:rPr>
              <w:t xml:space="preserve"> par dalību iepirkumā.</w:t>
            </w:r>
          </w:p>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kern w:val="0"/>
                <w:sz w:val="22"/>
                <w:szCs w:val="22"/>
                <w:lang w:bidi="ar-SA"/>
              </w:rPr>
              <w:t>2) Pilnvara vai cits dokuments Pretendenta pārstāvības gadījumā</w:t>
            </w:r>
          </w:p>
        </w:tc>
      </w:tr>
      <w:tr>
        <w:trPr>
          <w:trHeight w:val="2394" w:hRule="atLeast"/>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 xml:space="preserve">Pretendents ir reģistrēts atbilstoši normatīvo aktu prasībām vai </w:t>
            </w:r>
            <w:r>
              <w:rPr>
                <w:rFonts w:eastAsia="Times New Roman" w:cs="Times New Roman" w:ascii="Times New Roman" w:hAnsi="Times New Roman"/>
                <w:kern w:val="0"/>
                <w:sz w:val="22"/>
                <w:szCs w:val="22"/>
                <w:lang w:eastAsia="en-US" w:bidi="ar-SA"/>
              </w:rPr>
              <w:t>P</w:t>
            </w:r>
            <w:r>
              <w:rPr>
                <w:rFonts w:eastAsia="Times New Roman" w:cs="Times New Roman" w:ascii="Times New Roman" w:hAnsi="Times New Roman"/>
                <w:color w:val="000000"/>
                <w:kern w:val="0"/>
                <w:sz w:val="22"/>
                <w:szCs w:val="22"/>
                <w:u w:val="none"/>
                <w:lang w:bidi="ar-SA"/>
              </w:rPr>
              <w:t xml:space="preserve">retendenta reģistrācijas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w:t>
            </w:r>
            <w:r>
              <w:rPr>
                <w:rFonts w:eastAsia="Times New Roman" w:cs="Times New Roman" w:ascii="Times New Roman" w:hAnsi="Times New Roman"/>
                <w:kern w:val="0"/>
                <w:sz w:val="22"/>
                <w:szCs w:val="22"/>
                <w:lang w:eastAsia="en-US" w:bidi="ar-SA"/>
              </w:rPr>
              <w:t>P</w:t>
            </w:r>
            <w:r>
              <w:rPr>
                <w:rFonts w:eastAsia="Times New Roman" w:cs="Times New Roman" w:ascii="Times New Roman" w:hAnsi="Times New Roman"/>
                <w:color w:val="000000"/>
                <w:kern w:val="0"/>
                <w:sz w:val="22"/>
                <w:szCs w:val="22"/>
                <w:u w:val="none"/>
                <w:lang w:bidi="ar-SA"/>
              </w:rPr>
              <w:t>retendents plāno piesaistīt apakšuzņēmējus).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both"/>
              <w:rPr>
                <w:rFonts w:ascii="Times New Roman" w:hAnsi="Times New Roman"/>
              </w:rPr>
            </w:pPr>
            <w:r>
              <w:rPr>
                <w:rFonts w:ascii="Times New Roman" w:hAnsi="Times New Roman"/>
                <w:bCs/>
                <w:kern w:val="0"/>
                <w:sz w:val="22"/>
                <w:szCs w:val="22"/>
                <w:lang w:bidi="hi-IN"/>
              </w:rPr>
              <w:t xml:space="preserve">1) Par Latvijas Republikā reģistrētu uzņēmumu pārstāvēt tiesīgām personām, kas reģistrētas Latvijas Republikas Uzņēmumu reģistrā, pasūtītājs pārliecināsies Uzņēmumu reģistra mājaslapā </w:t>
            </w:r>
            <w:hyperlink r:id="rId6">
              <w:r>
                <w:rPr>
                  <w:rStyle w:val="Hyperlink"/>
                  <w:rFonts w:ascii="Times New Roman" w:hAnsi="Times New Roman"/>
                  <w:bCs/>
                  <w:kern w:val="0"/>
                  <w:sz w:val="22"/>
                  <w:szCs w:val="22"/>
                  <w:lang w:bidi="hi-IN"/>
                </w:rPr>
                <w:t>www.ur.gov.lv</w:t>
              </w:r>
            </w:hyperlink>
            <w:r>
              <w:rPr>
                <w:rFonts w:ascii="Times New Roman" w:hAnsi="Times New Roman"/>
                <w:bCs/>
                <w:kern w:val="0"/>
                <w:sz w:val="22"/>
                <w:szCs w:val="22"/>
                <w:lang w:bidi="hi-IN"/>
              </w:rPr>
              <w:t>.</w:t>
            </w:r>
          </w:p>
          <w:p>
            <w:pPr>
              <w:pStyle w:val="Normal"/>
              <w:widowControl/>
              <w:suppressAutoHyphens w:val="true"/>
              <w:spacing w:lineRule="auto" w:line="240" w:before="0" w:after="0"/>
              <w:jc w:val="both"/>
              <w:rPr>
                <w:kern w:val="0"/>
                <w:sz w:val="22"/>
                <w:szCs w:val="22"/>
                <w:lang w:bidi="ar-SA"/>
              </w:rPr>
            </w:pPr>
            <w:r>
              <w:rPr>
                <w:rFonts w:ascii="Times New Roman" w:hAnsi="Times New Roman"/>
                <w:bCs/>
                <w:kern w:val="0"/>
                <w:sz w:val="22"/>
                <w:szCs w:val="22"/>
                <w:lang w:bidi="hi-IN"/>
              </w:rPr>
              <w:t xml:space="preserve">2) </w:t>
            </w:r>
            <w:r>
              <w:rPr>
                <w:rFonts w:ascii="Times New Roman" w:hAnsi="Times New Roman"/>
                <w:bCs/>
                <w:kern w:val="0"/>
                <w:sz w:val="22"/>
                <w:szCs w:val="22"/>
                <w:lang w:bidi="ar-SA"/>
              </w:rPr>
              <w:t xml:space="preserve">Par </w:t>
            </w:r>
            <w:r>
              <w:rPr>
                <w:rFonts w:cs="Times New Roman" w:ascii="Times New Roman" w:hAnsi="Times New Roman"/>
                <w:kern w:val="0"/>
                <w:sz w:val="22"/>
                <w:szCs w:val="22"/>
                <w:lang w:bidi="ar-SA"/>
              </w:rPr>
              <w:t>Latvijas Republikā reģistrēto</w:t>
            </w:r>
            <w:r>
              <w:rPr>
                <w:rFonts w:ascii="Times New Roman" w:hAnsi="Times New Roman"/>
                <w:kern w:val="0"/>
                <w:sz w:val="22"/>
                <w:szCs w:val="22"/>
                <w:lang w:bidi="ar-SA"/>
              </w:rPr>
              <w:t xml:space="preserve"> </w:t>
            </w:r>
            <w:r>
              <w:rPr>
                <w:rFonts w:eastAsia="Times New Roman" w:cs="Times New Roman" w:ascii="Times New Roman" w:hAnsi="Times New Roman"/>
                <w:kern w:val="0"/>
                <w:sz w:val="22"/>
                <w:szCs w:val="22"/>
                <w:lang w:eastAsia="en-US" w:bidi="ar-SA"/>
              </w:rPr>
              <w:t>P</w:t>
            </w:r>
            <w:r>
              <w:rPr>
                <w:rFonts w:ascii="Times New Roman" w:hAnsi="Times New Roman"/>
                <w:bCs/>
                <w:kern w:val="0"/>
                <w:sz w:val="22"/>
                <w:szCs w:val="22"/>
                <w:lang w:bidi="ar-SA"/>
              </w:rPr>
              <w:t xml:space="preserve">retendentu reģistrāciju </w:t>
            </w:r>
            <w:r>
              <w:rPr>
                <w:rFonts w:cs="Times New Roman" w:ascii="Times New Roman" w:hAnsi="Times New Roman"/>
                <w:kern w:val="0"/>
                <w:sz w:val="22"/>
                <w:szCs w:val="22"/>
                <w:lang w:bidi="ar-SA"/>
              </w:rPr>
              <w:t xml:space="preserve">Būvkomersantu reģistrā (BIS) Komisija pārliecināsies </w:t>
            </w:r>
            <w:hyperlink r:id="rId7">
              <w:r>
                <w:rPr>
                  <w:rStyle w:val="Hyperlink"/>
                  <w:rFonts w:cs="Times New Roman" w:ascii="Times New Roman" w:hAnsi="Times New Roman"/>
                  <w:kern w:val="0"/>
                  <w:sz w:val="22"/>
                  <w:szCs w:val="22"/>
                  <w:lang w:bidi="ar-SA"/>
                </w:rPr>
                <w:t>https://bis.gov.lv/registri/buvniecibas-informacijas-sistemas-registri</w:t>
              </w:r>
            </w:hyperlink>
            <w:r>
              <w:rPr>
                <w:kern w:val="0"/>
                <w:sz w:val="22"/>
                <w:szCs w:val="22"/>
                <w:lang w:bidi="ar-SA"/>
              </w:rPr>
              <w:t>.</w:t>
            </w:r>
          </w:p>
          <w:p>
            <w:pPr>
              <w:pStyle w:val="Normal"/>
              <w:widowControl w:val="false"/>
              <w:suppressAutoHyphens w:val="true"/>
              <w:spacing w:lineRule="auto" w:line="240" w:before="0" w:after="0"/>
              <w:jc w:val="both"/>
              <w:rPr>
                <w:rFonts w:ascii="Times New Roman" w:hAnsi="Times New Roman"/>
              </w:rPr>
            </w:pPr>
            <w:r>
              <w:rPr>
                <w:rFonts w:eastAsia="Calibri" w:cs="Times New Roman" w:ascii="Times New Roman" w:hAnsi="Times New Roman"/>
                <w:kern w:val="0"/>
                <w:sz w:val="22"/>
                <w:szCs w:val="22"/>
                <w:lang w:bidi="ar-SA"/>
              </w:rPr>
              <w:t>3) Pretendents, kas reģistrēts ārvalstīs</w:t>
            </w:r>
            <w:r>
              <w:rPr>
                <w:rFonts w:eastAsia="Calibri" w:cs="Times New Roman" w:ascii="Times New Roman" w:hAnsi="Times New Roman"/>
                <w:kern w:val="0"/>
                <w:sz w:val="22"/>
                <w:szCs w:val="22"/>
                <w:u w:val="single"/>
                <w:lang w:bidi="ar-SA"/>
              </w:rPr>
              <w:t>,</w:t>
            </w:r>
            <w:r>
              <w:rPr>
                <w:rFonts w:eastAsia="Calibri" w:cs="Times New Roman" w:ascii="Times New Roman" w:hAnsi="Times New Roman"/>
                <w:kern w:val="0"/>
                <w:sz w:val="22"/>
                <w:szCs w:val="22"/>
                <w:lang w:bidi="ar-SA"/>
              </w:rPr>
              <w:t xml:space="preserve"> iesniedz dokumenta kopiju, kas apliecina reģistrāciju atbilstoši tās valsts normatīvo aktu prasībām. </w:t>
            </w:r>
            <w:r>
              <w:rPr>
                <w:rFonts w:cs="Times New Roman" w:ascii="Times New Roman" w:hAnsi="Times New Roman"/>
                <w:kern w:val="0"/>
                <w:sz w:val="22"/>
                <w:szCs w:val="22"/>
                <w:lang w:bidi="ar-SA"/>
              </w:rPr>
              <w:t>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 vai, piemēram, norāda publiski pieejamu reģistru, kur Komisija var pārliecināties par Pretendenta reģistrācijas faktu.</w:t>
            </w:r>
          </w:p>
          <w:p>
            <w:pPr>
              <w:pStyle w:val="Normal"/>
              <w:widowControl/>
              <w:tabs>
                <w:tab w:val="clear" w:pos="720"/>
                <w:tab w:val="left" w:pos="426" w:leader="none"/>
              </w:tabs>
              <w:suppressAutoHyphens w:val="true"/>
              <w:spacing w:lineRule="auto" w:line="240" w:before="0" w:after="0"/>
              <w:jc w:val="start"/>
              <w:rPr>
                <w:rFonts w:ascii="Times New Roman" w:hAnsi="Times New Roman" w:cs="Times New Roman"/>
              </w:rPr>
            </w:pPr>
            <w:r>
              <w:rPr>
                <w:rFonts w:cs="Times New Roman" w:ascii="Times New Roman" w:hAnsi="Times New Roma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 xml:space="preserve">Pretendentam jāiesniedz informācija par iepirkuma līguma daļām, kuras </w:t>
            </w:r>
            <w:r>
              <w:rPr>
                <w:rFonts w:eastAsia="Times New Roman" w:cs="Times New Roman" w:ascii="Times New Roman" w:hAnsi="Times New Roman"/>
                <w:kern w:val="0"/>
                <w:sz w:val="22"/>
                <w:szCs w:val="22"/>
                <w:lang w:eastAsia="en-US" w:bidi="ar-SA"/>
              </w:rPr>
              <w:t>P</w:t>
            </w:r>
            <w:r>
              <w:rPr>
                <w:rFonts w:eastAsia="Times New Roman" w:cs="Times New Roman" w:ascii="Times New Roman" w:hAnsi="Times New Roman"/>
                <w:color w:val="000000"/>
                <w:kern w:val="0"/>
                <w:sz w:val="22"/>
                <w:szCs w:val="22"/>
                <w:u w:val="none"/>
                <w:lang w:bidi="ar-SA"/>
              </w:rPr>
              <w:t>retendents ir paredzējis nodot apakšuzņēmējiem, kuru sniedzamo pakalpojumu vērtība ir vismaz 10 000 EUR, un katram šādam apakšuzņēmējam izpildei nododamo iepirkuma līguma daļu.</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200"/>
              <w:jc w:val="both"/>
              <w:rPr>
                <w:rFonts w:ascii="Times New Roman" w:hAnsi="Times New Roman"/>
              </w:rPr>
            </w:pPr>
            <w:r>
              <w:rPr>
                <w:rFonts w:cs="Times New Roman" w:ascii="Times New Roman" w:hAnsi="Times New Roman"/>
                <w:color w:themeColor="dark1" w:val="000000"/>
                <w:kern w:val="0"/>
                <w:sz w:val="22"/>
                <w:szCs w:val="22"/>
                <w:lang w:bidi="ar-SA"/>
              </w:rPr>
              <w:t xml:space="preserve">1) Ja </w:t>
            </w:r>
            <w:r>
              <w:rPr>
                <w:rFonts w:eastAsia="Times New Roman" w:cs="Times New Roman" w:ascii="Times New Roman" w:hAnsi="Times New Roman"/>
                <w:kern w:val="0"/>
                <w:sz w:val="22"/>
                <w:szCs w:val="22"/>
                <w:lang w:eastAsia="en-US" w:bidi="ar-SA"/>
              </w:rPr>
              <w:t>P</w:t>
            </w:r>
            <w:r>
              <w:rPr>
                <w:rFonts w:cs="Times New Roman" w:ascii="Times New Roman" w:hAnsi="Times New Roman"/>
                <w:color w:themeColor="dark1" w:val="000000"/>
                <w:kern w:val="0"/>
                <w:sz w:val="22"/>
                <w:szCs w:val="22"/>
                <w:lang w:bidi="ar-SA"/>
              </w:rPr>
              <w:t>retendents paredzējis piesaistīt apakšuzņēmējus, jāiesniedz 5.pielikuma veidlapa.</w:t>
            </w:r>
          </w:p>
          <w:p>
            <w:pPr>
              <w:pStyle w:val="Normal"/>
              <w:widowControl/>
              <w:suppressAutoHyphens w:val="true"/>
              <w:spacing w:lineRule="auto" w:line="240" w:before="0" w:after="200"/>
              <w:jc w:val="both"/>
              <w:rPr>
                <w:rFonts w:ascii="Times New Roman" w:hAnsi="Times New Roman"/>
              </w:rPr>
            </w:pPr>
            <w:r>
              <w:rPr>
                <w:rFonts w:cs="Times New Roman" w:ascii="Times New Roman" w:hAnsi="Times New Roman"/>
                <w:color w:themeColor="dark1" w:val="000000"/>
                <w:kern w:val="0"/>
                <w:sz w:val="22"/>
                <w:szCs w:val="22"/>
                <w:lang w:bidi="ar-SA"/>
              </w:rPr>
              <w:t xml:space="preserve">2) Ja tiek piesaistīts apakšuzņēmējs, papildus 5.pielikuma veidlapai jāpievieno vienošanos vai kādu citu dokumentu, kas apliecina sadarbību </w:t>
            </w:r>
            <w:r>
              <w:rPr>
                <w:rFonts w:eastAsia="Times New Roman" w:cs="Times New Roman" w:ascii="Times New Roman" w:hAnsi="Times New Roman"/>
                <w:kern w:val="0"/>
                <w:sz w:val="22"/>
                <w:szCs w:val="22"/>
                <w:lang w:eastAsia="en-US" w:bidi="ar-SA"/>
              </w:rPr>
              <w:t>P</w:t>
            </w:r>
            <w:r>
              <w:rPr>
                <w:rFonts w:cs="Times New Roman" w:ascii="Times New Roman" w:hAnsi="Times New Roman"/>
                <w:color w:themeColor="dark1" w:val="000000"/>
                <w:kern w:val="0"/>
                <w:sz w:val="22"/>
                <w:szCs w:val="22"/>
                <w:lang w:bidi="ar-SA"/>
              </w:rPr>
              <w:t>retendentam ar apakšuzņēmēju iepirkuma līguma ietvaros, kurā norādīta izpildei nododamā iepirkuma līguma daļa, norādot kādus darbus apakšuzņēmējs veiks, un nododamās daļas apjoms procentuālā un finansiālā izteiksmē.</w:t>
            </w:r>
          </w:p>
          <w:p>
            <w:pPr>
              <w:pStyle w:val="Normal"/>
              <w:widowControl/>
              <w:suppressAutoHyphens w:val="true"/>
              <w:spacing w:lineRule="auto" w:line="240" w:before="0" w:after="200"/>
              <w:jc w:val="both"/>
              <w:rPr>
                <w:rFonts w:ascii="Times New Roman" w:hAnsi="Times New Roman"/>
              </w:rPr>
            </w:pPr>
            <w:r>
              <w:rPr>
                <w:rFonts w:cs="Times New Roman" w:ascii="Times New Roman" w:hAnsi="Times New Roman"/>
                <w:color w:themeColor="dark1" w:val="000000"/>
                <w:kern w:val="0"/>
                <w:sz w:val="22"/>
                <w:szCs w:val="22"/>
                <w:lang w:bidi="ar-SA"/>
              </w:rPr>
              <w:t>3) Informācija ir jāiesniedz arī par šādu apakšuzņēmēju apakšuzņēmējiem, kuru veicamo darbu daļa vai sniedzamo pakalpojumu vērtība ir vismaz 10 000 EUR.</w:t>
            </w:r>
          </w:p>
          <w:p>
            <w:pPr>
              <w:pStyle w:val="Normal"/>
              <w:widowControl/>
              <w:suppressAutoHyphens w:val="true"/>
              <w:spacing w:lineRule="auto" w:line="240" w:before="0" w:after="200"/>
              <w:jc w:val="both"/>
              <w:rPr>
                <w:rFonts w:ascii="Times New Roman" w:hAnsi="Times New Roman"/>
              </w:rPr>
            </w:pPr>
            <w:r>
              <w:rPr>
                <w:rFonts w:cs="Times New Roman" w:ascii="Times New Roman" w:hAnsi="Times New Roman"/>
                <w:color w:themeColor="dark1" w:val="000000"/>
                <w:kern w:val="0"/>
                <w:sz w:val="22"/>
                <w:szCs w:val="22"/>
                <w:lang w:bidi="ar-SA"/>
              </w:rPr>
              <w:t xml:space="preserve">4) Apakšuzņēmēju sarakstā norāda arī tos apakšuzņēmējus, uz kuru iespējām </w:t>
            </w:r>
            <w:r>
              <w:rPr>
                <w:rFonts w:eastAsia="Times New Roman" w:cs="Times New Roman" w:ascii="Times New Roman" w:hAnsi="Times New Roman"/>
                <w:kern w:val="0"/>
                <w:sz w:val="22"/>
                <w:szCs w:val="22"/>
                <w:lang w:eastAsia="en-US" w:bidi="ar-SA"/>
              </w:rPr>
              <w:t>P</w:t>
            </w:r>
            <w:r>
              <w:rPr>
                <w:rFonts w:cs="Times New Roman" w:ascii="Times New Roman" w:hAnsi="Times New Roman"/>
                <w:color w:themeColor="dark1" w:val="000000"/>
                <w:kern w:val="0"/>
                <w:sz w:val="22"/>
                <w:szCs w:val="22"/>
                <w:lang w:bidi="ar-SA"/>
              </w:rPr>
              <w:t>retendents balstās, ja tas ir nepieciešams kvalifikācijas pierādīšanai vai iepirkuma līguma izpildei (ja attiecināms).</w:t>
            </w:r>
          </w:p>
          <w:p>
            <w:pPr>
              <w:pStyle w:val="Normal"/>
              <w:widowControl/>
              <w:suppressAutoHyphens w:val="true"/>
              <w:spacing w:lineRule="auto" w:line="240" w:before="0" w:after="200"/>
              <w:jc w:val="both"/>
              <w:rPr>
                <w:rFonts w:ascii="Times New Roman" w:hAnsi="Times New Roman" w:cs="Times New Roman"/>
                <w:color w:themeColor="dark1" w:val="000000"/>
              </w:rPr>
            </w:pPr>
            <w:r>
              <w:rPr>
                <w:rFonts w:cs="Times New Roman" w:ascii="Times New Roman" w:hAnsi="Times New Roman"/>
                <w:color w:themeColor="dark1" w:val="000000"/>
              </w:rPr>
            </w:r>
          </w:p>
          <w:p>
            <w:pPr>
              <w:pStyle w:val="Normal"/>
              <w:widowControl w:val="false"/>
              <w:suppressAutoHyphens w:val="true"/>
              <w:spacing w:lineRule="auto" w:line="240" w:before="0" w:after="0"/>
              <w:jc w:val="start"/>
              <w:rPr>
                <w:rFonts w:ascii="Times New Roman" w:hAnsi="Times New Roman" w:cs="Times New Roman"/>
                <w:lang w:eastAsia="zh-CN"/>
              </w:rPr>
            </w:pPr>
            <w:r>
              <w:rPr>
                <w:rFonts w:cs="Times New Roman" w:ascii="Times New Roman" w:hAnsi="Times New Roman"/>
                <w:lang w:eastAsia="zh-C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Pretendentam iepriekšējo 3 (trīs) gadu laikā (t.i. 2023., 2024., 2025. un 2026.gadā līdz piedāvājuma iesniegšanas dienai) ir pieredze vismaz 1 (viena) līdzvērtīga līguma izpildīšanā.</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Par līdzvērtīgu tiks uzskatīts līgums, kura ietvaros ir veikti telpu pārbūves, atjaunošanas vai iekštelpu remonta darbi, un šie darbi līgumā noteiktajā termiņā un kvalitātē ir pilnībā pabeigti.</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 xml:space="preserve">Ja piedāvājumu iesniedz piegādātāju apvienība vai personālsabiedrība, </w:t>
            </w:r>
            <w:r>
              <w:rPr>
                <w:rFonts w:eastAsia="Times New Roman" w:cs="Times New Roman" w:ascii="Times New Roman" w:hAnsi="Times New Roman"/>
                <w:kern w:val="0"/>
                <w:sz w:val="22"/>
                <w:szCs w:val="22"/>
                <w:lang w:eastAsia="en-US" w:bidi="ar-SA"/>
              </w:rPr>
              <w:t>P</w:t>
            </w:r>
            <w:r>
              <w:rPr>
                <w:rFonts w:eastAsia="Times New Roman" w:cs="Times New Roman" w:ascii="Times New Roman" w:hAnsi="Times New Roman"/>
                <w:color w:val="000000"/>
                <w:kern w:val="0"/>
                <w:sz w:val="22"/>
                <w:szCs w:val="22"/>
                <w:u w:val="none"/>
                <w:lang w:bidi="ar-SA"/>
              </w:rPr>
              <w:t>retendents pieredzi var apliecināt ar viena dalībnieka prasībām atbilstošu pieredzi.</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eastAsia="Times New Roman" w:cs="Times New Roman" w:ascii="Times New Roman" w:hAnsi="Times New Roman"/>
                <w:kern w:val="0"/>
                <w:sz w:val="22"/>
                <w:szCs w:val="22"/>
                <w:lang w:eastAsia="en-US" w:bidi="ar-SA"/>
              </w:rPr>
              <w:t>1) Atsauksme no klienta.</w:t>
            </w:r>
          </w:p>
          <w:p>
            <w:pPr>
              <w:pStyle w:val="Normal"/>
              <w:widowControl/>
              <w:suppressAutoHyphens w:val="true"/>
              <w:spacing w:lineRule="auto" w:line="240" w:before="0" w:after="0"/>
              <w:jc w:val="start"/>
              <w:rPr>
                <w:rFonts w:ascii="Times New Roman" w:hAnsi="Times New Roman"/>
              </w:rPr>
            </w:pPr>
            <w:r>
              <w:rPr>
                <w:rFonts w:eastAsia="Times New Roman" w:cs="Times New Roman" w:ascii="Times New Roman" w:hAnsi="Times New Roman"/>
                <w:kern w:val="0"/>
                <w:sz w:val="22"/>
                <w:szCs w:val="22"/>
                <w:lang w:eastAsia="en-US" w:bidi="ar-SA"/>
              </w:rPr>
              <w:t xml:space="preserve">2) </w:t>
            </w:r>
            <w:bookmarkStart w:id="28" w:name="_Hlk65161906"/>
            <w:bookmarkStart w:id="29" w:name="_Hlk65139486"/>
            <w:r>
              <w:rPr>
                <w:rFonts w:eastAsia="Times New Roman" w:cs="Times New Roman" w:ascii="Times New Roman" w:hAnsi="Times New Roman"/>
                <w:kern w:val="0"/>
                <w:sz w:val="22"/>
                <w:szCs w:val="22"/>
                <w:lang w:eastAsia="en-US" w:bidi="ar-SA"/>
              </w:rPr>
              <w:t>Dokumenti, kas var apliecināt, ka objekts nodots ekspluatācijā.</w:t>
            </w:r>
            <w:bookmarkEnd w:id="29"/>
          </w:p>
          <w:p>
            <w:pPr>
              <w:pStyle w:val="Normal"/>
              <w:widowControl/>
              <w:numPr>
                <w:ilvl w:val="0"/>
                <w:numId w:val="0"/>
              </w:numPr>
              <w:suppressAutoHyphens w:val="true"/>
              <w:spacing w:lineRule="auto" w:line="240" w:before="0" w:after="0"/>
              <w:ind w:hanging="0" w:start="34"/>
              <w:jc w:val="both"/>
              <w:outlineLvl w:val="2"/>
              <w:rPr>
                <w:rFonts w:ascii="Times New Roman" w:hAnsi="Times New Roman"/>
              </w:rPr>
            </w:pPr>
            <w:r>
              <w:rPr>
                <w:rFonts w:cs="Times New Roman" w:ascii="Times New Roman" w:hAnsi="Times New Roman"/>
                <w:iCs/>
                <w:kern w:val="0"/>
                <w:sz w:val="22"/>
                <w:szCs w:val="22"/>
                <w:lang w:bidi="ar-SA"/>
              </w:rPr>
              <w:t xml:space="preserve">3) Ārvalstu </w:t>
            </w:r>
            <w:r>
              <w:rPr>
                <w:rFonts w:eastAsia="Times New Roman" w:cs="Times New Roman" w:ascii="Times New Roman" w:hAnsi="Times New Roman"/>
                <w:kern w:val="0"/>
                <w:sz w:val="22"/>
                <w:szCs w:val="22"/>
                <w:lang w:eastAsia="en-US" w:bidi="ar-SA"/>
              </w:rPr>
              <w:t>P</w:t>
            </w:r>
            <w:r>
              <w:rPr>
                <w:rFonts w:cs="Times New Roman" w:ascii="Times New Roman" w:hAnsi="Times New Roman"/>
                <w:iCs/>
                <w:kern w:val="0"/>
                <w:sz w:val="22"/>
                <w:szCs w:val="22"/>
                <w:lang w:bidi="ar-SA"/>
              </w:rPr>
              <w:t>retendenti iesniedz attiecīgus līdzvērtīgus dokumentus</w:t>
            </w:r>
            <w:r>
              <w:rPr>
                <w:rFonts w:cs="Times New Roman" w:ascii="Times New Roman" w:hAnsi="Times New Roman"/>
                <w:kern w:val="0"/>
                <w:sz w:val="22"/>
                <w:szCs w:val="22"/>
                <w:lang w:eastAsia="ar-SA" w:bidi="ar-SA"/>
              </w:rPr>
              <w:t>.</w:t>
            </w:r>
            <w:bookmarkEnd w:id="28"/>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Pretendentam ir/vai, noslēdzot līgumu, tas nodrošinās savas profesionālās civiltiesiskās darbības apdrošināšanu (ar atbildības limitu, kas atbilst piedāvājuma līgumcenai).</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cs="Times New Roman" w:ascii="Times New Roman" w:hAnsi="Times New Roman"/>
                <w:bCs/>
                <w:kern w:val="0"/>
                <w:sz w:val="22"/>
                <w:szCs w:val="22"/>
                <w:lang w:bidi="ar-SA"/>
              </w:rPr>
              <w:t xml:space="preserve">Apliecinājums, ka </w:t>
            </w:r>
            <w:r>
              <w:rPr>
                <w:rFonts w:eastAsia="Times New Roman" w:cs="Times New Roman" w:ascii="Times New Roman" w:hAnsi="Times New Roman"/>
                <w:kern w:val="0"/>
                <w:sz w:val="22"/>
                <w:szCs w:val="22"/>
                <w:lang w:eastAsia="en-US" w:bidi="ar-SA"/>
              </w:rPr>
              <w:t>P</w:t>
            </w:r>
            <w:r>
              <w:rPr>
                <w:rFonts w:cs="Times New Roman" w:ascii="Times New Roman" w:hAnsi="Times New Roman"/>
                <w:bCs/>
                <w:kern w:val="0"/>
                <w:sz w:val="22"/>
                <w:szCs w:val="22"/>
                <w:lang w:bidi="ar-SA"/>
              </w:rPr>
              <w:t>retendentam ir/vai, noslēdzot līgumu, tas veiks savas profesionālās civiltiesiskās darbības apdrošināšanu</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Pretendents iesniedz Pasūtītāja sagatavoto tehnisko specifikāciju, ietverot tajā prasīto informāciju.</w:t>
            </w:r>
          </w:p>
        </w:tc>
        <w:tc>
          <w:tcPr>
            <w:tcW w:w="5196" w:type="dxa"/>
            <w:tcBorders>
              <w:top w:val="single" w:sz="4" w:space="0" w:color="000000"/>
              <w:bottom w:val="single" w:sz="4" w:space="0" w:color="000000"/>
              <w:end w:val="single" w:sz="4" w:space="0" w:color="000000"/>
            </w:tcBorders>
          </w:tcPr>
          <w:p>
            <w:pPr>
              <w:pStyle w:val="Normal"/>
              <w:widowControl/>
              <w:suppressAutoHyphens w:val="true"/>
              <w:spacing w:lineRule="auto" w:line="240" w:before="0" w:after="0"/>
              <w:jc w:val="start"/>
              <w:rPr>
                <w:rFonts w:ascii="Times New Roman" w:hAnsi="Times New Roman"/>
              </w:rPr>
            </w:pPr>
            <w:r>
              <w:rPr>
                <w:rFonts w:cs="Times New Roman" w:ascii="Times New Roman" w:hAnsi="Times New Roman"/>
                <w:kern w:val="0"/>
                <w:sz w:val="22"/>
                <w:szCs w:val="22"/>
                <w:lang w:bidi="ar-SA"/>
              </w:rPr>
              <w:t>Tehniskā specifikācija (2.pielikums)</w:t>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Pretendents iesniedz tāmi, kas sagatavota atbilstoši LR spēkā esošo normatīvi aktu prasībām un saskaņā ar Pasūtītāja sagatavoto tehnisko specifikāciju (2.pielikums).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Ja tehniskajā specifikācijā minēti konkrēti ražotāji vai produktu nosaukumi, konkrētas metodes, Pretendents drīkst piedāvāt citu ražotāju analogus, kuri kvalitātes, izpildījuma, ekspluatācijas īpašību, savietojamības un funkcionalitātes ziņā ir līdzvērtīgi.</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kern w:val="0"/>
                <w:sz w:val="22"/>
                <w:szCs w:val="22"/>
                <w:lang w:bidi="ar-SA"/>
              </w:rPr>
              <w:t>Tāme</w:t>
            </w:r>
          </w:p>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Pretendents sagatavo un iesniedz finanšu piedāvājumu (3.pielikums) atbilstoši publicētajai veidlapai (formai)</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Piedāvājuma cenā jābūt iekļautiem visiem plānotajiem izdevumiem par darbu, pakalpojumiem, materiāliem un iekārtām, kas nepieciešami iepirkuma līguma izpildei pilnā apmērā un atbilstošā kvalitātē. Darbu izpildītājam ir jāparedz visi iespējamie riski saistībā ar iespējamo izdevumu palielināšanos.</w:t>
            </w:r>
          </w:p>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Piedāvājuma cena jānorāda ar precizitāti 2 (divas) zīmes aiz komata.</w:t>
            </w:r>
          </w:p>
        </w:tc>
        <w:tc>
          <w:tcPr>
            <w:tcW w:w="5196" w:type="dxa"/>
            <w:tcBorders>
              <w:top w:val="single" w:sz="4" w:space="0" w:color="000000"/>
              <w:bottom w:val="single" w:sz="4" w:space="0" w:color="000000"/>
              <w:end w:val="single" w:sz="4" w:space="0" w:color="000000"/>
            </w:tcBorders>
          </w:tcPr>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kern w:val="0"/>
                <w:sz w:val="22"/>
                <w:szCs w:val="22"/>
                <w:lang w:bidi="ar-SA"/>
              </w:rPr>
              <w:t>Finanšu piedāvājums (3.pielikums).</w:t>
            </w:r>
          </w:p>
          <w:p>
            <w:pPr>
              <w:pStyle w:val="Normal"/>
              <w:widowControl/>
              <w:tabs>
                <w:tab w:val="clear" w:pos="720"/>
                <w:tab w:val="left" w:pos="426" w:leader="none"/>
              </w:tabs>
              <w:suppressAutoHyphens w:val="true"/>
              <w:spacing w:lineRule="auto" w:line="240" w:before="0" w:after="0"/>
              <w:jc w:val="start"/>
              <w:rPr>
                <w:rFonts w:ascii="Times New Roman" w:hAnsi="Times New Roman"/>
              </w:rPr>
            </w:pPr>
            <w:r>
              <w:rPr>
                <w:rFonts w:ascii="Times New Roman" w:hAnsi="Times New Roman"/>
              </w:rPr>
            </w:r>
          </w:p>
        </w:tc>
      </w:tr>
      <w:tr>
        <w:trPr/>
        <w:tc>
          <w:tcPr>
            <w:tcW w:w="5196" w:type="dxa"/>
            <w:tcBorders>
              <w:top w:val="single" w:sz="4" w:space="0" w:color="000000"/>
              <w:start w:val="single" w:sz="4" w:space="0" w:color="000000"/>
              <w:bottom w:val="single" w:sz="4" w:space="0" w:color="000000"/>
            </w:tcBorders>
          </w:tcPr>
          <w:p>
            <w:pPr>
              <w:pStyle w:val="ListParagraph"/>
              <w:widowControl/>
              <w:tabs>
                <w:tab w:val="clear" w:pos="720"/>
                <w:tab w:val="left" w:pos="180" w:leader="none"/>
              </w:tabs>
              <w:suppressAutoHyphens w:val="true"/>
              <w:spacing w:before="0" w:after="200"/>
              <w:ind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kern w:val="0"/>
                <w:sz w:val="22"/>
                <w:szCs w:val="22"/>
                <w:u w:val="none"/>
                <w:lang w:bidi="ar-SA"/>
              </w:rPr>
              <w:t>Citi dokumenti.</w:t>
            </w:r>
          </w:p>
        </w:tc>
        <w:tc>
          <w:tcPr>
            <w:tcW w:w="5196" w:type="dxa"/>
            <w:tcBorders>
              <w:top w:val="single" w:sz="4" w:space="0" w:color="000000"/>
              <w:bottom w:val="single" w:sz="4" w:space="0" w:color="000000"/>
              <w:end w:val="single" w:sz="4" w:space="0" w:color="000000"/>
            </w:tcBorders>
          </w:tcPr>
          <w:p>
            <w:pPr>
              <w:pStyle w:val="Normal"/>
              <w:widowControl w:val="false"/>
              <w:suppressAutoHyphens w:val="true"/>
              <w:spacing w:lineRule="auto" w:line="240" w:before="40" w:after="40"/>
              <w:jc w:val="both"/>
              <w:rPr>
                <w:rFonts w:ascii="Times New Roman" w:hAnsi="Times New Roman"/>
              </w:rPr>
            </w:pPr>
            <w:r>
              <w:rPr>
                <w:rFonts w:eastAsia="Times New Roman" w:cs="Times New Roman" w:ascii="Times New Roman" w:hAnsi="Times New Roman"/>
                <w:bCs/>
                <w:kern w:val="0"/>
                <w:sz w:val="22"/>
                <w:szCs w:val="22"/>
                <w:lang w:bidi="ar-SA"/>
              </w:rPr>
              <w:t xml:space="preserve">Pretendents iesniedz citus ar </w:t>
            </w:r>
            <w:r>
              <w:rPr>
                <w:rFonts w:eastAsia="Times New Roman" w:cs="Times New Roman" w:ascii="Times New Roman" w:hAnsi="Times New Roman"/>
                <w:bCs/>
                <w:kern w:val="0"/>
                <w:sz w:val="22"/>
                <w:szCs w:val="22"/>
                <w:lang w:eastAsia="en-US" w:bidi="ar-SA"/>
              </w:rPr>
              <w:t>piedāvājumu saistītus dokumentus, lai apliecinātu atbilstību Nolikumā noteiktajām prasībām.</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tabs>
                <w:tab w:val="clear" w:pos="720"/>
                <w:tab w:val="left" w:pos="743" w:leader="none"/>
              </w:tabs>
              <w:suppressAutoHyphens w:val="true"/>
              <w:bidi w:val="0"/>
              <w:spacing w:lineRule="auto" w:line="240" w:before="40" w:after="40"/>
              <w:ind w:hanging="0" w:start="0" w:end="360"/>
              <w:contextualSpacing/>
              <w:jc w:val="both"/>
              <w:rPr>
                <w:rFonts w:ascii="Times New Roman" w:hAnsi="Times New Roman"/>
              </w:rPr>
            </w:pPr>
            <w:r>
              <w:rPr>
                <w:rFonts w:ascii="Times New Roman" w:hAnsi="Times New Roman"/>
                <w:iCs/>
                <w:kern w:val="0"/>
                <w:sz w:val="22"/>
                <w:szCs w:val="22"/>
                <w:lang w:bidi="ar-SA"/>
              </w:rPr>
              <w:t xml:space="preserve">Pretendents var balstīties uz citu personu tehniskajām un profesionālajām iespējām, ja tas ir nepieciešams konkrētā līguma izpildei, neatkarīgi no savstarpējo attiecību tiesiskā rakstura. Šādā gadījumā </w:t>
            </w:r>
            <w:r>
              <w:rPr>
                <w:rFonts w:ascii="Times New Roman" w:hAnsi="Times New Roman"/>
                <w:kern w:val="0"/>
                <w:sz w:val="22"/>
                <w:szCs w:val="22"/>
                <w:lang w:eastAsia="en-US" w:bidi="ar-SA"/>
              </w:rPr>
              <w:t>P</w:t>
            </w:r>
            <w:r>
              <w:rPr>
                <w:rFonts w:ascii="Times New Roman" w:hAnsi="Times New Roman"/>
                <w:iCs/>
                <w:kern w:val="0"/>
                <w:sz w:val="22"/>
                <w:szCs w:val="22"/>
                <w:lang w:bidi="ar-SA"/>
              </w:rPr>
              <w:t>retendents pierāda pasūtītājam, ka viņa rīcībā būs nepieciešamie resursi, iesniedzot šī uzņēmēja apliecinājumu vai vienošanos par sadarbību konkrētā līguma izpildei ar norādi par nepieciešamo resursu nodošanas veidu (kā tiks nodoti resursi) un apjomu. Pretendents, lai apliecinātu profesionālo pieredzi vai Pasūtītāja prasībām atbilstoša personāla pieejamību, var balstīties uz citu personu iespējām tikai tad, ja šīs personas sniegs pakalpojumus, kuru izpildei attiecīgās spējas ir nepieciešamas.</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numPr>
                <w:ilvl w:val="0"/>
                <w:numId w:val="0"/>
              </w:numPr>
              <w:tabs>
                <w:tab w:val="clear" w:pos="720"/>
                <w:tab w:val="left" w:pos="743" w:leader="none"/>
              </w:tabs>
              <w:suppressAutoHyphens w:val="true"/>
              <w:bidi w:val="0"/>
              <w:spacing w:lineRule="auto" w:line="240" w:before="40" w:after="40"/>
              <w:ind w:hanging="0" w:start="89" w:end="269"/>
              <w:contextualSpacing/>
              <w:jc w:val="both"/>
              <w:rPr>
                <w:rFonts w:ascii="Times New Roman" w:hAnsi="Times New Roman" w:eastAsia="Times New Roman" w:cs="Times New Roman"/>
                <w:bCs/>
              </w:rPr>
            </w:pPr>
            <w:r>
              <w:rPr>
                <w:rFonts w:ascii="Times New Roman" w:hAnsi="Times New Roman"/>
                <w:iCs/>
                <w:kern w:val="0"/>
                <w:sz w:val="22"/>
                <w:szCs w:val="22"/>
                <w:lang w:bidi="ar-SA"/>
              </w:rPr>
              <w:t xml:space="preserve">Pretendents var balstīties uz citu </w:t>
            </w:r>
            <w:r>
              <w:rPr>
                <w:rFonts w:eastAsia="Calibri" w:cs="Times New Roman" w:ascii="Times New Roman" w:hAnsi="Times New Roman"/>
                <w:color w:val="000000"/>
                <w:kern w:val="0"/>
                <w:sz w:val="22"/>
                <w:szCs w:val="22"/>
                <w:lang w:bidi="ar-SA"/>
              </w:rPr>
              <w:t>personu saimnieciskajām un finansiālajām iespējām</w:t>
            </w:r>
            <w:r>
              <w:rPr>
                <w:rFonts w:ascii="Times New Roman" w:hAnsi="Times New Roman"/>
                <w:iCs/>
                <w:kern w:val="0"/>
                <w:sz w:val="22"/>
                <w:szCs w:val="22"/>
                <w:lang w:bidi="ar-SA"/>
              </w:rPr>
              <w:t xml:space="preserve">, ja tas ir nepieciešams konkrētā līguma izpildei, neatkarīgi no savstarpējo attiecību tiesiskā rakstura. </w:t>
            </w:r>
            <w:r>
              <w:rPr>
                <w:rFonts w:eastAsia="Calibri" w:cs="Times New Roman" w:ascii="Times New Roman" w:hAnsi="Times New Roman"/>
                <w:color w:val="000000"/>
                <w:kern w:val="0"/>
                <w:sz w:val="22"/>
                <w:szCs w:val="22"/>
                <w:lang w:bidi="ar-SA"/>
              </w:rPr>
              <w:t>Šajā gadījumā Pretendents un persona, uz kuras saimnieciskajām un finansiālajām iespējām tas balstās, ir solidāri atbildīgi par iepirkuma līguma izpildi. Pretendents pierāda, ka tā rīcībā būs nepieciešamie resursi, iesniedzot šo personu apliecinājumu vai vienošanos par sadarbību konkrētā līguma izpildē. 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līguma izpildi, kā arī norāda, kādā veidā šī persona ir paredzējusi uzņemties solidāro atbildību par līguma izpildi.</w:t>
            </w:r>
          </w:p>
        </w:tc>
      </w:tr>
      <w:tr>
        <w:trPr/>
        <w:tc>
          <w:tcPr>
            <w:tcW w:w="10392" w:type="dxa"/>
            <w:gridSpan w:val="2"/>
            <w:tcBorders>
              <w:start w:val="single" w:sz="4" w:space="0" w:color="000000"/>
              <w:bottom w:val="single" w:sz="4" w:space="0" w:color="000000"/>
              <w:end w:val="single" w:sz="4" w:space="0" w:color="000000"/>
            </w:tcBorders>
          </w:tcPr>
          <w:p>
            <w:pPr>
              <w:pStyle w:val="ListParagraph"/>
              <w:widowControl w:val="false"/>
              <w:numPr>
                <w:ilvl w:val="0"/>
                <w:numId w:val="0"/>
              </w:numPr>
              <w:tabs>
                <w:tab w:val="clear" w:pos="720"/>
                <w:tab w:val="left" w:pos="743" w:leader="none"/>
              </w:tabs>
              <w:suppressAutoHyphens w:val="true"/>
              <w:bidi w:val="0"/>
              <w:spacing w:lineRule="auto" w:line="240" w:before="40" w:after="40"/>
              <w:ind w:hanging="0" w:start="89" w:end="269"/>
              <w:contextualSpacing/>
              <w:jc w:val="both"/>
              <w:rPr>
                <w:rFonts w:ascii="Times New Roman" w:hAnsi="Times New Roman" w:eastAsia="Calibri" w:cs="Times New Roman"/>
                <w:color w:val="000000"/>
                <w:kern w:val="0"/>
                <w:sz w:val="22"/>
                <w:szCs w:val="22"/>
                <w:lang w:val="lv-LV" w:eastAsia="lv-LV" w:bidi="ar-SA"/>
              </w:rPr>
            </w:pPr>
            <w:r>
              <w:rPr>
                <w:rFonts w:eastAsia="Calibri" w:cs="Times New Roman" w:ascii="Times New Roman" w:hAnsi="Times New Roman"/>
                <w:color w:val="000000"/>
                <w:kern w:val="0"/>
                <w:sz w:val="22"/>
                <w:szCs w:val="22"/>
                <w:lang w:val="lv-LV" w:eastAsia="lv-LV" w:bidi="ar-SA"/>
              </w:rPr>
              <w:t>Pretendentam jānorāda visus apakšuzņēmējus un apakšuzņēmēja apakšuzņēmējus, ja tādi tiek piesaistīti. Ar apakšuzņēmēju ir saprotama Pretendenta nolīgta persona vai tās nolīgta persona, kura piedalās iepirkuma līguma izpildē. Pretendentam jāiesniedz piesaistīto apakšuzņēmēju saraksts (5.pielikums), norādot tajā katram apakšuzņēmējam izpildei nododamo līguma daļu saskaņā ar tehnisko specifikāciju vai tāmi, un pievienojot finanšu aprēķinus, kas norāda līguma nododamo daļu procentuālo vērtību.</w:t>
            </w:r>
          </w:p>
        </w:tc>
      </w:tr>
    </w:tbl>
    <w:p>
      <w:pPr>
        <w:pStyle w:val="Normal"/>
        <w:numPr>
          <w:ilvl w:val="0"/>
          <w:numId w:val="4"/>
        </w:numPr>
        <w:spacing w:lineRule="auto" w:line="240" w:before="285" w:after="285"/>
        <w:ind w:hanging="360" w:start="72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PIEDĀVĀJUMA SAGATAVOŠANAS UN IESNIEGŠANAS KĀRTĪBA</w:t>
      </w:r>
    </w:p>
    <w:p>
      <w:pPr>
        <w:pStyle w:val="ListParagraph"/>
        <w:numPr>
          <w:ilvl w:val="1"/>
          <w:numId w:val="4"/>
        </w:numPr>
        <w:spacing w:lineRule="auto" w:line="259"/>
        <w:ind w:hanging="432" w:start="0"/>
        <w:jc w:val="both"/>
        <w:rPr>
          <w:rFonts w:ascii="Times New Roman" w:hAnsi="Times New Roman"/>
        </w:rPr>
      </w:pPr>
      <w:r>
        <w:rPr>
          <w:rFonts w:eastAsia="Calibri" w:cs="Times New Roman" w:ascii="Times New Roman" w:hAnsi="Times New Roman"/>
          <w:bCs/>
          <w:kern w:val="2"/>
          <w:lang w:eastAsia="en-US"/>
        </w:rPr>
        <w:t>Pretendentam jāaizpilda un jāiesniedz atbilstoši Nolikuma pielikumā sagatavotajām veidlapām:</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Pretendenta pieteikums dalībai konkursā (Nolikuma 1. pielikums);</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tehniskā specifikācija (Nolikuma 2. un 2.1.pielikums);</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finanšu piedāvājums (Nolikuma 3. pielikums);</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līguma projekts (Nolikuma 4.pielikums);</w:t>
      </w:r>
    </w:p>
    <w:p>
      <w:pPr>
        <w:pStyle w:val="ListParagraph"/>
        <w:numPr>
          <w:ilvl w:val="2"/>
          <w:numId w:val="4"/>
        </w:numPr>
        <w:spacing w:lineRule="auto" w:line="259"/>
        <w:ind w:hanging="504" w:start="567"/>
        <w:jc w:val="both"/>
        <w:rPr>
          <w:rFonts w:ascii="Times New Roman" w:hAnsi="Times New Roman"/>
        </w:rPr>
      </w:pPr>
      <w:r>
        <w:rPr>
          <w:rFonts w:eastAsia="Calibri" w:cs="Times New Roman" w:ascii="Times New Roman" w:hAnsi="Times New Roman"/>
          <w:bCs/>
          <w:kern w:val="2"/>
          <w:lang w:eastAsia="en-US"/>
        </w:rPr>
        <w:t xml:space="preserve"> </w:t>
      </w:r>
      <w:r>
        <w:rPr>
          <w:rFonts w:eastAsia="Calibri" w:cs="Times New Roman" w:ascii="Times New Roman" w:hAnsi="Times New Roman"/>
          <w:bCs/>
          <w:kern w:val="2"/>
          <w:lang w:eastAsia="en-US"/>
        </w:rPr>
        <w:t>apakšuz</w:t>
      </w:r>
      <w:r>
        <w:rPr>
          <w:rFonts w:eastAsia="Calibri" w:cs="Times New Roman" w:ascii="Times New Roman" w:hAnsi="Times New Roman"/>
          <w:b w:val="false"/>
          <w:bCs w:val="false"/>
          <w:kern w:val="2"/>
          <w:u w:val="none"/>
          <w:lang w:eastAsia="en-US"/>
        </w:rPr>
        <w:t>ņēmēju apliecinājums (Nolikuma 5.pielikums);</w:t>
      </w:r>
    </w:p>
    <w:p>
      <w:pPr>
        <w:pStyle w:val="ListParagraph"/>
        <w:numPr>
          <w:ilvl w:val="2"/>
          <w:numId w:val="4"/>
        </w:numPr>
        <w:spacing w:lineRule="auto" w:line="259"/>
        <w:ind w:hanging="504" w:start="567"/>
        <w:jc w:val="both"/>
        <w:rPr>
          <w:b w:val="false"/>
          <w:bCs w:val="false"/>
          <w:u w:val="none"/>
        </w:rPr>
      </w:pPr>
      <w:r>
        <w:rPr>
          <w:rFonts w:eastAsia="Calibri" w:cs="Times New Roman" w:ascii="Times New Roman" w:hAnsi="Times New Roman"/>
          <w:b w:val="false"/>
          <w:bCs w:val="false"/>
          <w:kern w:val="2"/>
          <w:u w:val="none"/>
          <w:lang w:eastAsia="en-US"/>
        </w:rPr>
        <w:t xml:space="preserve"> </w:t>
      </w:r>
      <w:r>
        <w:rPr>
          <w:rFonts w:eastAsia="Calibri" w:cs="Times New Roman" w:ascii="Times New Roman" w:hAnsi="Times New Roman"/>
          <w:b w:val="false"/>
          <w:bCs w:val="false"/>
          <w:kern w:val="2"/>
          <w:u w:val="none"/>
          <w:lang w:eastAsia="en-US"/>
        </w:rPr>
        <w:t>apliecinājums par neatkarīgi izstrādātu piedāvājumu (Nolikuma 6. pielikums);</w:t>
      </w:r>
    </w:p>
    <w:p>
      <w:pPr>
        <w:pStyle w:val="ListParagraph"/>
        <w:numPr>
          <w:ilvl w:val="2"/>
          <w:numId w:val="4"/>
        </w:numPr>
        <w:spacing w:lineRule="auto" w:line="259"/>
        <w:ind w:hanging="504" w:start="567"/>
        <w:jc w:val="both"/>
        <w:rPr>
          <w:b w:val="false"/>
          <w:bCs w:val="false"/>
          <w:u w:val="none"/>
        </w:rPr>
      </w:pPr>
      <w:r>
        <w:rPr>
          <w:rFonts w:eastAsia="Calibri" w:cs="Times New Roman" w:ascii="Times New Roman" w:hAnsi="Times New Roman"/>
          <w:b w:val="false"/>
          <w:bCs w:val="false"/>
          <w:kern w:val="2"/>
          <w:u w:val="none"/>
          <w:lang w:eastAsia="en-US"/>
        </w:rPr>
        <w:t xml:space="preserve"> </w:t>
      </w:r>
      <w:r>
        <w:rPr>
          <w:rFonts w:eastAsia="Calibri" w:cs="Times New Roman" w:ascii="Times New Roman" w:hAnsi="Times New Roman"/>
          <w:b w:val="false"/>
          <w:bCs w:val="false"/>
          <w:kern w:val="2"/>
          <w:u w:val="none"/>
          <w:lang w:eastAsia="en-US"/>
        </w:rPr>
        <w:t>objektu apsekošanas veidlapa (Nolikuma 7.pielikums);</w:t>
      </w:r>
    </w:p>
    <w:p>
      <w:pPr>
        <w:pStyle w:val="ListParagraph"/>
        <w:numPr>
          <w:ilvl w:val="2"/>
          <w:numId w:val="4"/>
        </w:numPr>
        <w:spacing w:lineRule="auto" w:line="259"/>
        <w:ind w:hanging="504" w:start="567"/>
        <w:jc w:val="both"/>
        <w:rPr>
          <w:b w:val="false"/>
          <w:bCs w:val="false"/>
          <w:u w:val="none"/>
        </w:rPr>
      </w:pPr>
      <w:r>
        <w:rPr>
          <w:rFonts w:eastAsia="Calibri" w:cs="Times New Roman" w:ascii="Times New Roman" w:hAnsi="Times New Roman"/>
          <w:b w:val="false"/>
          <w:bCs w:val="false"/>
          <w:kern w:val="2"/>
          <w:u w:val="none"/>
          <w:lang w:eastAsia="en-US"/>
        </w:rPr>
        <w:t xml:space="preserve"> </w:t>
      </w:r>
      <w:r>
        <w:rPr>
          <w:rFonts w:eastAsia="Calibri" w:cs="Times New Roman" w:ascii="Times New Roman" w:hAnsi="Times New Roman"/>
          <w:b w:val="false"/>
          <w:bCs w:val="false"/>
          <w:kern w:val="2"/>
          <w:u w:val="none"/>
          <w:lang w:eastAsia="en-US"/>
        </w:rPr>
        <w:t>apliecinājums par interešu konflikta neesamību (Nolikuma 8.pielikums).</w:t>
      </w:r>
    </w:p>
    <w:p>
      <w:pPr>
        <w:pStyle w:val="ListParagraph"/>
        <w:numPr>
          <w:ilvl w:val="1"/>
          <w:numId w:val="4"/>
        </w:numPr>
        <w:spacing w:lineRule="auto" w:line="259"/>
        <w:ind w:hanging="432" w:start="0"/>
        <w:jc w:val="both"/>
        <w:rPr>
          <w:b w:val="false"/>
          <w:bCs w:val="false"/>
          <w:u w:val="none"/>
        </w:rPr>
      </w:pPr>
      <w:r>
        <w:rPr>
          <w:rFonts w:eastAsia="Calibri" w:cs="Times New Roman" w:ascii="Times New Roman" w:hAnsi="Times New Roman"/>
          <w:b w:val="false"/>
          <w:bCs w:val="false"/>
          <w:kern w:val="2"/>
          <w:u w:val="none"/>
          <w:lang w:eastAsia="en-US"/>
        </w:rPr>
        <w:t>Pretendents var pievienot piedāvājumam citu informāciju pēc saviem ieskatiem.</w:t>
      </w:r>
    </w:p>
    <w:p>
      <w:pPr>
        <w:pStyle w:val="ListParagraph"/>
        <w:numPr>
          <w:ilvl w:val="1"/>
          <w:numId w:val="4"/>
        </w:numPr>
        <w:spacing w:lineRule="auto" w:line="259"/>
        <w:ind w:hanging="432" w:start="0"/>
        <w:jc w:val="both"/>
        <w:rPr/>
      </w:pPr>
      <w:r>
        <w:rPr>
          <w:rFonts w:eastAsia="Calibri" w:cs="Times New Roman" w:ascii="Times New Roman" w:hAnsi="Times New Roman"/>
          <w:b/>
          <w:bCs/>
          <w:kern w:val="2"/>
          <w:lang w:eastAsia="en-US"/>
        </w:rPr>
        <w:t>Piedāvājums iesniedzams elektroniski, parakstīts ar drošu elektronisko parakstu, kas satur laika zīmogu līd</w:t>
      </w:r>
      <w:r>
        <w:rPr>
          <w:rFonts w:eastAsia="Calibri" w:cs="Times New Roman" w:ascii="Times New Roman" w:hAnsi="Times New Roman"/>
          <w:b/>
          <w:bCs/>
          <w:kern w:val="2"/>
          <w:shd w:fill="auto" w:val="clear"/>
          <w:lang w:eastAsia="en-US"/>
        </w:rPr>
        <w:t xml:space="preserve">z 2026. gada </w:t>
      </w:r>
      <w:r>
        <w:rPr>
          <w:rFonts w:eastAsia="Calibri" w:cs="Times New Roman" w:ascii="Times New Roman" w:hAnsi="Times New Roman"/>
          <w:b/>
          <w:bCs/>
          <w:kern w:val="2"/>
          <w:shd w:fill="auto" w:val="clear"/>
          <w:lang w:eastAsia="en-US"/>
        </w:rPr>
        <w:t>07</w:t>
      </w:r>
      <w:r>
        <w:rPr>
          <w:rFonts w:eastAsia="Calibri" w:cs="Times New Roman" w:ascii="Times New Roman" w:hAnsi="Times New Roman"/>
          <w:b/>
          <w:bCs/>
          <w:kern w:val="2"/>
          <w:shd w:fill="auto" w:val="clear"/>
          <w:lang w:eastAsia="en-US"/>
        </w:rPr>
        <w:t xml:space="preserve">. </w:t>
      </w:r>
      <w:r>
        <w:rPr>
          <w:rFonts w:eastAsia="Calibri" w:cs="Times New Roman" w:ascii="Times New Roman" w:hAnsi="Times New Roman"/>
          <w:b/>
          <w:bCs/>
          <w:kern w:val="2"/>
          <w:shd w:fill="auto" w:val="clear"/>
          <w:lang w:eastAsia="en-US"/>
        </w:rPr>
        <w:t>aprīlim</w:t>
      </w:r>
      <w:r>
        <w:rPr>
          <w:rFonts w:eastAsia="Calibri" w:cs="Times New Roman" w:ascii="Times New Roman" w:hAnsi="Times New Roman"/>
          <w:b/>
          <w:bCs/>
          <w:kern w:val="2"/>
          <w:shd w:fill="auto" w:val="clear"/>
          <w:lang w:eastAsia="en-US"/>
        </w:rPr>
        <w:t xml:space="preserve"> plkst. 16.00 u</w:t>
      </w:r>
      <w:r>
        <w:rPr>
          <w:rFonts w:eastAsia="Calibri" w:cs="Times New Roman" w:ascii="Times New Roman" w:hAnsi="Times New Roman"/>
          <w:b/>
          <w:bCs/>
          <w:kern w:val="2"/>
          <w:lang w:eastAsia="en-US"/>
        </w:rPr>
        <w:t>z e-pasta adresi</w:t>
      </w:r>
      <w:r>
        <w:rPr>
          <w:rFonts w:eastAsia="Calibri" w:cs="Times New Roman" w:ascii="Times New Roman" w:hAnsi="Times New Roman"/>
          <w:bCs/>
          <w:kern w:val="2"/>
          <w:lang w:eastAsia="en-US"/>
        </w:rPr>
        <w:t xml:space="preserve">: </w:t>
      </w:r>
      <w:hyperlink r:id="rId8">
        <w:r>
          <w:rPr>
            <w:rStyle w:val="Hyperlink"/>
            <w:rFonts w:ascii="Times New Roman" w:hAnsi="Times New Roman"/>
          </w:rPr>
          <w:t>iepirkumi@mfd.lv</w:t>
        </w:r>
      </w:hyperlink>
      <w:r>
        <w:rPr>
          <w:rStyle w:val="Hyperlink"/>
          <w:rFonts w:eastAsia="Calibri" w:cs="Times New Roman" w:ascii="Times New Roman" w:hAnsi="Times New Roman"/>
          <w:bCs/>
          <w:color w:val="auto"/>
          <w:kern w:val="2"/>
          <w:lang w:eastAsia="en-US"/>
        </w:rPr>
        <w:t xml:space="preserve">. </w:t>
      </w:r>
    </w:p>
    <w:p>
      <w:pPr>
        <w:pStyle w:val="ListParagraph"/>
        <w:numPr>
          <w:ilvl w:val="1"/>
          <w:numId w:val="4"/>
        </w:numPr>
        <w:spacing w:lineRule="auto" w:line="259"/>
        <w:ind w:hanging="432" w:start="0"/>
        <w:jc w:val="both"/>
        <w:rPr>
          <w:rFonts w:ascii="Times New Roman" w:hAnsi="Times New Roman"/>
        </w:rPr>
      </w:pPr>
      <w:r>
        <w:rPr>
          <w:rFonts w:eastAsia="Calibri" w:cs="Times New Roman" w:ascii="Times New Roman" w:hAnsi="Times New Roman"/>
          <w:bCs/>
          <w:kern w:val="2"/>
          <w:lang w:eastAsia="en-US"/>
        </w:rPr>
        <w:t>Piedāvājuma dokumentus paraksta 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 Pilnvarā precīzi jānorāda pilnvarotajai personai piešķirto tiesību un saistību apjoms.</w:t>
      </w:r>
    </w:p>
    <w:p>
      <w:pPr>
        <w:pStyle w:val="ListParagraph"/>
        <w:numPr>
          <w:ilvl w:val="1"/>
          <w:numId w:val="4"/>
        </w:numPr>
        <w:spacing w:lineRule="auto" w:line="259"/>
        <w:ind w:hanging="432" w:start="0"/>
        <w:jc w:val="both"/>
        <w:rPr>
          <w:rFonts w:ascii="Times New Roman" w:hAnsi="Times New Roman"/>
        </w:rPr>
      </w:pPr>
      <w:bookmarkStart w:id="30" w:name="_Toc64264072_Copy_2"/>
      <w:bookmarkStart w:id="31" w:name="_Toc65454241_Copy_2"/>
      <w:bookmarkStart w:id="32" w:name="_Toc65862771_Copy_2"/>
      <w:bookmarkStart w:id="33" w:name="_Toc65956610_Copy_2"/>
      <w:bookmarkStart w:id="34" w:name="_Toc65967969_Copy_2"/>
      <w:bookmarkStart w:id="35" w:name="_Toc72766066_Copy_2"/>
      <w:bookmarkStart w:id="36" w:name="_Toc73116766_Copy_2"/>
      <w:bookmarkStart w:id="37" w:name="_Toc79552066_Copy_2"/>
      <w:bookmarkStart w:id="38" w:name="_Toc141341762_Copy_2"/>
      <w:bookmarkStart w:id="39" w:name="_Toc141785293_Copy_2"/>
      <w:bookmarkStart w:id="40" w:name="_Toc45663519_Copy_2"/>
      <w:bookmarkStart w:id="41" w:name="_Toc64201623_Copy_2"/>
      <w:r>
        <w:rPr>
          <w:rFonts w:ascii="Times New Roman" w:hAnsi="Times New Roman"/>
        </w:rPr>
        <w:t>Iesniedzot piedāvājumu, Pretendents pilnībā atzīst visus Nolikumā ietvertos nosacījumus.</w:t>
      </w:r>
      <w:bookmarkEnd w:id="30"/>
      <w:bookmarkEnd w:id="31"/>
      <w:bookmarkEnd w:id="32"/>
      <w:bookmarkEnd w:id="33"/>
      <w:bookmarkEnd w:id="34"/>
      <w:bookmarkEnd w:id="35"/>
      <w:bookmarkEnd w:id="36"/>
      <w:bookmarkEnd w:id="37"/>
      <w:bookmarkEnd w:id="38"/>
      <w:bookmarkEnd w:id="39"/>
      <w:bookmarkEnd w:id="40"/>
      <w:bookmarkEnd w:id="41"/>
    </w:p>
    <w:p>
      <w:pPr>
        <w:pStyle w:val="ListParagraph"/>
        <w:spacing w:lineRule="auto" w:line="259"/>
        <w:ind w:start="0"/>
        <w:jc w:val="both"/>
        <w:rPr/>
      </w:pPr>
      <w:r>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 xml:space="preserve">PIEDĀVĀJUMU </w:t>
      </w:r>
      <w:bookmarkStart w:id="42" w:name="_Toc64201623_Copy_1"/>
      <w:bookmarkStart w:id="43" w:name="_Toc64264072_Copy_1"/>
      <w:bookmarkStart w:id="44" w:name="_Toc65454241_Copy_1"/>
      <w:bookmarkStart w:id="45" w:name="_Toc65862771_Copy_1"/>
      <w:bookmarkStart w:id="46" w:name="_Toc65956610_Copy_1"/>
      <w:bookmarkStart w:id="47" w:name="_Toc65967969_Copy_1"/>
      <w:bookmarkStart w:id="48" w:name="_Toc72766066_Copy_1"/>
      <w:bookmarkStart w:id="49" w:name="_Toc73116766_Copy_1"/>
      <w:bookmarkStart w:id="50" w:name="_Toc79552066_Copy_1"/>
      <w:bookmarkStart w:id="51" w:name="_Toc141341762_Copy_1"/>
      <w:bookmarkStart w:id="52" w:name="_Toc141785293_Copy_1"/>
      <w:bookmarkStart w:id="53" w:name="_Toc45663519_Copy_1"/>
      <w:r>
        <w:rPr>
          <w:rFonts w:eastAsia="Calibri" w:cs="Times New Roman" w:ascii="Times New Roman" w:hAnsi="Times New Roman"/>
          <w:b/>
          <w:bCs/>
          <w:kern w:val="2"/>
          <w:sz w:val="24"/>
          <w:szCs w:val="24"/>
          <w:lang w:eastAsia="en-US"/>
        </w:rPr>
        <w:t>VĒRTĒŠANA</w:t>
      </w:r>
      <w:bookmarkEnd w:id="42"/>
      <w:bookmarkEnd w:id="43"/>
      <w:bookmarkEnd w:id="44"/>
      <w:bookmarkEnd w:id="45"/>
      <w:bookmarkEnd w:id="46"/>
      <w:bookmarkEnd w:id="47"/>
      <w:bookmarkEnd w:id="48"/>
      <w:bookmarkEnd w:id="49"/>
      <w:bookmarkEnd w:id="50"/>
      <w:bookmarkEnd w:id="51"/>
      <w:bookmarkEnd w:id="52"/>
      <w:bookmarkEnd w:id="53"/>
    </w:p>
    <w:p>
      <w:pPr>
        <w:pStyle w:val="ListParagraph"/>
        <w:widowControl/>
        <w:numPr>
          <w:ilvl w:val="1"/>
          <w:numId w:val="4"/>
        </w:numPr>
        <w:suppressAutoHyphens w:val="true"/>
        <w:bidi w:val="0"/>
        <w:spacing w:lineRule="auto" w:line="259"/>
        <w:ind w:hanging="432" w:start="0"/>
        <w:jc w:val="both"/>
        <w:rPr>
          <w:rFonts w:ascii="Times New Roman" w:hAnsi="Times New Roman" w:eastAsia="Calibri" w:cs="Tahoma"/>
          <w:color w:val="auto"/>
          <w:kern w:val="0"/>
          <w:sz w:val="22"/>
          <w:szCs w:val="22"/>
          <w:lang w:val="lv-LV" w:eastAsia="lv-LV" w:bidi="ar-SA"/>
        </w:rPr>
      </w:pPr>
      <w:r>
        <w:rPr>
          <w:rFonts w:eastAsia="Calibri" w:cs="Tahoma" w:ascii="Times New Roman" w:hAnsi="Times New Roman"/>
          <w:color w:val="auto"/>
          <w:kern w:val="0"/>
          <w:sz w:val="22"/>
          <w:szCs w:val="22"/>
          <w:lang w:val="lv-LV" w:eastAsia="lv-LV" w:bidi="ar-SA"/>
        </w:rPr>
        <w:t xml:space="preserve">Pretendentu atlasi, piedāvājumu atbilstības pārbaudi un piedāvājumu vērtēšanu Iepirkumu komisija veic slēgtā sēdē.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Piedāvājumu vērtēšanu Komisija veic šādos posmos:</w:t>
      </w:r>
    </w:p>
    <w:p>
      <w:pPr>
        <w:pStyle w:val="ListParagraph"/>
        <w:numPr>
          <w:ilvl w:val="2"/>
          <w:numId w:val="4"/>
        </w:numPr>
        <w:tabs>
          <w:tab w:val="clear" w:pos="720"/>
          <w:tab w:val="left" w:pos="180" w:leader="none"/>
        </w:tabs>
        <w:spacing w:before="0" w:after="29"/>
        <w:ind w:hanging="504" w:start="567"/>
        <w:contextualSpacing/>
        <w:jc w:val="both"/>
        <w:rPr>
          <w:rFonts w:ascii="Times New Roman" w:hAnsi="Times New Roman" w:eastAsia="Times New Roman" w:cs="Times New Roman"/>
          <w:color w:val="000000"/>
          <w:u w:val="single" w:color="000000"/>
        </w:rPr>
      </w:pPr>
      <w:r>
        <w:rPr>
          <w:rFonts w:cs="Times New Roman" w:ascii="Times New Roman" w:hAnsi="Times New Roman"/>
          <w:b/>
          <w:bCs/>
        </w:rPr>
        <w:t xml:space="preserve"> </w:t>
      </w:r>
      <w:r>
        <w:rPr>
          <w:rFonts w:cs="Times New Roman" w:ascii="Times New Roman" w:hAnsi="Times New Roman"/>
          <w:b/>
          <w:bCs/>
          <w:u w:val="single"/>
        </w:rPr>
        <w:t>1. posms – Piedāvājumu noformējuma pārbaude</w:t>
      </w:r>
    </w:p>
    <w:p>
      <w:pPr>
        <w:pStyle w:val="BodyText"/>
        <w:spacing w:before="0" w:after="0"/>
        <w:jc w:val="both"/>
        <w:rPr>
          <w:sz w:val="22"/>
          <w:szCs w:val="22"/>
        </w:rPr>
      </w:pPr>
      <w:r>
        <w:rPr>
          <w:sz w:val="22"/>
          <w:szCs w:val="22"/>
        </w:rPr>
        <w:t xml:space="preserve">Komisija pārbauda, vai piedāvājums sagatavots un noformēts atbilstoši Nolikumā norādītajām noformēšanas prasībām.  </w:t>
      </w:r>
    </w:p>
    <w:p>
      <w:pPr>
        <w:pStyle w:val="BodyText"/>
        <w:numPr>
          <w:ilvl w:val="2"/>
          <w:numId w:val="4"/>
        </w:numPr>
        <w:spacing w:before="0" w:after="0"/>
        <w:ind w:hanging="504" w:start="567"/>
        <w:jc w:val="both"/>
        <w:rPr>
          <w:sz w:val="22"/>
          <w:szCs w:val="22"/>
        </w:rPr>
      </w:pPr>
      <w:r>
        <w:rPr>
          <w:b/>
          <w:bCs/>
          <w:sz w:val="22"/>
          <w:szCs w:val="22"/>
        </w:rPr>
        <w:t xml:space="preserve"> </w:t>
      </w:r>
      <w:r>
        <w:rPr>
          <w:b/>
          <w:bCs/>
          <w:sz w:val="22"/>
          <w:szCs w:val="22"/>
          <w:u w:val="single"/>
        </w:rPr>
        <w:t>2. posms – Pretendentu atlase</w:t>
      </w:r>
      <w:r>
        <w:rPr>
          <w:sz w:val="22"/>
          <w:szCs w:val="22"/>
        </w:rPr>
        <w:t xml:space="preserve"> </w:t>
      </w:r>
    </w:p>
    <w:p>
      <w:pPr>
        <w:pStyle w:val="BodyText"/>
        <w:spacing w:before="0" w:after="0"/>
        <w:jc w:val="both"/>
        <w:rPr>
          <w:sz w:val="22"/>
          <w:szCs w:val="22"/>
        </w:rPr>
      </w:pPr>
      <w:r>
        <w:rPr>
          <w:sz w:val="22"/>
          <w:szCs w:val="22"/>
        </w:rPr>
        <w:t xml:space="preserve">Komisija pārbauda, vai </w:t>
      </w:r>
      <w:r>
        <w:rPr>
          <w:lang w:eastAsia="en-US"/>
        </w:rPr>
        <w:t>P</w:t>
      </w:r>
      <w:r>
        <w:rPr>
          <w:sz w:val="22"/>
          <w:szCs w:val="22"/>
        </w:rPr>
        <w:t xml:space="preserve">retendenta iesniegtie atlases dokumenti un publiski pieejamās datu bāzēs iegūtā informācija apliecina Pretendenta atbilstību Nolikumā norādītajām prasībām.  </w:t>
      </w:r>
    </w:p>
    <w:p>
      <w:pPr>
        <w:pStyle w:val="BodyText"/>
        <w:numPr>
          <w:ilvl w:val="2"/>
          <w:numId w:val="4"/>
        </w:numPr>
        <w:suppressAutoHyphens w:val="false"/>
        <w:overflowPunct w:val="false"/>
        <w:spacing w:before="0" w:after="0"/>
        <w:ind w:hanging="504" w:start="567"/>
        <w:jc w:val="both"/>
        <w:textAlignment w:val="auto"/>
        <w:rPr>
          <w:sz w:val="22"/>
          <w:szCs w:val="22"/>
          <w:u w:val="single"/>
        </w:rPr>
      </w:pPr>
      <w:r>
        <w:rPr>
          <w:b/>
          <w:bCs/>
          <w:sz w:val="22"/>
          <w:szCs w:val="22"/>
        </w:rPr>
        <w:t xml:space="preserve"> </w:t>
      </w:r>
      <w:r>
        <w:rPr>
          <w:b/>
          <w:bCs/>
          <w:sz w:val="22"/>
          <w:szCs w:val="22"/>
          <w:u w:val="single"/>
        </w:rPr>
        <w:t>3. posms – Tehniskā piedāvājuma un Finanšu piedāvājumu pārbaude:</w:t>
      </w:r>
    </w:p>
    <w:p>
      <w:pPr>
        <w:pStyle w:val="Normal"/>
        <w:tabs>
          <w:tab w:val="clear" w:pos="720"/>
          <w:tab w:val="left" w:pos="426" w:leader="none"/>
        </w:tabs>
        <w:spacing w:lineRule="auto" w:line="240" w:before="0" w:after="0"/>
        <w:jc w:val="both"/>
        <w:rPr>
          <w:rFonts w:ascii="Times New Roman" w:hAnsi="Times New Roman"/>
        </w:rPr>
      </w:pPr>
      <w:r>
        <w:rPr>
          <w:rFonts w:ascii="Times New Roman" w:hAnsi="Times New Roman"/>
        </w:rPr>
        <w:t xml:space="preserve">Komisija izvērtē atbilstību </w:t>
      </w:r>
      <w:r>
        <w:rPr>
          <w:rFonts w:cs="Times New Roman" w:ascii="Times New Roman" w:hAnsi="Times New Roman"/>
        </w:rPr>
        <w:t>N</w:t>
      </w:r>
      <w:r>
        <w:rPr>
          <w:rFonts w:ascii="Times New Roman" w:hAnsi="Times New Roman"/>
        </w:rPr>
        <w:t xml:space="preserve">olikumā noteiktajām prasībām </w:t>
      </w:r>
      <w:r>
        <w:rPr>
          <w:rFonts w:cs="Times New Roman" w:ascii="Times New Roman" w:hAnsi="Times New Roman"/>
        </w:rPr>
        <w:t xml:space="preserve">un pārbauda, vai iesniegtajā tāmē un finanšu piedāvājumā nav aritmētisko kļūdu. </w:t>
      </w:r>
      <w:r>
        <w:rPr>
          <w:rFonts w:ascii="Times New Roman" w:hAnsi="Times New Roman"/>
        </w:rPr>
        <w:t>Ja tādas tiek konstatētas, tad Komisija šīs kļūdas labo un par konstatētajām kļūdām un labojumiem informē Pretendentu, kura piedāvājumā kļūdas tika konstatētas un labotas. Vērtējot piedāvājumu, Komisija ņem vērā veiktos labojumus.</w:t>
      </w:r>
      <w:r>
        <w:rPr>
          <w:rFonts w:ascii="Times New Roman" w:hAnsi="Times New Roman"/>
          <w:color w:val="000000"/>
        </w:rPr>
        <w:t xml:space="preserve">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 xml:space="preserve">Ja iesniegtajos dokumentos ietvertā informācija par Pretendenta kvalifikāciju ir neskaidra vai nepilnīga, Komisija prasa, lai Pretendents vai kompetenta institūcija izskaidro, papildina un/vai precizē piedāvājuma dokumentos ietverto informāciju.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 xml:space="preserve">Ja piedāvājumu vērtēšanas laikā Komisija konstatē, ka kāds no Pretendentiem iesniedzis nepamatoti lētu piedāvājumu, Komisija var pieprasīt Pretendentam detalizētu skaidrojumu par šo piedāvājumu, tajā skaitā par īpašiem nosacījumiem, tehnoloģijām vai cita veida nosacījumiem, kas ļauj piedāvāt šādu cenu. Ja Komisija konstatē, ka Pretendents iesniedzis nepamatoti lētu piedāvājumu, to izslēdz no turpmākas dalības iepirkumā PIL 53.panta noteiktajā kārtībā.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sz w:val="23"/>
          <w:u w:val="none"/>
        </w:rPr>
        <w:t xml:space="preserve">Iepirkuma komisija starp Nolikuma prasībām atbilstošajiem piedāvājumiem izvēlas piedāvājumu ar viszemāko cenu. </w:t>
      </w:r>
    </w:p>
    <w:p>
      <w:pPr>
        <w:pStyle w:val="ListParagraph"/>
        <w:numPr>
          <w:ilvl w:val="1"/>
          <w:numId w:val="4"/>
        </w:numPr>
        <w:tabs>
          <w:tab w:val="clear" w:pos="720"/>
          <w:tab w:val="left" w:pos="180" w:leader="none"/>
        </w:tabs>
        <w:spacing w:before="0" w:after="29"/>
        <w:ind w:hanging="432" w:start="0"/>
        <w:contextualSpacing/>
        <w:jc w:val="both"/>
        <w:rPr>
          <w:rFonts w:ascii="Times New Roman" w:hAnsi="Times New Roman" w:eastAsia="Times New Roman" w:cs="Times New Roman"/>
          <w:color w:val="000000"/>
          <w:u w:val="none"/>
        </w:rPr>
      </w:pPr>
      <w:r>
        <w:rPr>
          <w:rFonts w:eastAsia="Times New Roman" w:cs="Times New Roman" w:ascii="Times New Roman" w:hAnsi="Times New Roman"/>
          <w:color w:val="000000"/>
          <w:u w:val="none"/>
        </w:rPr>
        <w:t xml:space="preserve">Ja pirms lēmuma par iepirkuma līguma slēgšanas tiesību piešķiršanu, tiks konstatēts, ka vairāku Pretendentu piedāvājumu līgumcena ir vienāda, tad </w:t>
      </w:r>
      <w:bookmarkStart w:id="54" w:name="_Hlk128736641"/>
      <w:r>
        <w:rPr>
          <w:rFonts w:eastAsia="Times New Roman" w:cs="Times New Roman" w:ascii="Times New Roman" w:hAnsi="Times New Roman"/>
          <w:color w:val="000000"/>
          <w:u w:val="none"/>
        </w:rPr>
        <w:t>Pasūtītājs dos priekšroku tam Pretendentam, kurš norādīji</w:t>
      </w:r>
      <w:bookmarkEnd w:id="54"/>
      <w:r>
        <w:rPr>
          <w:rFonts w:eastAsia="Times New Roman" w:cs="Times New Roman" w:ascii="Times New Roman" w:hAnsi="Times New Roman"/>
          <w:color w:val="000000"/>
          <w:u w:val="none"/>
        </w:rPr>
        <w:t>s zemāku līgumcenu. Ja Pretendentu līgumcena būs vienāda, tad Pasūtītājs dos priekšroku tam Pretendentam, kurš norādījis ātrāku reaģēšanas laiku defektu un bojājumu novēršanai. Savukārt, ja arī šis kritērijs būs vienāds, tad uzvarētājs tiks noteikts veicot izlozi. Par izlozes norisi (datumu un laiku) katrs izlozes dalībnieks tiks informēts 3 (trīs) darba dienas iepriekš, nosūtot tam elektroniski vēstuli uz norādīto e-pasta adresi. Izlozes laiks un datums pēc Pretendenta lūguma netiek mainīts. Pretendentam ir tiesības, bet ne pienākums piedalīties izlozē. Izlozes process tiek dokumentēts.</w:t>
      </w:r>
    </w:p>
    <w:p>
      <w:pPr>
        <w:pStyle w:val="Normal"/>
        <w:spacing w:lineRule="auto" w:line="240" w:before="0" w:after="0"/>
        <w:jc w:val="both"/>
        <w:rPr>
          <w:rFonts w:ascii="Times New Roman" w:hAnsi="Times New Roman" w:cs="Times New Roman"/>
          <w:sz w:val="24"/>
          <w:szCs w:val="24"/>
          <w:lang w:eastAsia="en-US"/>
        </w:rPr>
      </w:pPr>
      <w:r>
        <w:rPr>
          <w:rFonts w:cs="Times New Roman" w:ascii="Times New Roman" w:hAnsi="Times New Roman"/>
          <w:sz w:val="24"/>
          <w:szCs w:val="24"/>
          <w:lang w:eastAsia="en-US"/>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 xml:space="preserve">LĒMUMA PIEŅEMŠANA UN PAZIŅOŠANA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 par uzvarētāju iepirkumā atzīst Pretendentu, kurš izraudzīts atbilstoši iepirkuma Nolikumā noteiktajām prasībām un kritērijiem un nav izslēdzams no dalības iepirkumā saskaņā ar PIL 9.panta astoto daļu.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 triju darbdienu laikā pēc lēmuma pieņemšanas vienlaikus informē visus Pretendentus par pieņemto lēmumu attiecībā uz iepirkuma līguma slēgšanu.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Lēmumā, ar kuru tiek noteikts uzvarētājs, papildus norāda visus noraidītos Pretendentus un to noraidīšanas iemeslus, visu Pretendentu piedāvātās līgumcenas un par uzvarētāju noteiktā Pretendenta salīdzinošās priekšrocības, ņemot vērā PIL 14.panta otrās daļas noteikumus.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 nav tiesīga atklāt informāciju, kuru tam kā komercnoslēpumu vai konfidenciālu informāciju nodevuši Pretendenti.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Ja iesniegti Nolikumā noteiktajām prasībām neatbilstoši piedāvājumi vai vispār nav iesniegti piedāvājumi, Komisija pieņem lēmumu izbeigt iepirkumu bez rezultāta.</w:t>
      </w:r>
    </w:p>
    <w:p>
      <w:pPr>
        <w:pStyle w:val="Normal"/>
        <w:spacing w:lineRule="auto" w:line="240" w:before="0" w:after="0"/>
        <w:jc w:val="both"/>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r>
    </w:p>
    <w:p>
      <w:pPr>
        <w:pStyle w:val="Normal"/>
        <w:spacing w:lineRule="auto" w:line="240" w:before="0" w:after="0"/>
        <w:jc w:val="both"/>
        <w:rPr>
          <w:rFonts w:ascii="Times New Roman" w:hAnsi="Times New Roman" w:eastAsia="Calibri" w:cs="Times New Roman"/>
          <w:bCs/>
          <w:sz w:val="24"/>
          <w:szCs w:val="24"/>
          <w:lang w:eastAsia="en-US"/>
        </w:rPr>
      </w:pPr>
      <w:r>
        <w:rPr>
          <w:rFonts w:eastAsia="Calibri" w:cs="Times New Roman" w:ascii="Times New Roman" w:hAnsi="Times New Roman"/>
          <w:bCs/>
          <w:sz w:val="24"/>
          <w:szCs w:val="24"/>
          <w:lang w:eastAsia="en-US"/>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LĪGUMA SLĒGŠANA</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Pasūtītājs slēdz iepirkuma līgumu saskaņā ar PIL 60.panta pirmās, otrās, trešās, ceturtās un piektās daļas prasībām ar Komisijas izraudzīto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 xml:space="preserve">retendentu.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Pasūtītājs ir tiesīgs pārtraukt iepirkumu un neslēgt iepirkuma līgumu, ja tam ir objektīvs pamatojums. </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bookmarkStart w:id="55" w:name="_Hlk103272783"/>
      <w:r>
        <w:rPr>
          <w:rFonts w:eastAsia="Calibri" w:cs="Times New Roman" w:ascii="Times New Roman" w:hAnsi="Times New Roman"/>
          <w:bCs/>
          <w:kern w:val="2"/>
          <w:lang w:eastAsia="en-US"/>
        </w:rPr>
        <w:t xml:space="preserve">Pretendentam, kuram piešķirtas līguma slēgšanas tiesības, uz norādīto e-pasta adresi Pasūtītājs nosūta līgumu saskaņošanai un abas puses vienojas par līguma parakstīšanu. Pretendentam līgums jāsaskaņo ne vēlāk kā 5 (piecu) darba dienu laikā no Pasūtītāja nosūtītā uzaicinājuma to saskaņot, vai jāvienojas par citu termiņu. </w:t>
      </w:r>
      <w:bookmarkEnd w:id="55"/>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Ja Pretendents, kuram piešķirtas iepirkuma līguma slēgšanas tiesības, atsakās slēgt līgumu ar Pasūtītāju, Komisija ir tiesīga pieņemt lēmumu līguma slēgšanas tiesības piešķirt nākamajam Pretendentam, kurš iesniedzis prasībām atbilstošu piedāvājumu, vai pārtraukt iepirkumu, neizvēloties nevienu piedāvājumu. </w:t>
      </w:r>
      <w:bookmarkStart w:id="56" w:name="_Hlk43930609"/>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Ja pieņemts lēmums līguma slēgšanas tiesības piešķirt nākamajam Pretendentam, kurš piedāvājis saimnieciski visizdevīgāko piedāvājumu, bet tas atsakās slēgt iepirkuma līgumu, Komisija pieņem lēmumu pārtraukt iepirkumu, neizvēloties nevienu piedāvājumu</w:t>
      </w:r>
      <w:bookmarkEnd w:id="56"/>
      <w:r>
        <w:rPr>
          <w:rFonts w:eastAsia="Calibri" w:cs="Times New Roman" w:ascii="Times New Roman" w:hAnsi="Times New Roman"/>
          <w:bCs/>
          <w:kern w:val="2"/>
          <w:lang w:eastAsia="en-US"/>
        </w:rPr>
        <w:t>.</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Līgums tiks slēgts saskaņā ar pievienoto līgumprojektu (4.pielikums). Pretendents par līgumprojektu jautājumus uzdod pirms piedāvājuma iesniegšanas. Slēdzot līgumu ar jau uzvarējušo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 xml:space="preserve">retendentu, iebildumi par līguma nosacījumiem netiks ņemti vērā.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r>
        <w:rPr>
          <w:rFonts w:eastAsia="Calibri" w:cs="Times New Roman" w:ascii="Times New Roman" w:hAnsi="Times New Roman"/>
          <w:b/>
          <w:bCs/>
          <w:kern w:val="2"/>
          <w:sz w:val="24"/>
          <w:szCs w:val="24"/>
          <w:lang w:eastAsia="en-US"/>
        </w:rPr>
        <w:t>IEPIRKUMA KOMISIJAS TIESĪBAS UN PIENĀKUMI</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Komisijai ir pienākums pārbaudīt un vērtēt saņemtos piedāvājumus saskaņā ar PIL un Nolikuma prasībām.</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Komisijai ir pienākums sniegt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 xml:space="preserve">retendentam papildus informāciju attiecīga pieprasījuma saņemšanas gadījumā, kā arī informēt visus interesentus par sniegto papildu informāciju (ievietojot to Pasūtītāja mājas lapā) un vienlaicīgi informēt visus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retendentus par Konkursa rezultātiem pēc lēmuma pieņemšanas.</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Komisijai ir tiesības pārbaudīt pretendenta iesniegto informāciju publiski pieejamās datu bāzēs vai kompetentās institūcijās, kā arī pieprasīt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 xml:space="preserve">retendentam precizēt iesniegto informāciju, ja tas nepieciešams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retendentu atlases veikšanai vai piedāvājumu vērtēšanai.</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Komija piedāvājumu vērtēšanas laikā ir tiesīga pieprasīt, lai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retendents uzrāda dokumenta oriģinālu vai iesniedz apliecinātu dokumenta kopiju, ja tai rodas šaubas par dokumenta autentiskumu.</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Komisija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retendentu atlasē un piedāvājumu vērtēšanā ir tiesīga pieaicināt ekspertus.</w:t>
      </w:r>
    </w:p>
    <w:p>
      <w:pPr>
        <w:pStyle w:val="ListParagraph"/>
        <w:numPr>
          <w:ilvl w:val="1"/>
          <w:numId w:val="4"/>
        </w:numPr>
        <w:spacing w:lineRule="auto" w:line="259"/>
        <w:ind w:hanging="432"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Komisijai ir tiesības izdarīt grozījumus Nolikumā, nosūtot par to paziņojumu Iepirkumu uzraudzības birojam, kas tiek publicēts PIL noteiktajā kārtībā.</w:t>
      </w:r>
    </w:p>
    <w:p>
      <w:pPr>
        <w:pStyle w:val="Normal"/>
        <w:numPr>
          <w:ilvl w:val="0"/>
          <w:numId w:val="4"/>
        </w:numPr>
        <w:spacing w:lineRule="auto" w:line="240" w:before="0" w:after="0"/>
        <w:jc w:val="center"/>
        <w:rPr>
          <w:rFonts w:ascii="Times New Roman" w:hAnsi="Times New Roman" w:eastAsia="Calibri" w:cs="Times New Roman"/>
          <w:b/>
          <w:bCs/>
          <w:kern w:val="2"/>
          <w:sz w:val="24"/>
          <w:szCs w:val="24"/>
          <w:lang w:eastAsia="en-US"/>
        </w:rPr>
      </w:pPr>
      <w:bookmarkStart w:id="57" w:name="_Toc64201433"/>
      <w:bookmarkStart w:id="58" w:name="_Toc64201628"/>
      <w:bookmarkStart w:id="59" w:name="_Toc64264077"/>
      <w:bookmarkStart w:id="60" w:name="_Toc65454246"/>
      <w:bookmarkStart w:id="61" w:name="_Toc65862776"/>
      <w:bookmarkStart w:id="62" w:name="_Toc65956615"/>
      <w:bookmarkStart w:id="63" w:name="_Toc65967974"/>
      <w:bookmarkStart w:id="64" w:name="_Toc72766071"/>
      <w:bookmarkStart w:id="65" w:name="_Toc73116771"/>
      <w:bookmarkStart w:id="66" w:name="_Toc79552071"/>
      <w:bookmarkStart w:id="67" w:name="_Toc141341767"/>
      <w:bookmarkStart w:id="68" w:name="_Toc141785298"/>
      <w:bookmarkStart w:id="69" w:name="_Toc377540482"/>
      <w:bookmarkStart w:id="70" w:name="_Toc354218004"/>
      <w:bookmarkStart w:id="71" w:name="_Toc64201285"/>
      <w:r>
        <w:rPr>
          <w:rFonts w:eastAsia="Calibri" w:cs="Times New Roman" w:ascii="Times New Roman" w:hAnsi="Times New Roman"/>
          <w:b/>
          <w:bCs/>
          <w:kern w:val="2"/>
          <w:sz w:val="24"/>
          <w:szCs w:val="24"/>
          <w:lang w:eastAsia="en-US"/>
        </w:rPr>
        <w:t>P</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eastAsia="Calibri" w:cs="Times New Roman" w:ascii="Times New Roman" w:hAnsi="Times New Roman"/>
          <w:b/>
          <w:bCs/>
          <w:kern w:val="2"/>
          <w:sz w:val="24"/>
          <w:szCs w:val="24"/>
          <w:lang w:eastAsia="en-US"/>
        </w:rPr>
        <w:t>RETENDENTA TIESĪBAS UN PIENĀKUMI</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pienākums pirms piedāvājuma sagatavošanas rūpīgi iepazīties ar visiem Nolikuma un tā pielikumu nosacījumiem, sagatavot piedāvājumu, tajā ietverot visu prasīto informāciju, kas nepieciešama Nolikuma prasību pārbaudei.</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tiesības, ievērojot PIL noteikto kārtību, iesniegt Pasūtītājam papildu informācijas pieprasījumus un iesniegumus, kā arī saņemt uz tiem atbildes PIL noteiktajos termiņos.</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tiesības mainīt un papildināt iesniegto piedāvājumu līdz piedāvājumu iesniegšanas termiņa beigām.</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pienākums Komisijas noteiktajā termiņā sniegt papildu informāciju vai paskaidrojumus par piedāvājumu, kā arī iesniegt PIL un Nolikumā noteiktos dokumentus, ja tas noteikts Nolikumā vai Komisija to pieprasa.</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 xml:space="preserve">Pretendentam ir pienākums iesniegt apliecinājumu par piedāvājuma nodrošinājuma derīguma termiņa pagarinājumu 5 (piecu) darba dienu laikā pēc Komisijas rakstiska pieprasījuma, ja Komisija pieņem lēmumu par Konkursa termiņa pagarinājumu un </w:t>
      </w:r>
      <w:r>
        <w:rPr>
          <w:rFonts w:eastAsia="Times New Roman" w:cs="Times New Roman" w:ascii="Times New Roman" w:hAnsi="Times New Roman"/>
          <w:lang w:eastAsia="en-US"/>
        </w:rPr>
        <w:t>P</w:t>
      </w:r>
      <w:r>
        <w:rPr>
          <w:rFonts w:eastAsia="Calibri" w:cs="Times New Roman" w:ascii="Times New Roman" w:hAnsi="Times New Roman"/>
          <w:bCs/>
          <w:kern w:val="2"/>
          <w:lang w:eastAsia="en-US"/>
        </w:rPr>
        <w:t>retendents vēlas turpināt dalību Konkursā.</w:t>
      </w:r>
    </w:p>
    <w:p>
      <w:pPr>
        <w:pStyle w:val="ListParagraph"/>
        <w:numPr>
          <w:ilvl w:val="1"/>
          <w:numId w:val="4"/>
        </w:numPr>
        <w:tabs>
          <w:tab w:val="clear" w:pos="720"/>
          <w:tab w:val="left" w:pos="180" w:leader="none"/>
        </w:tabs>
        <w:spacing w:lineRule="auto" w:line="259"/>
        <w:ind w:hanging="574" w:start="142"/>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t>Pretendentam ir tiesības iesniegt iesniegumu par Nolikumā iekļautajām prasībām vai pārsūdzēt Komisijas pieņemto lēmumu PIL noteiktajā kārtībā.</w:t>
      </w:r>
    </w:p>
    <w:p>
      <w:pPr>
        <w:pStyle w:val="ListParagraph"/>
        <w:spacing w:lineRule="auto" w:line="259"/>
        <w:ind w:start="0"/>
        <w:jc w:val="both"/>
        <w:rPr>
          <w:rFonts w:ascii="Times New Roman" w:hAnsi="Times New Roman" w:eastAsia="Calibri" w:cs="Times New Roman"/>
          <w:bCs/>
          <w:kern w:val="2"/>
          <w:lang w:eastAsia="en-US"/>
        </w:rPr>
      </w:pPr>
      <w:r>
        <w:rPr>
          <w:rFonts w:eastAsia="Calibri" w:cs="Times New Roman" w:ascii="Times New Roman" w:hAnsi="Times New Roman"/>
          <w:bCs/>
          <w:kern w:val="2"/>
          <w:lang w:eastAsia="en-US"/>
        </w:rPr>
      </w:r>
      <w:bookmarkStart w:id="72" w:name="_Hlk152756206"/>
      <w:bookmarkStart w:id="73" w:name="_Hlk152756206"/>
      <w:bookmarkEnd w:id="73"/>
    </w:p>
    <w:p>
      <w:pPr>
        <w:pStyle w:val="Normal"/>
        <w:spacing w:lineRule="auto" w:line="240" w:before="0" w:after="0"/>
        <w:ind w:end="-142"/>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p>
      <w:pPr>
        <w:pStyle w:val="Normal"/>
        <w:tabs>
          <w:tab w:val="clear" w:pos="720"/>
          <w:tab w:val="left" w:pos="426" w:leader="none"/>
        </w:tabs>
        <w:spacing w:lineRule="auto" w:line="240" w:before="0" w:after="0"/>
        <w:jc w:val="center"/>
        <w:rPr>
          <w:rFonts w:ascii="Times New Roman" w:hAnsi="Times New Roman"/>
          <w:b/>
          <w:bCs/>
          <w:sz w:val="24"/>
          <w:szCs w:val="24"/>
        </w:rPr>
      </w:pPr>
      <w:r>
        <w:rPr>
          <w:rFonts w:ascii="Times New Roman" w:hAnsi="Times New Roman"/>
          <w:b/>
          <w:bCs/>
          <w:sz w:val="24"/>
          <w:szCs w:val="24"/>
        </w:rPr>
        <w:t>11.PIELIKUMI</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 xml:space="preserve">1. pielikums. Pieteikums. </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2. pielikums. Tehniskā specifikācija (</w:t>
      </w:r>
      <w:r>
        <w:rPr>
          <w:rFonts w:ascii="Times New Roman" w:hAnsi="Times New Roman"/>
          <w:i/>
        </w:rPr>
        <w:t>darba uzdevums</w:t>
      </w:r>
      <w:r>
        <w:rPr>
          <w:rFonts w:ascii="Times New Roman" w:hAnsi="Times New Roman"/>
        </w:rPr>
        <w:t>).</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2.1.pielikums Tehniskās specifikācija (tāme).</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3. pielikums. Finanšu piedāvājums.</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4. pielikums. Līgumprojekts.</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 xml:space="preserve">5. pielikums. Informācija par apakšuzņēmējiem </w:t>
      </w:r>
      <w:r>
        <w:rPr>
          <w:rFonts w:eastAsia="Calibri" w:cs="Times New Roman" w:ascii="Times New Roman" w:hAnsi="Times New Roman"/>
          <w:i/>
          <w:iCs/>
          <w:color w:val="000000"/>
          <w:lang w:bidi="lv-LV"/>
        </w:rPr>
        <w:t>(iesniedz, ja attiecināms).</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6. pielikums. Apliecinājums par neatkarīgi izstrādātu piedāvājumu.</w:t>
      </w:r>
    </w:p>
    <w:p>
      <w:pPr>
        <w:pStyle w:val="Normal"/>
        <w:tabs>
          <w:tab w:val="clear" w:pos="720"/>
          <w:tab w:val="left" w:pos="426" w:leader="none"/>
        </w:tabs>
        <w:spacing w:lineRule="auto" w:line="240" w:before="0" w:after="0"/>
        <w:rPr>
          <w:rFonts w:ascii="Times New Roman" w:hAnsi="Times New Roman"/>
        </w:rPr>
      </w:pPr>
      <w:r>
        <w:rPr>
          <w:rFonts w:ascii="Times New Roman" w:hAnsi="Times New Roman"/>
        </w:rPr>
        <w:t>7. pielikums. O</w:t>
      </w:r>
      <w:r>
        <w:rPr>
          <w:rFonts w:eastAsia="Calibri" w:cs="Times New Roman" w:ascii="Times New Roman" w:hAnsi="Times New Roman"/>
          <w:b w:val="false"/>
          <w:bCs w:val="false"/>
          <w:kern w:val="2"/>
          <w:u w:val="none"/>
          <w:lang w:eastAsia="en-US"/>
        </w:rPr>
        <w:t>bjektu apsekošanas veidlapa.</w:t>
      </w:r>
    </w:p>
    <w:p>
      <w:pPr>
        <w:pStyle w:val="Normal"/>
        <w:tabs>
          <w:tab w:val="clear" w:pos="720"/>
          <w:tab w:val="left" w:pos="426" w:leader="none"/>
        </w:tabs>
        <w:spacing w:lineRule="auto" w:line="240" w:before="0" w:after="0"/>
        <w:rPr>
          <w:rFonts w:ascii="Times New Roman" w:hAnsi="Times New Roman"/>
        </w:rPr>
      </w:pPr>
      <w:r>
        <w:rPr>
          <w:rFonts w:eastAsia="Calibri" w:cs="Times New Roman" w:ascii="Times New Roman" w:hAnsi="Times New Roman"/>
          <w:b w:val="false"/>
          <w:bCs w:val="false"/>
          <w:kern w:val="2"/>
          <w:u w:val="none"/>
          <w:lang w:eastAsia="en-US"/>
        </w:rPr>
        <w:t>8. pielikums.  Apliecinājums par interešu konflikta neesamību.</w:t>
      </w:r>
    </w:p>
    <w:p>
      <w:pPr>
        <w:pStyle w:val="Normal"/>
        <w:tabs>
          <w:tab w:val="clear" w:pos="720"/>
          <w:tab w:val="left" w:pos="426" w:leader="none"/>
        </w:tabs>
        <w:spacing w:lineRule="auto" w:line="240" w:before="0" w:after="0"/>
        <w:rPr>
          <w:rFonts w:ascii="Times New Roman" w:hAnsi="Times New Roman"/>
          <w:sz w:val="24"/>
          <w:szCs w:val="24"/>
        </w:rPr>
      </w:pPr>
      <w:r>
        <w:rPr>
          <w:rFonts w:ascii="Times New Roman" w:hAnsi="Times New Roman"/>
          <w:sz w:val="24"/>
          <w:szCs w:val="24"/>
        </w:rPr>
      </w:r>
    </w:p>
    <w:sectPr>
      <w:footerReference w:type="even" r:id="rId9"/>
      <w:footerReference w:type="default" r:id="rId10"/>
      <w:footerReference w:type="first" r:id="rId11"/>
      <w:footnotePr>
        <w:numFmt w:val="decimal"/>
      </w:footnotePr>
      <w:type w:val="nextPage"/>
      <w:pgSz w:w="12240" w:h="15840"/>
      <w:pgMar w:left="1725" w:right="850" w:gutter="0" w:header="0" w:top="1134" w:footer="720" w:bottom="1134"/>
      <w:pgNumType w:start="1"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Bold">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Arial">
    <w:charset w:val="cc" w:characterSet="windows-1251"/>
    <w:family w:val="roman"/>
    <w:pitch w:val="variable"/>
  </w:font>
  <w:font w:name="Segoe UI">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roman"/>
    <w:pitch w:val="variable"/>
  </w:font>
  <w:font w:name="Times New Roman">
    <w:charset w:val="01"/>
    <w:family w:val="roman"/>
    <w:pitch w:val="variable"/>
  </w:font>
  <w:font w:name="Courier New">
    <w:charset w:val="01"/>
    <w:family w:val="modern"/>
    <w:pitch w:val="fixed"/>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Times New Roman" w:hAnsi="Times New Roman" w:cs="Times New Roman"/>
        </w:rPr>
      </w:pPr>
      <w:r>
        <w:rPr>
          <w:rStyle w:val="Vresrakstzmes"/>
        </w:rPr>
        <w:footnoteRef/>
      </w:r>
      <w:r>
        <w:rPr/>
        <w:t xml:space="preserve"> </w:t>
      </w:r>
      <w:r>
        <w:rPr>
          <w:rFonts w:cs="Times New Roman" w:ascii="Times New Roman" w:hAnsi="Times New Roman"/>
        </w:rPr>
        <w:t xml:space="preserve">Pamatojums iepirkuma nedalīšanai daļās: iegādājamā prece nav sadalāma komponentēs.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b w:val="false"/>
        <w:lang w:val="x-none"/>
      </w:rPr>
    </w:lvl>
    <w:lvl w:ilvl="1">
      <w:start w:val="1"/>
      <w:numFmt w:val="decimal"/>
      <w:lvlText w:val="%1.%2."/>
      <w:lvlJc w:val="start"/>
      <w:pPr>
        <w:tabs>
          <w:tab w:val="num" w:pos="0"/>
        </w:tabs>
        <w:ind w:start="432" w:hanging="432"/>
      </w:pPr>
      <w:rPr>
        <w:b w:val="false"/>
        <w:color w:val="auto"/>
      </w:rPr>
    </w:lvl>
    <w:lvl w:ilvl="2">
      <w:start w:val="1"/>
      <w:numFmt w:val="decimal"/>
      <w:lvlText w:val="%1.%2.%3."/>
      <w:lvlJc w:val="start"/>
      <w:pPr>
        <w:tabs>
          <w:tab w:val="num" w:pos="0"/>
        </w:tabs>
        <w:ind w:start="3056" w:hanging="504"/>
      </w:pPr>
      <w:rPr>
        <w:sz w:val="24"/>
        <w:i w:val="false"/>
        <w:b w:val="false"/>
        <w:szCs w:val="24"/>
        <w:color w:val="auto"/>
      </w:rPr>
    </w:lvl>
    <w:lvl w:ilvl="3">
      <w:start w:val="1"/>
      <w:numFmt w:val="decimal"/>
      <w:lvlText w:val="%1.%2.%3.%4."/>
      <w:lvlJc w:val="start"/>
      <w:pPr>
        <w:tabs>
          <w:tab w:val="num" w:pos="0"/>
        </w:tabs>
        <w:ind w:start="1728" w:hanging="648"/>
      </w:pPr>
      <w:rPr>
        <w:b w:val="false"/>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bullet"/>
      <w:lvlText w:val="-"/>
      <w:lvlJc w:val="start"/>
      <w:pPr>
        <w:tabs>
          <w:tab w:val="num" w:pos="0"/>
        </w:tabs>
        <w:ind w:start="786" w:hanging="360"/>
      </w:pPr>
      <w:rPr>
        <w:rFonts w:ascii="Times New Roman" w:hAnsi="Times New Roman" w:cs="Times New Roman" w:hint="default"/>
        <w:vertAlign w:val="baseline"/>
        <w:position w:val="0"/>
        <w:sz w:val="22"/>
        <w:sz w:val="22"/>
      </w:rPr>
    </w:lvl>
    <w:lvl w:ilvl="1">
      <w:start w:val="1"/>
      <w:numFmt w:val="bullet"/>
      <w:lvlText w:val="o"/>
      <w:lvlJc w:val="start"/>
      <w:pPr>
        <w:tabs>
          <w:tab w:val="num" w:pos="0"/>
        </w:tabs>
        <w:ind w:start="1506" w:hanging="360"/>
      </w:pPr>
      <w:rPr>
        <w:rFonts w:ascii="Courier New" w:hAnsi="Courier New" w:cs="Courier New" w:hint="default"/>
        <w:vertAlign w:val="baseline"/>
        <w:position w:val="0"/>
        <w:sz w:val="22"/>
        <w:sz w:val="22"/>
      </w:rPr>
    </w:lvl>
    <w:lvl w:ilvl="2">
      <w:start w:val="1"/>
      <w:numFmt w:val="bullet"/>
      <w:lvlText w:val="▪"/>
      <w:lvlJc w:val="start"/>
      <w:pPr>
        <w:tabs>
          <w:tab w:val="num" w:pos="0"/>
        </w:tabs>
        <w:ind w:start="2226" w:hanging="360"/>
      </w:pPr>
      <w:rPr>
        <w:rFonts w:ascii="Noto Sans Symbols" w:hAnsi="Noto Sans Symbols" w:cs="Noto Sans Symbols" w:hint="default"/>
        <w:vertAlign w:val="baseline"/>
        <w:position w:val="0"/>
        <w:sz w:val="22"/>
        <w:sz w:val="22"/>
      </w:rPr>
    </w:lvl>
    <w:lvl w:ilvl="3">
      <w:start w:val="1"/>
      <w:numFmt w:val="bullet"/>
      <w:lvlText w:val="●"/>
      <w:lvlJc w:val="start"/>
      <w:pPr>
        <w:tabs>
          <w:tab w:val="num" w:pos="0"/>
        </w:tabs>
        <w:ind w:start="2946" w:hanging="360"/>
      </w:pPr>
      <w:rPr>
        <w:rFonts w:ascii="Noto Sans Symbols" w:hAnsi="Noto Sans Symbols" w:cs="Noto Sans Symbols" w:hint="default"/>
        <w:vertAlign w:val="baseline"/>
        <w:position w:val="0"/>
        <w:sz w:val="22"/>
        <w:sz w:val="22"/>
      </w:rPr>
    </w:lvl>
    <w:lvl w:ilvl="4">
      <w:start w:val="1"/>
      <w:numFmt w:val="bullet"/>
      <w:lvlText w:val="o"/>
      <w:lvlJc w:val="start"/>
      <w:pPr>
        <w:tabs>
          <w:tab w:val="num" w:pos="0"/>
        </w:tabs>
        <w:ind w:start="3666" w:hanging="360"/>
      </w:pPr>
      <w:rPr>
        <w:rFonts w:ascii="Courier New" w:hAnsi="Courier New" w:cs="Courier New" w:hint="default"/>
        <w:vertAlign w:val="baseline"/>
        <w:position w:val="0"/>
        <w:sz w:val="22"/>
        <w:sz w:val="22"/>
      </w:rPr>
    </w:lvl>
    <w:lvl w:ilvl="5">
      <w:start w:val="1"/>
      <w:numFmt w:val="bullet"/>
      <w:lvlText w:val="▪"/>
      <w:lvlJc w:val="start"/>
      <w:pPr>
        <w:tabs>
          <w:tab w:val="num" w:pos="0"/>
        </w:tabs>
        <w:ind w:start="4386" w:hanging="360"/>
      </w:pPr>
      <w:rPr>
        <w:rFonts w:ascii="Noto Sans Symbols" w:hAnsi="Noto Sans Symbols" w:cs="Noto Sans Symbols" w:hint="default"/>
        <w:vertAlign w:val="baseline"/>
        <w:position w:val="0"/>
        <w:sz w:val="22"/>
        <w:sz w:val="22"/>
      </w:rPr>
    </w:lvl>
    <w:lvl w:ilvl="6">
      <w:start w:val="1"/>
      <w:numFmt w:val="bullet"/>
      <w:lvlText w:val="●"/>
      <w:lvlJc w:val="start"/>
      <w:pPr>
        <w:tabs>
          <w:tab w:val="num" w:pos="0"/>
        </w:tabs>
        <w:ind w:start="5106" w:hanging="360"/>
      </w:pPr>
      <w:rPr>
        <w:rFonts w:ascii="Noto Sans Symbols" w:hAnsi="Noto Sans Symbols" w:cs="Noto Sans Symbols" w:hint="default"/>
        <w:vertAlign w:val="baseline"/>
        <w:position w:val="0"/>
        <w:sz w:val="22"/>
        <w:sz w:val="22"/>
      </w:rPr>
    </w:lvl>
    <w:lvl w:ilvl="7">
      <w:start w:val="1"/>
      <w:numFmt w:val="bullet"/>
      <w:lvlText w:val="o"/>
      <w:lvlJc w:val="start"/>
      <w:pPr>
        <w:tabs>
          <w:tab w:val="num" w:pos="0"/>
        </w:tabs>
        <w:ind w:start="5826" w:hanging="360"/>
      </w:pPr>
      <w:rPr>
        <w:rFonts w:ascii="Courier New" w:hAnsi="Courier New" w:cs="Courier New" w:hint="default"/>
        <w:vertAlign w:val="baseline"/>
        <w:position w:val="0"/>
        <w:sz w:val="22"/>
        <w:sz w:val="22"/>
      </w:rPr>
    </w:lvl>
    <w:lvl w:ilvl="8">
      <w:start w:val="1"/>
      <w:numFmt w:val="bullet"/>
      <w:lvlText w:val="▪"/>
      <w:lvlJc w:val="start"/>
      <w:pPr>
        <w:tabs>
          <w:tab w:val="num" w:pos="0"/>
        </w:tabs>
        <w:ind w:start="6546" w:hanging="360"/>
      </w:pPr>
      <w:rPr>
        <w:rFonts w:ascii="Noto Sans Symbols" w:hAnsi="Noto Sans Symbols" w:cs="Noto Sans Symbols" w:hint="default"/>
        <w:vertAlign w:val="baseline"/>
        <w:position w:val="0"/>
        <w:sz w:val="22"/>
        <w:sz w:val="22"/>
      </w:rPr>
    </w:lvl>
  </w:abstractNum>
  <w:abstractNum w:abstractNumId="3">
    <w:lvl w:ilvl="0">
      <w:start w:val="1"/>
      <w:numFmt w:val="decimal"/>
      <w:lvlText w:val="%1."/>
      <w:lvlJc w:val="start"/>
      <w:pPr>
        <w:tabs>
          <w:tab w:val="num" w:pos="567"/>
        </w:tabs>
        <w:ind w:start="0" w:hanging="0"/>
      </w:pPr>
      <w:rPr>
        <w:smallCaps w:val="false"/>
        <w:caps w:val="false"/>
        <w:outline w:val="false"/>
        <w:dstrike w:val="false"/>
        <w:strike w:val="false"/>
        <w:vertAlign w:val="baseline"/>
        <w:position w:val="0"/>
        <w:sz w:val="22"/>
        <w:sz w:val="22"/>
        <w:spacing w:val="0"/>
        <w:i w:val="false"/>
        <w:shadow w:val="false"/>
        <w:u w:val="none"/>
        <w:b/>
        <w:kern w:val="0"/>
        <w:effect w:val="none"/>
        <w:iCs w:val="false"/>
        <w:bCs/>
        <w:em w:val="none"/>
        <w:emboss w:val="false"/>
        <w:imprint w:val="false"/>
        <w:vanish w:val="false"/>
        <w:rFonts w:ascii="Times New Roman" w:hAnsi="Times New Roman" w:cs="Times New Roman"/>
      </w:rPr>
    </w:lvl>
    <w:lvl w:ilvl="1">
      <w:start w:val="1"/>
      <w:numFmt w:val="decimal"/>
      <w:lvlText w:val="%1.%2."/>
      <w:lvlJc w:val="start"/>
      <w:pPr>
        <w:tabs>
          <w:tab w:val="num" w:pos="360"/>
        </w:tabs>
        <w:ind w:start="360" w:hanging="360"/>
      </w:pPr>
      <w:rPr>
        <w:i w:val="false"/>
        <w:b w:val="false"/>
        <w:color w:val="auto"/>
      </w:rPr>
    </w:lvl>
    <w:lvl w:ilvl="2">
      <w:start w:val="1"/>
      <w:numFmt w:val="decimal"/>
      <w:lvlText w:val="%1.%2.%3."/>
      <w:lvlJc w:val="start"/>
      <w:pPr>
        <w:tabs>
          <w:tab w:val="num" w:pos="4123"/>
        </w:tabs>
        <w:ind w:start="4123" w:hanging="720"/>
      </w:pPr>
      <w:rPr>
        <w:dstrike w:val="false"/>
        <w:strike w:val="false"/>
        <w:sz w:val="22"/>
        <w:i w:val="false"/>
        <w:b w:val="false"/>
        <w:szCs w:val="22"/>
        <w:rFonts w:ascii="Times New Roman" w:hAnsi="Times New Roman" w:cs="Times New Roman"/>
        <w:color w:val="auto"/>
      </w:rPr>
    </w:lvl>
    <w:lvl w:ilvl="3">
      <w:start w:val="1"/>
      <w:numFmt w:val="decimal"/>
      <w:lvlText w:val="%1.%2.%3.%4."/>
      <w:lvlJc w:val="start"/>
      <w:pPr>
        <w:tabs>
          <w:tab w:val="num" w:pos="1980"/>
        </w:tabs>
        <w:ind w:start="1980" w:hanging="720"/>
      </w:pPr>
      <w:rPr>
        <w:dstrike w:val="false"/>
        <w:strike w:val="false"/>
        <w:sz w:val="22"/>
        <w:i w:val="false"/>
        <w:b w:val="false"/>
        <w:szCs w:val="22"/>
        <w:color w:val="auto"/>
      </w:rPr>
    </w:lvl>
    <w:lvl w:ilvl="4">
      <w:start w:val="1"/>
      <w:numFmt w:val="decimal"/>
      <w:lvlText w:val="%1.%2.%3.%4.%5."/>
      <w:lvlJc w:val="start"/>
      <w:pPr>
        <w:tabs>
          <w:tab w:val="num" w:pos="3600"/>
        </w:tabs>
        <w:ind w:start="3600" w:hanging="1080"/>
      </w:pPr>
      <w:rPr>
        <w:sz w:val="22"/>
        <w:szCs w:val="22"/>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decimal"/>
      <w:lvlText w:val="%1."/>
      <w:lvlJc w:val="start"/>
      <w:pPr>
        <w:tabs>
          <w:tab w:val="num" w:pos="0"/>
        </w:tabs>
        <w:ind w:start="360" w:hanging="360"/>
      </w:pPr>
      <w:rPr>
        <w:b/>
        <w:bCs/>
        <w:rFonts w:ascii="Times New Roman" w:hAnsi="Times New Roman" w:cs="Times New Roman"/>
      </w:rPr>
    </w:lvl>
    <w:lvl w:ilvl="1">
      <w:start w:val="1"/>
      <w:numFmt w:val="decimal"/>
      <w:lvlText w:val="%1.%2."/>
      <w:lvlJc w:val="start"/>
      <w:pPr>
        <w:tabs>
          <w:tab w:val="num" w:pos="0"/>
        </w:tabs>
        <w:ind w:start="574" w:hanging="432"/>
      </w:pPr>
      <w:rPr>
        <w:rFonts w:ascii="Times New Roman" w:hAnsi="Times New Roman" w:cs="Times New Roman"/>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start"/>
    </w:pPr>
    <w:rPr>
      <w:rFonts w:ascii="Calibri" w:hAnsi="Calibri" w:eastAsia="Calibri" w:cs="Tahoma"/>
      <w:color w:val="auto"/>
      <w:kern w:val="0"/>
      <w:sz w:val="22"/>
      <w:szCs w:val="22"/>
      <w:lang w:val="lv-LV" w:eastAsia="lv-LV" w:bidi="ar-SA"/>
    </w:rPr>
  </w:style>
  <w:style w:type="paragraph" w:styleId="Heading1">
    <w:name w:val="Heading 1"/>
    <w:basedOn w:val="Normal"/>
    <w:next w:val="Normal"/>
    <w:link w:val="Heading1Char"/>
    <w:qFormat/>
    <w:pPr>
      <w:keepNext w:val="true"/>
      <w:numPr>
        <w:ilvl w:val="0"/>
        <w:numId w:val="3"/>
      </w:numPr>
      <w:spacing w:lineRule="auto" w:line="240" w:before="0" w:after="0"/>
      <w:outlineLvl w:val="0"/>
    </w:pPr>
    <w:rPr>
      <w:rFonts w:ascii="Times New Roman Bold" w:hAnsi="Times New Roman Bold" w:eastAsia="Times New Roman" w:cs="Times New Roman"/>
      <w:b/>
      <w:sz w:val="24"/>
      <w:szCs w:val="20"/>
      <w:lang w:eastAsia="en-US"/>
    </w:rPr>
  </w:style>
  <w:style w:type="paragraph" w:styleId="Heading2">
    <w:name w:val="Heading 2"/>
    <w:basedOn w:val="Normal"/>
    <w:next w:val="Normal"/>
    <w:link w:val="Heading2Char"/>
    <w:qFormat/>
    <w:pPr>
      <w:keepNext w:val="true"/>
      <w:widowControl w:val="false"/>
      <w:numPr>
        <w:ilvl w:val="0"/>
        <w:numId w:val="0"/>
      </w:numPr>
      <w:spacing w:lineRule="auto" w:line="240" w:before="0" w:after="0"/>
      <w:jc w:val="both"/>
      <w:outlineLvl w:val="1"/>
    </w:pPr>
    <w:rPr>
      <w:rFonts w:ascii="Times New Roman" w:hAnsi="Times New Roman" w:eastAsia="Times New Roman" w:cs="Times New Roman"/>
      <w:b/>
      <w:bCs/>
      <w:sz w:val="24"/>
      <w:szCs w:val="28"/>
      <w:lang w:eastAsia="en-US"/>
    </w:rPr>
  </w:style>
  <w:style w:type="paragraph" w:styleId="Heading3">
    <w:name w:val="Heading 3"/>
    <w:basedOn w:val="Normal"/>
    <w:next w:val="Normal"/>
    <w:link w:val="Heading3Char"/>
    <w:qFormat/>
    <w:pPr>
      <w:keepNext w:val="true"/>
      <w:keepLines/>
      <w:numPr>
        <w:ilvl w:val="0"/>
        <w:numId w:val="0"/>
      </w:numPr>
      <w:spacing w:before="40" w:after="0"/>
      <w:outlineLvl w:val="2"/>
    </w:pPr>
    <w:rPr>
      <w:rFonts w:ascii="Calibri Light" w:hAnsi="Calibri Light" w:eastAsia="Calibri" w:cs="Tahoma"/>
      <w:color w:themeColor="accent1" w:themeShade="7f" w:val="1F3763"/>
      <w:sz w:val="24"/>
      <w:szCs w:val="24"/>
    </w:rPr>
  </w:style>
  <w:style w:type="character" w:styleId="DefaultParagraphFont">
    <w:name w:val="Default Paragraph Font"/>
    <w:qFormat/>
    <w:rPr/>
  </w:style>
  <w:style w:type="character" w:styleId="BodyTextChar">
    <w:name w:val="Body Text Char"/>
    <w:basedOn w:val="DefaultParagraphFont"/>
    <w:qFormat/>
    <w:rPr>
      <w:rFonts w:ascii="Times New Roman" w:hAnsi="Times New Roman" w:eastAsia="Times New Roman" w:cs="Times New Roman"/>
      <w:sz w:val="24"/>
      <w:szCs w:val="20"/>
      <w:lang w:val="lv-LV" w:eastAsia="ar-SA"/>
    </w:rPr>
  </w:style>
  <w:style w:type="character" w:styleId="Hyperlink">
    <w:name w:val="Hyperlink"/>
    <w:basedOn w:val="DefaultParagraphFont"/>
    <w:rPr>
      <w:color w:themeColor="hyperlink" w:val="0563C1"/>
      <w:u w:val="single"/>
    </w:rPr>
  </w:style>
  <w:style w:type="character" w:styleId="FootnoteTextChar">
    <w:name w:val="Footnote Text Char"/>
    <w:basedOn w:val="DefaultParagraphFont"/>
    <w:qFormat/>
    <w:rPr>
      <w:rFonts w:eastAsia="Calibri"/>
      <w:sz w:val="20"/>
      <w:szCs w:val="20"/>
      <w:lang w:val="lv-LV" w:eastAsia="lv-LV"/>
    </w:rPr>
  </w:style>
  <w:style w:type="character" w:styleId="Vresrakstzmes">
    <w:name w:val="Vēres rakstzīmes"/>
    <w:link w:val="FootnoteRefernece"/>
    <w:qFormat/>
    <w:rPr>
      <w:vertAlign w:val="superscript"/>
    </w:rPr>
  </w:style>
  <w:style w:type="character" w:styleId="FootnoteReference">
    <w:name w:val="Footnote Reference"/>
    <w:rPr>
      <w:vertAlign w:val="superscript"/>
    </w:rPr>
  </w:style>
  <w:style w:type="character" w:styleId="UnresolvedMention1">
    <w:name w:val="Unresolved Mention1"/>
    <w:basedOn w:val="DefaultParagraphFont"/>
    <w:qFormat/>
    <w:rPr>
      <w:color w:val="605E5C"/>
      <w:shd w:fill="E1DFDD" w:val="clear"/>
    </w:rPr>
  </w:style>
  <w:style w:type="character" w:styleId="SubtleEmphasis">
    <w:name w:val="Subtle Emphasis"/>
    <w:qFormat/>
    <w:rPr>
      <w:i/>
      <w:iCs/>
      <w:color w:val="808080"/>
    </w:rPr>
  </w:style>
  <w:style w:type="character" w:styleId="HeaderChar">
    <w:name w:val="Header Char"/>
    <w:basedOn w:val="DefaultParagraphFont"/>
    <w:qFormat/>
    <w:rPr>
      <w:rFonts w:eastAsia="Calibri"/>
      <w:lang w:val="lv-LV" w:eastAsia="lv-LV"/>
    </w:rPr>
  </w:style>
  <w:style w:type="character" w:styleId="FooterChar">
    <w:name w:val="Footer Char"/>
    <w:basedOn w:val="DefaultParagraphFont"/>
    <w:qFormat/>
    <w:rPr>
      <w:rFonts w:eastAsia="Calibri"/>
      <w:lang w:val="lv-LV" w:eastAsia="lv-LV"/>
    </w:rPr>
  </w:style>
  <w:style w:type="character" w:styleId="HeaderChar1">
    <w:name w:val="Header Char1"/>
    <w:qFormat/>
    <w:rPr>
      <w:rFonts w:ascii="Times New Roman" w:hAnsi="Times New Roman" w:eastAsia="Times New Roman" w:cs="Times New Roman"/>
      <w:sz w:val="24"/>
      <w:szCs w:val="24"/>
      <w:lang w:eastAsia="en-US"/>
    </w:rPr>
  </w:style>
  <w:style w:type="character" w:styleId="BodyTextIndent3Char">
    <w:name w:val="Body Text Indent 3 Char"/>
    <w:basedOn w:val="DefaultParagraphFont"/>
    <w:link w:val="BodyTextIndent3"/>
    <w:qFormat/>
    <w:rPr>
      <w:rFonts w:eastAsia="Calibri"/>
      <w:sz w:val="16"/>
      <w:szCs w:val="16"/>
      <w:lang w:val="lv-LV" w:eastAsia="lv-LV"/>
    </w:rPr>
  </w:style>
  <w:style w:type="character" w:styleId="ListParagraphChar">
    <w:name w:val="List Paragraph Char"/>
    <w:link w:val="ListParagraph"/>
    <w:qFormat/>
    <w:rPr>
      <w:rFonts w:eastAsia="Calibri"/>
      <w:lang w:val="lv-LV" w:eastAsia="lv-LV"/>
    </w:rPr>
  </w:style>
  <w:style w:type="character" w:styleId="ApakpunktsChar">
    <w:name w:val="Apakšpunkts Char"/>
    <w:link w:val="Apakpunkts"/>
    <w:qFormat/>
    <w:rPr>
      <w:rFonts w:ascii="Arial" w:hAnsi="Arial" w:eastAsia="Droid Sans Fallback" w:cs="Arial"/>
      <w:b/>
      <w:sz w:val="20"/>
      <w:szCs w:val="24"/>
      <w:lang w:val="lv-LV" w:eastAsia="zh-CN" w:bidi="hi-IN"/>
    </w:rPr>
  </w:style>
  <w:style w:type="character" w:styleId="NoSpacingChar">
    <w:name w:val="No Spacing Char"/>
    <w:basedOn w:val="DefaultParagraphFont"/>
    <w:link w:val="NoSpacing"/>
    <w:qFormat/>
    <w:rPr>
      <w:rFonts w:ascii="Times New Roman" w:hAnsi="Times New Roman" w:eastAsia="Times New Roman" w:cs="Times New Roman"/>
      <w:sz w:val="24"/>
      <w:szCs w:val="24"/>
      <w:lang w:val="lv-LV"/>
    </w:rPr>
  </w:style>
  <w:style w:type="character" w:styleId="FontStyle40">
    <w:name w:val="Font Style40"/>
    <w:qFormat/>
    <w:rPr>
      <w:rFonts w:ascii="Times New Roman" w:hAnsi="Times New Roman" w:cs="Times New Roman"/>
      <w:b/>
      <w:bCs w:val="false"/>
      <w:sz w:val="20"/>
    </w:rPr>
  </w:style>
  <w:style w:type="character" w:styleId="Heading1Char">
    <w:name w:val="Heading 1 Char"/>
    <w:basedOn w:val="DefaultParagraphFont"/>
    <w:qFormat/>
    <w:rPr>
      <w:rFonts w:ascii="Times New Roman Bold" w:hAnsi="Times New Roman Bold" w:eastAsia="Times New Roman" w:cs="Times New Roman"/>
      <w:b/>
      <w:sz w:val="24"/>
      <w:szCs w:val="20"/>
      <w:lang w:val="lv-LV"/>
    </w:rPr>
  </w:style>
  <w:style w:type="character" w:styleId="Heading2Char">
    <w:name w:val="Heading 2 Char"/>
    <w:basedOn w:val="DefaultParagraphFont"/>
    <w:qFormat/>
    <w:rPr>
      <w:rFonts w:ascii="Times New Roman" w:hAnsi="Times New Roman" w:eastAsia="Times New Roman" w:cs="Times New Roman"/>
      <w:b/>
      <w:bCs/>
      <w:sz w:val="24"/>
      <w:szCs w:val="28"/>
      <w:lang w:val="lv-LV"/>
    </w:rPr>
  </w:style>
  <w:style w:type="character" w:styleId="Heading3Char">
    <w:name w:val="Heading 3 Char"/>
    <w:basedOn w:val="DefaultParagraphFont"/>
    <w:qFormat/>
    <w:rPr>
      <w:rFonts w:ascii="Calibri Light" w:hAnsi="Calibri Light" w:eastAsia="Calibri" w:cs="Tahoma"/>
      <w:color w:themeColor="accent1" w:themeShade="7f" w:val="1F3763"/>
      <w:sz w:val="24"/>
      <w:szCs w:val="24"/>
      <w:lang w:val="lv-LV" w:eastAsia="lv-LV"/>
    </w:rPr>
  </w:style>
  <w:style w:type="character" w:styleId="BalloonTextChar">
    <w:name w:val="Balloon Text Char"/>
    <w:basedOn w:val="DefaultParagraphFont"/>
    <w:link w:val="BalloonText"/>
    <w:qFormat/>
    <w:rPr>
      <w:rFonts w:ascii="Segoe UI" w:hAnsi="Segoe UI" w:eastAsia="Calibri" w:cs="Segoe UI"/>
      <w:sz w:val="18"/>
      <w:szCs w:val="18"/>
      <w:lang w:val="lv-LV" w:eastAsia="lv-LV"/>
    </w:rPr>
  </w:style>
  <w:style w:type="character" w:styleId="Strong">
    <w:name w:val="Strong"/>
    <w:qFormat/>
    <w:rPr>
      <w:b/>
      <w:bCs/>
    </w:rPr>
  </w:style>
  <w:style w:type="character" w:styleId="FollowedHyperlink">
    <w:name w:val="FollowedHyperlink"/>
    <w:rPr>
      <w:color w:val="800080"/>
      <w:u w:val="single"/>
    </w:rPr>
  </w:style>
  <w:style w:type="character" w:styleId="Numuranassimboli">
    <w:name w:val="Numurēšanas simboli"/>
    <w:qFormat/>
    <w:rPr/>
  </w:style>
  <w:style w:type="character" w:styleId="Aizzmes">
    <w:name w:val="Aizzīmes"/>
    <w:qFormat/>
    <w:rPr>
      <w:rFonts w:ascii="OpenSymbol" w:hAnsi="OpenSymbol" w:eastAsia="OpenSymbol" w:cs="OpenSymbol"/>
    </w:rPr>
  </w:style>
  <w:style w:type="character" w:styleId="Beiguvresrakstzme">
    <w:name w:val="Beigu vēres rakstzīme"/>
    <w:qFormat/>
    <w:rPr>
      <w:vertAlign w:val="superscript"/>
    </w:rPr>
  </w:style>
  <w:style w:type="character" w:styleId="EndnoteReference">
    <w:name w:val="Endnote Reference"/>
    <w:rPr>
      <w:vertAlign w:val="superscript"/>
    </w:rPr>
  </w:style>
  <w:style w:type="character" w:styleId="UnresolvedMention">
    <w:name w:val="Unresolved Mention"/>
    <w:basedOn w:val="DefaultParagraphFont"/>
    <w:qFormat/>
    <w:rPr>
      <w:color w:val="605E5C"/>
      <w:shd w:fill="E1DFDD" w:val="clear"/>
    </w:rPr>
  </w:style>
  <w:style w:type="character" w:styleId="LineNumber">
    <w:name w:val="Line Number"/>
    <w:rPr/>
  </w:style>
  <w:style w:type="paragraph" w:styleId="Virsraksts">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pPr>
      <w:spacing w:lineRule="auto" w:line="240" w:before="0" w:after="120"/>
      <w:textAlignment w:val="baseline"/>
    </w:pPr>
    <w:rPr>
      <w:rFonts w:ascii="Times New Roman" w:hAnsi="Times New Roman" w:eastAsia="Times New Roman" w:cs="Times New Roman"/>
      <w:sz w:val="24"/>
      <w:szCs w:val="20"/>
      <w:lang w:eastAsia="ar-SA"/>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Default">
    <w:name w:val="Default"/>
    <w:qFormat/>
    <w:pPr>
      <w:widowControl/>
      <w:suppressAutoHyphens w:val="true"/>
      <w:overflowPunct w:val="true"/>
      <w:bidi w:val="0"/>
      <w:spacing w:before="0" w:after="0"/>
      <w:jc w:val="start"/>
    </w:pPr>
    <w:rPr>
      <w:rFonts w:ascii="Times New Roman" w:hAnsi="Times New Roman" w:eastAsia="Calibri" w:cs="Times New Roman"/>
      <w:color w:val="000000"/>
      <w:kern w:val="0"/>
      <w:sz w:val="24"/>
      <w:szCs w:val="24"/>
      <w:lang w:val="lv-LV" w:eastAsia="lv-LV" w:bidi="ar-SA"/>
    </w:rPr>
  </w:style>
  <w:style w:type="paragraph" w:styleId="FootnoteText">
    <w:name w:val="Footnote Text"/>
    <w:basedOn w:val="Normal"/>
    <w:link w:val="FootnoteTextChar"/>
    <w:pPr>
      <w:spacing w:lineRule="auto" w:line="240" w:before="0" w:after="0"/>
    </w:pPr>
    <w:rPr>
      <w:sz w:val="20"/>
      <w:szCs w:val="20"/>
    </w:rPr>
  </w:style>
  <w:style w:type="paragraph" w:styleId="Galveneunkjene">
    <w:name w:val="Galvene un kājene"/>
    <w:basedOn w:val="Normal"/>
    <w:qFormat/>
    <w:pPr/>
    <w:rPr/>
  </w:style>
  <w:style w:type="paragraph" w:styleId="Header">
    <w:name w:val="Header"/>
    <w:basedOn w:val="Normal"/>
    <w:link w:val="HeaderChar"/>
    <w:pPr>
      <w:tabs>
        <w:tab w:val="clear" w:pos="720"/>
        <w:tab w:val="center" w:pos="4320" w:leader="none"/>
        <w:tab w:val="right" w:pos="8640" w:leader="none"/>
      </w:tabs>
      <w:spacing w:lineRule="auto" w:line="240" w:before="0" w:after="0"/>
    </w:pPr>
    <w:rPr/>
  </w:style>
  <w:style w:type="paragraph" w:styleId="Footer">
    <w:name w:val="Footer"/>
    <w:basedOn w:val="Normal"/>
    <w:link w:val="FooterChar"/>
    <w:pPr>
      <w:tabs>
        <w:tab w:val="clear" w:pos="720"/>
        <w:tab w:val="center" w:pos="4320" w:leader="none"/>
        <w:tab w:val="right" w:pos="8640" w:leader="none"/>
      </w:tabs>
      <w:spacing w:lineRule="auto" w:line="240" w:before="0" w:after="0"/>
    </w:pPr>
    <w:rPr/>
  </w:style>
  <w:style w:type="paragraph" w:styleId="FootnoteRefernece">
    <w:name w:val="Footnote Refernece"/>
    <w:basedOn w:val="Normal"/>
    <w:next w:val="Normal"/>
    <w:qFormat/>
    <w:pPr>
      <w:spacing w:lineRule="exact" w:line="240" w:before="0" w:after="160"/>
      <w:jc w:val="both"/>
      <w:textAlignment w:val="baseline"/>
    </w:pPr>
    <w:rPr>
      <w:rFonts w:eastAsia="Calibri"/>
      <w:vertAlign w:val="superscript"/>
      <w:lang w:val="en-US" w:eastAsia="en-US"/>
    </w:rPr>
  </w:style>
  <w:style w:type="paragraph" w:styleId="BodyTextIndent3">
    <w:name w:val="Body Text Indent 3"/>
    <w:basedOn w:val="Normal"/>
    <w:link w:val="BodyTextIndent3Char"/>
    <w:qFormat/>
    <w:pPr>
      <w:spacing w:before="0" w:after="120"/>
      <w:ind w:start="283"/>
    </w:pPr>
    <w:rPr>
      <w:sz w:val="16"/>
      <w:szCs w:val="16"/>
    </w:rPr>
  </w:style>
  <w:style w:type="paragraph" w:styleId="ListParagraph">
    <w:name w:val="List Paragraph"/>
    <w:basedOn w:val="Normal"/>
    <w:link w:val="ListParagraphChar"/>
    <w:qFormat/>
    <w:pPr>
      <w:spacing w:before="0" w:after="200"/>
      <w:ind w:start="720"/>
      <w:contextualSpacing/>
    </w:pPr>
    <w:rPr/>
  </w:style>
  <w:style w:type="paragraph" w:styleId="Apakpunkts">
    <w:name w:val="Apakšpunkts"/>
    <w:basedOn w:val="Normal"/>
    <w:link w:val="ApakpunktsChar"/>
    <w:qFormat/>
    <w:pPr>
      <w:tabs>
        <w:tab w:val="clear" w:pos="720"/>
        <w:tab w:val="left" w:pos="851" w:leader="none"/>
      </w:tabs>
      <w:spacing w:lineRule="auto" w:line="240" w:before="0" w:after="0"/>
      <w:ind w:hanging="851" w:start="851"/>
    </w:pPr>
    <w:rPr>
      <w:rFonts w:ascii="Arial" w:hAnsi="Arial" w:eastAsia="Droid Sans Fallback" w:cs="Arial"/>
      <w:b/>
      <w:sz w:val="20"/>
      <w:szCs w:val="24"/>
      <w:lang w:eastAsia="zh-CN" w:bidi="hi-IN"/>
    </w:rPr>
  </w:style>
  <w:style w:type="paragraph" w:styleId="NoSpacing">
    <w:name w:val="No Spacing"/>
    <w:link w:val="NoSpacingChar"/>
    <w:qFormat/>
    <w:pPr>
      <w:widowControl w:val="false"/>
      <w:suppressAutoHyphens w:val="true"/>
      <w:overflowPunct w:val="true"/>
      <w:bidi w:val="0"/>
      <w:spacing w:before="0" w:after="0"/>
      <w:jc w:val="start"/>
    </w:pPr>
    <w:rPr>
      <w:rFonts w:ascii="Times New Roman" w:hAnsi="Times New Roman" w:eastAsia="Times New Roman" w:cs="Times New Roman"/>
      <w:color w:val="auto"/>
      <w:kern w:val="0"/>
      <w:sz w:val="24"/>
      <w:szCs w:val="24"/>
      <w:lang w:val="lv-LV" w:eastAsia="en-US" w:bidi="ar-SA"/>
    </w:rPr>
  </w:style>
  <w:style w:type="paragraph" w:styleId="Numeracija">
    <w:name w:val="Numeracija"/>
    <w:basedOn w:val="Normal"/>
    <w:qFormat/>
    <w:pPr>
      <w:numPr>
        <w:ilvl w:val="0"/>
        <w:numId w:val="1"/>
      </w:numPr>
      <w:spacing w:lineRule="auto" w:line="240" w:before="0" w:after="0"/>
      <w:jc w:val="both"/>
    </w:pPr>
    <w:rPr>
      <w:rFonts w:ascii="Times New Roman" w:hAnsi="Times New Roman" w:eastAsia="Times New Roman" w:cs="Times New Roman"/>
      <w:sz w:val="26"/>
      <w:szCs w:val="24"/>
      <w:lang w:eastAsia="en-US"/>
    </w:rPr>
  </w:style>
  <w:style w:type="paragraph" w:styleId="Style11">
    <w:name w:val="Style1"/>
    <w:autoRedefine/>
    <w:qFormat/>
    <w:pPr>
      <w:widowControl/>
      <w:numPr>
        <w:ilvl w:val="1"/>
        <w:numId w:val="1"/>
      </w:numPr>
      <w:suppressAutoHyphens w:val="true"/>
      <w:overflowPunct w:val="true"/>
      <w:bidi w:val="0"/>
      <w:spacing w:before="0" w:after="0"/>
      <w:ind w:hanging="426" w:start="993"/>
      <w:jc w:val="both"/>
    </w:pPr>
    <w:rPr>
      <w:rFonts w:ascii="Times New Roman" w:hAnsi="Times New Roman" w:eastAsia="Times New Roman" w:cs="Times New Roman"/>
      <w:bCs/>
      <w:color w:val="000000"/>
      <w:kern w:val="0"/>
      <w:sz w:val="24"/>
      <w:szCs w:val="24"/>
      <w:lang w:val="lv-LV" w:eastAsia="en-US" w:bidi="ar-SA"/>
    </w:rPr>
  </w:style>
  <w:style w:type="paragraph" w:styleId="Bezatstarpm1">
    <w:name w:val="Bez atstarpēm1"/>
    <w:qFormat/>
    <w:pPr>
      <w:widowControl/>
      <w:suppressAutoHyphens w:val="true"/>
      <w:overflowPunct w:val="true"/>
      <w:bidi w:val="0"/>
      <w:spacing w:before="0" w:after="0"/>
      <w:jc w:val="start"/>
    </w:pPr>
    <w:rPr>
      <w:rFonts w:ascii="Calibri" w:hAnsi="Calibri" w:eastAsia="Times New Roman" w:cs="Times New Roman"/>
      <w:color w:val="auto"/>
      <w:kern w:val="0"/>
      <w:sz w:val="22"/>
      <w:szCs w:val="22"/>
      <w:lang w:val="lv-LV" w:eastAsia="lv-LV" w:bidi="ar-SA"/>
    </w:rPr>
  </w:style>
  <w:style w:type="paragraph" w:styleId="Naisf">
    <w:name w:val="naisf"/>
    <w:basedOn w:val="Normal"/>
    <w:qFormat/>
    <w:pPr>
      <w:spacing w:lineRule="auto" w:line="240" w:before="280" w:after="280"/>
      <w:jc w:val="both"/>
    </w:pPr>
    <w:rPr>
      <w:rFonts w:ascii="Times New Roman" w:hAnsi="Times New Roman" w:eastAsia="Times New Roman" w:cs="Calibri"/>
      <w:kern w:val="2"/>
      <w:sz w:val="24"/>
      <w:szCs w:val="24"/>
      <w:lang w:val="en-GB" w:eastAsia="ar-SA"/>
    </w:rPr>
  </w:style>
  <w:style w:type="paragraph" w:styleId="Lmenis1">
    <w:name w:val="Līmenis1"/>
    <w:basedOn w:val="Normal"/>
    <w:qFormat/>
    <w:pPr>
      <w:keepNext w:val="true"/>
      <w:keepLines/>
      <w:numPr>
        <w:ilvl w:val="0"/>
        <w:numId w:val="2"/>
      </w:numPr>
      <w:spacing w:lineRule="auto" w:line="288" w:before="120" w:after="0"/>
      <w:ind w:hanging="1" w:start="360"/>
      <w:textAlignment w:val="top"/>
      <w:outlineLvl w:val="0"/>
    </w:pPr>
    <w:rPr>
      <w:rFonts w:eastAsia="Arial" w:cs="Times New Roman"/>
      <w:b/>
      <w:position w:val="-1"/>
      <w:sz w:val="24"/>
      <w:lang w:eastAsia="en-US"/>
    </w:rPr>
  </w:style>
  <w:style w:type="paragraph" w:styleId="Lmenis2">
    <w:name w:val="Līmenis2"/>
    <w:basedOn w:val="Normal"/>
    <w:qFormat/>
    <w:pPr>
      <w:keepLines/>
      <w:numPr>
        <w:ilvl w:val="1"/>
        <w:numId w:val="2"/>
      </w:numPr>
      <w:tabs>
        <w:tab w:val="clear" w:pos="720"/>
        <w:tab w:val="left" w:pos="709" w:leader="none"/>
      </w:tabs>
      <w:spacing w:lineRule="auto" w:line="288" w:before="0" w:after="120"/>
      <w:ind w:hanging="1" w:start="502"/>
      <w:jc w:val="both"/>
      <w:textAlignment w:val="top"/>
      <w:outlineLvl w:val="0"/>
    </w:pPr>
    <w:rPr>
      <w:rFonts w:eastAsia="Arial" w:cs="Times New Roman"/>
      <w:position w:val="-1"/>
      <w:lang w:eastAsia="en-US"/>
    </w:rPr>
  </w:style>
  <w:style w:type="paragraph" w:styleId="Lmenis3">
    <w:name w:val="Līmenis3"/>
    <w:basedOn w:val="Normal"/>
    <w:qFormat/>
    <w:pPr>
      <w:keepLines/>
      <w:numPr>
        <w:ilvl w:val="2"/>
        <w:numId w:val="2"/>
      </w:numPr>
      <w:tabs>
        <w:tab w:val="clear" w:pos="720"/>
        <w:tab w:val="left" w:pos="993" w:leader="none"/>
      </w:tabs>
      <w:spacing w:lineRule="auto" w:line="288" w:before="0" w:after="120"/>
      <w:ind w:hanging="720" w:start="1004"/>
      <w:jc w:val="both"/>
      <w:textAlignment w:val="top"/>
      <w:outlineLvl w:val="0"/>
    </w:pPr>
    <w:rPr>
      <w:rFonts w:eastAsia="Arial" w:cs="Times New Roman"/>
      <w:position w:val="-1"/>
      <w:lang w:eastAsia="en-US"/>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Saturardtjs">
    <w:name w:val="Satura rādītājs"/>
    <w:basedOn w:val="Normal"/>
    <w:qFormat/>
    <w:pPr>
      <w:widowControl w:val="false"/>
      <w:suppressLineNumbers/>
    </w:pPr>
    <w:rPr/>
  </w:style>
  <w:style w:type="paragraph" w:styleId="Tabulasvirsraksts">
    <w:name w:val="Tabulas virsraksts"/>
    <w:basedOn w:val="Saturardtjs"/>
    <w:qFormat/>
    <w:pPr>
      <w:jc w:val="center"/>
    </w:pPr>
    <w:rPr>
      <w:b/>
      <w:bCs/>
    </w:rPr>
  </w:style>
  <w:style w:type="paragraph" w:styleId="Revision">
    <w:name w:val="Revision"/>
    <w:qFormat/>
    <w:pPr>
      <w:widowControl/>
      <w:suppressAutoHyphens w:val="false"/>
      <w:overflowPunct w:val="true"/>
      <w:bidi w:val="0"/>
      <w:spacing w:before="0" w:after="0"/>
      <w:jc w:val="start"/>
    </w:pPr>
    <w:rPr>
      <w:rFonts w:ascii="Calibri" w:hAnsi="Calibri" w:eastAsia="Calibri" w:cs="Tahoma"/>
      <w:color w:val="auto"/>
      <w:kern w:val="0"/>
      <w:sz w:val="22"/>
      <w:szCs w:val="22"/>
      <w:lang w:val="lv-LV" w:eastAsia="lv-LV" w:bidi="ar-SA"/>
    </w:rPr>
  </w:style>
  <w:style w:type="numbering" w:styleId="NoList">
    <w:name w:val="No List"/>
    <w:qFormat/>
  </w:style>
  <w:style w:type="numbering" w:styleId="Style11121">
    <w:name w:val="Style111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ekretars@mfd.lv" TargetMode="External"/><Relationship Id="rId4" Type="http://schemas.openxmlformats.org/officeDocument/2006/relationships/hyperlink" Target="mailto:inese.volka@mfd.lv" TargetMode="External"/><Relationship Id="rId5" Type="http://schemas.openxmlformats.org/officeDocument/2006/relationships/hyperlink" Target="mailto:iepirkumi@mfd.lv" TargetMode="External"/><Relationship Id="rId6" Type="http://schemas.openxmlformats.org/officeDocument/2006/relationships/hyperlink" Target="http://www.ur.gov.lv/" TargetMode="External"/><Relationship Id="rId7" Type="http://schemas.openxmlformats.org/officeDocument/2006/relationships/hyperlink" Target="https://bis.gov.lv/registri/buvniecibas-informacijas-sistemas-registri" TargetMode="External"/><Relationship Id="rId8" Type="http://schemas.openxmlformats.org/officeDocument/2006/relationships/hyperlink" Target="mailto:iepirkumi@mfd.lv"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425</TotalTime>
  <Application>LibreOffice/24.2.1.2$Windows_X86_64 LibreOffice_project/db4def46b0453cc22e2d0305797cf981b68ef5ac</Application>
  <AppVersion>15.0000</AppVersion>
  <Pages>8</Pages>
  <Words>2696</Words>
  <Characters>19913</Characters>
  <CharactersWithSpaces>22430</CharactersWithSpaces>
  <Paragraphs>160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2026-02-17T09:37:00Z</dcterms:created>
  <dc:creator>Jelena Sceglova</dc:creator>
  <dc:description/>
  <dc:language>en-US</dc:language>
  <cp:lastModifiedBy/>
  <cp:lastPrinted>2025-08-01T08:36:00Z</cp:lastPrinted>
  <dcterms:modified xsi:type="dcterms:W3CDTF">2026-03-13T15:44:01Z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6356e973-9dc1-4581-b262-ff1625992239</vt:lpwstr>
  </property>
</Properties>
</file>