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footnotes.xml" ContentType="application/vnd.openxmlformats-officedocument.wordprocessingml.footnotes+xml"/>
  <Override PartName="/word/footer2.xml" ContentType="application/vnd.openxmlformats-officedocument.wordprocessingml.footer+xml"/>
  <Override PartName="/word/numbering.xml" ContentType="application/vnd.openxmlformats-officedocument.wordprocessingml.numbering+xml"/>
  <Override PartName="/word/footer3.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Default"/>
        <w:jc w:val="end"/>
        <w:rPr>
          <w:b/>
          <w:bCs/>
        </w:rPr>
      </w:pPr>
      <w:r>
        <w:rPr>
          <w:b/>
          <w:bCs/>
        </w:rPr>
        <w:t>APSTIPRINĀTS</w:t>
      </w:r>
    </w:p>
    <w:p>
      <w:pPr>
        <w:pStyle w:val="Default"/>
        <w:jc w:val="end"/>
        <w:rPr/>
      </w:pPr>
      <w:r>
        <w:rPr/>
        <w:t>ar Sabiedrības ar ierobežotu atbildību „Dziedniecība”</w:t>
      </w:r>
    </w:p>
    <w:p>
      <w:pPr>
        <w:pStyle w:val="Normal"/>
        <w:spacing w:before="0" w:after="0"/>
        <w:jc w:val="end"/>
        <w:rPr>
          <w:highlight w:val="none"/>
          <w:shd w:fill="auto" w:val="clear"/>
        </w:rPr>
      </w:pPr>
      <w:r>
        <w:rPr>
          <w:rFonts w:cs="Times New Roman" w:ascii="Times New Roman" w:hAnsi="Times New Roman"/>
          <w:sz w:val="24"/>
          <w:szCs w:val="24"/>
          <w:shd w:fill="auto" w:val="clear"/>
        </w:rPr>
        <w:t>06.03.2026. rīkojumu Nr. 06/05</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p>
    <w:p>
      <w:pPr>
        <w:pStyle w:val="Normal"/>
        <w:rPr/>
      </w:pPr>
      <w:r>
        <w:rPr/>
      </w:r>
    </w:p>
    <w:p>
      <w:pPr>
        <w:pStyle w:val="Normal"/>
        <w:rPr/>
      </w:pPr>
      <w:r>
        <w:rPr/>
      </w:r>
    </w:p>
    <w:p>
      <w:pPr>
        <w:pStyle w:val="Normal"/>
        <w:spacing w:lineRule="auto" w:line="240" w:before="0" w:after="0"/>
        <w:jc w:val="center"/>
        <w:rPr>
          <w:rFonts w:ascii="Times New Roman" w:hAnsi="Times New Roman"/>
        </w:rPr>
      </w:pPr>
      <w:r>
        <w:rPr>
          <w:rFonts w:ascii="Times New Roman" w:hAnsi="Times New Roman"/>
        </w:rPr>
      </w:r>
    </w:p>
    <w:p>
      <w:pPr>
        <w:pStyle w:val="Normal"/>
        <w:rPr/>
      </w:pPr>
      <w:r>
        <w:rPr/>
      </w:r>
    </w:p>
    <w:p>
      <w:pPr>
        <w:pStyle w:val="Normal"/>
        <w:jc w:val="center"/>
        <w:rPr>
          <w:rFonts w:ascii="Times New Roman" w:hAnsi="Times New Roman" w:cs="Times New Roman"/>
          <w:sz w:val="28"/>
          <w:szCs w:val="28"/>
        </w:rPr>
      </w:pPr>
      <w:r>
        <w:rPr>
          <w:rFonts w:cs="Times New Roman" w:ascii="Times New Roman" w:hAnsi="Times New Roman"/>
          <w:sz w:val="28"/>
          <w:szCs w:val="28"/>
        </w:rPr>
      </w:r>
    </w:p>
    <w:p>
      <w:pPr>
        <w:pStyle w:val="BodyText"/>
        <w:spacing w:lineRule="auto" w:line="360" w:before="0" w:after="0"/>
        <w:jc w:val="center"/>
        <w:rPr>
          <w:b/>
          <w:caps/>
          <w:sz w:val="28"/>
          <w:szCs w:val="28"/>
        </w:rPr>
      </w:pPr>
      <w:bookmarkStart w:id="0" w:name="_Hlk83641239"/>
      <w:r>
        <w:rPr>
          <w:rFonts w:cs="Times New Roman"/>
          <w:b/>
          <w:bCs/>
          <w:caps/>
          <w:sz w:val="24"/>
          <w:szCs w:val="24"/>
        </w:rPr>
        <w:t>Vides pieejamības pasākumu realizācija MFD Doktorātā “PRŪŠU</w:t>
      </w:r>
      <w:r>
        <w:rPr>
          <w:b/>
          <w:caps/>
          <w:sz w:val="28"/>
          <w:szCs w:val="28"/>
        </w:rPr>
        <w:t>”</w:t>
      </w:r>
      <w:bookmarkEnd w:id="0"/>
    </w:p>
    <w:p>
      <w:pPr>
        <w:pStyle w:val="Normal"/>
        <w:spacing w:lineRule="auto" w:line="240"/>
        <w:jc w:val="center"/>
        <w:rPr>
          <w:rFonts w:ascii="Times New Roman" w:hAnsi="Times New Roman" w:eastAsia="Times New Roman" w:cs="Times New Roman"/>
          <w:b/>
          <w:bCs/>
          <w:iCs/>
          <w:kern w:val="2"/>
          <w:sz w:val="28"/>
          <w:szCs w:val="28"/>
          <w:lang w:eastAsia="hi-IN" w:bidi="hi-IN"/>
        </w:rPr>
      </w:pPr>
      <w:r>
        <w:rPr>
          <w:rFonts w:eastAsia="Times New Roman" w:cs="Times New Roman" w:ascii="Times New Roman" w:hAnsi="Times New Roman"/>
          <w:b/>
          <w:bCs/>
          <w:iCs/>
          <w:kern w:val="2"/>
          <w:sz w:val="28"/>
          <w:szCs w:val="28"/>
          <w:lang w:eastAsia="hi-IN" w:bidi="hi-IN"/>
        </w:rPr>
      </w:r>
      <w:bookmarkStart w:id="1" w:name="_Hlk26801123"/>
      <w:bookmarkStart w:id="2" w:name="_Hlk26801123"/>
      <w:bookmarkEnd w:id="2"/>
    </w:p>
    <w:p>
      <w:pPr>
        <w:pStyle w:val="BodyText"/>
        <w:spacing w:lineRule="auto" w:line="360"/>
        <w:jc w:val="center"/>
        <w:rPr>
          <w:b/>
          <w:sz w:val="28"/>
          <w:szCs w:val="28"/>
        </w:rPr>
      </w:pPr>
      <w:r>
        <w:rPr>
          <w:b/>
          <w:bCs/>
          <w:sz w:val="28"/>
          <w:szCs w:val="28"/>
        </w:rPr>
        <w:t>IEPIRKUMA PROCEDŪRAS NOLIKUMS</w:t>
      </w:r>
    </w:p>
    <w:p>
      <w:pPr>
        <w:pStyle w:val="Normal"/>
        <w:spacing w:lineRule="auto" w:line="240" w:before="0" w:after="0"/>
        <w:ind w:start="426"/>
        <w:jc w:val="center"/>
        <w:rPr/>
      </w:pPr>
      <w:r>
        <w:rPr>
          <w:rFonts w:cs="Times New Roman" w:ascii="Times New Roman" w:hAnsi="Times New Roman"/>
          <w:bCs/>
          <w:i/>
          <w:iCs/>
          <w:sz w:val="24"/>
          <w:szCs w:val="24"/>
        </w:rPr>
        <w:t xml:space="preserve">Iepirkums tiek realizēts projekta Nr. 4.1.1.3/2/25/A/066 </w:t>
      </w:r>
      <w:r>
        <w:rPr>
          <w:rStyle w:val="Strong"/>
          <w:rFonts w:cs="Times New Roman" w:ascii="Times New Roman" w:hAnsi="Times New Roman"/>
          <w:b w:val="false"/>
          <w:bCs w:val="false"/>
          <w:i/>
          <w:iCs/>
          <w:sz w:val="24"/>
          <w:szCs w:val="24"/>
        </w:rPr>
        <w:t>Primārās veselības aprūpes lomas stiprināšana, attīstot infrastruktūru Sabiedrības ar ierobežotu atbildību “Dziedniecība” telpās</w:t>
      </w:r>
      <w:r>
        <w:rPr>
          <w:rFonts w:cs="Times New Roman" w:ascii="Times New Roman" w:hAnsi="Times New Roman"/>
          <w:bCs/>
          <w:i/>
          <w:iCs/>
          <w:sz w:val="24"/>
          <w:szCs w:val="24"/>
        </w:rPr>
        <w:t>.</w:t>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color w:val="auto"/>
          <w:kern w:val="0"/>
          <w:sz w:val="22"/>
          <w:szCs w:val="22"/>
          <w:lang w:val="lv-LV" w:eastAsia="lv-LV" w:bidi="ar-SA"/>
        </w:rPr>
        <w:t>ID N</w:t>
      </w:r>
      <w:r>
        <w:rPr>
          <w:rFonts w:eastAsia="Calibri" w:cs="Times New Roman" w:ascii="Times New Roman" w:hAnsi="Times New Roman"/>
          <w:color w:val="auto"/>
          <w:kern w:val="0"/>
          <w:sz w:val="22"/>
          <w:szCs w:val="22"/>
          <w:lang w:val="lv-LV" w:eastAsia="lv-LV" w:bidi="ar-SA"/>
        </w:rPr>
        <w:t>r. DZ-P13_03-2026</w:t>
      </w:r>
    </w:p>
    <w:p>
      <w:pPr>
        <w:pStyle w:val="Normal"/>
        <w:spacing w:lineRule="auto" w:line="240" w:before="0" w:after="0"/>
        <w:jc w:val="center"/>
        <w:rPr>
          <w:rFonts w:ascii="Times New Roman" w:hAnsi="Times New Roman"/>
        </w:rPr>
      </w:pPr>
      <w:r>
        <w:rPr>
          <w:rFonts w:ascii="Times New Roman" w:hAnsi="Times New Roman"/>
          <w:i/>
        </w:rPr>
        <w:t>(</w:t>
      </w:r>
      <w:r>
        <w:rPr>
          <w:rFonts w:ascii="Times New Roman" w:hAnsi="Times New Roman"/>
          <w:i/>
          <w:sz w:val="24"/>
          <w:szCs w:val="24"/>
        </w:rPr>
        <w:t>Eiropas Savienības kohēzijas fonda</w:t>
      </w:r>
      <w:r>
        <w:rPr>
          <w:rFonts w:ascii="Times New Roman" w:hAnsi="Times New Roman"/>
          <w:i/>
        </w:rPr>
        <w:t xml:space="preserve"> ietvaros)</w:t>
      </w:r>
    </w:p>
    <w:p>
      <w:pPr>
        <w:pStyle w:val="Normal"/>
        <w:spacing w:lineRule="auto" w:line="240" w:before="0" w:after="0"/>
        <w:rPr>
          <w:rFonts w:ascii="Times New Roman" w:hAnsi="Times New Roman"/>
          <w:bCs/>
          <w:sz w:val="28"/>
          <w:szCs w:val="28"/>
        </w:rPr>
      </w:pPr>
      <w:r>
        <w:rPr>
          <w:rFonts w:ascii="Times New Roman" w:hAnsi="Times New Roman"/>
          <w:bCs/>
          <w:sz w:val="28"/>
          <w:szCs w:val="28"/>
        </w:rPr>
      </w:r>
    </w:p>
    <w:p>
      <w:pPr>
        <w:pStyle w:val="Normal"/>
        <w:spacing w:lineRule="auto" w:line="240" w:before="0" w:after="0"/>
        <w:jc w:val="center"/>
        <w:rPr>
          <w:rFonts w:ascii="Times New Roman" w:hAnsi="Times New Roman"/>
        </w:rPr>
      </w:pPr>
      <w:r>
        <w:rPr/>
        <w:drawing>
          <wp:inline distT="0" distB="0" distL="0" distR="0">
            <wp:extent cx="1871980" cy="1014730"/>
            <wp:effectExtent l="0" t="0" r="0" b="0"/>
            <wp:docPr id="1" name="image1.png"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 title=""/>
                    <pic:cNvPicPr>
                      <a:picLocks noChangeAspect="1" noChangeArrowheads="1"/>
                    </pic:cNvPicPr>
                  </pic:nvPicPr>
                  <pic:blipFill>
                    <a:blip r:embed="rId2"/>
                    <a:stretch>
                      <a:fillRect/>
                    </a:stretch>
                  </pic:blipFill>
                  <pic:spPr bwMode="auto">
                    <a:xfrm>
                      <a:off x="0" y="0"/>
                      <a:ext cx="1871980" cy="1014730"/>
                    </a:xfrm>
                    <a:prstGeom prst="rect">
                      <a:avLst/>
                    </a:prstGeom>
                  </pic:spPr>
                </pic:pic>
              </a:graphicData>
            </a:graphic>
          </wp:inline>
        </w:drawing>
      </w:r>
    </w:p>
    <w:p>
      <w:pPr>
        <w:pStyle w:val="BodyText"/>
        <w:spacing w:lineRule="auto" w:line="360"/>
        <w:jc w:val="center"/>
        <w:rPr>
          <w:szCs w:val="24"/>
        </w:rPr>
      </w:pPr>
      <w:r>
        <w:rPr>
          <w:szCs w:val="24"/>
        </w:rPr>
      </w:r>
    </w:p>
    <w:p>
      <w:pPr>
        <w:pStyle w:val="BodyText"/>
        <w:spacing w:lineRule="auto" w:line="360"/>
        <w:jc w:val="center"/>
        <w:rPr>
          <w:szCs w:val="24"/>
        </w:rPr>
      </w:pPr>
      <w:r>
        <w:rPr>
          <w:szCs w:val="24"/>
        </w:rPr>
      </w:r>
    </w:p>
    <w:p>
      <w:pPr>
        <w:pStyle w:val="BodyText"/>
        <w:spacing w:lineRule="auto" w:line="360"/>
        <w:jc w:val="center"/>
        <w:rPr>
          <w:szCs w:val="24"/>
        </w:rPr>
      </w:pPr>
      <w:r>
        <w:rPr>
          <w:szCs w:val="24"/>
        </w:rPr>
      </w:r>
    </w:p>
    <w:p>
      <w:pPr>
        <w:pStyle w:val="BodyText"/>
        <w:spacing w:lineRule="auto" w:line="360"/>
        <w:jc w:val="center"/>
        <w:rPr>
          <w:szCs w:val="24"/>
        </w:rPr>
      </w:pPr>
      <w:r>
        <w:rPr>
          <w:szCs w:val="24"/>
        </w:rPr>
      </w:r>
    </w:p>
    <w:p>
      <w:pPr>
        <w:pStyle w:val="BodyText"/>
        <w:spacing w:lineRule="auto" w:line="360"/>
        <w:jc w:val="center"/>
        <w:rPr>
          <w:szCs w:val="24"/>
        </w:rPr>
      </w:pPr>
      <w:r>
        <w:rPr>
          <w:szCs w:val="24"/>
        </w:rPr>
      </w:r>
    </w:p>
    <w:p>
      <w:pPr>
        <w:pStyle w:val="BodyText"/>
        <w:spacing w:lineRule="auto" w:line="360"/>
        <w:jc w:val="center"/>
        <w:rPr>
          <w:szCs w:val="24"/>
        </w:rPr>
      </w:pPr>
      <w:r>
        <w:rPr>
          <w:szCs w:val="24"/>
        </w:rPr>
        <w:t>Rīgā, 2026</w:t>
      </w:r>
    </w:p>
    <w:p>
      <w:pPr>
        <w:pStyle w:val="BodyText"/>
        <w:spacing w:lineRule="auto" w:line="360"/>
        <w:jc w:val="center"/>
        <w:rPr>
          <w:szCs w:val="24"/>
        </w:rPr>
      </w:pPr>
      <w:r>
        <w:rPr>
          <w:szCs w:val="24"/>
        </w:rPr>
      </w:r>
    </w:p>
    <w:p>
      <w:pPr>
        <w:pStyle w:val="BodyText"/>
        <w:spacing w:lineRule="auto" w:line="360"/>
        <w:jc w:val="center"/>
        <w:rPr>
          <w:szCs w:val="24"/>
        </w:rPr>
      </w:pPr>
      <w:r>
        <w:rPr>
          <w:szCs w:val="24"/>
        </w:rPr>
      </w:r>
    </w:p>
    <w:p>
      <w:pPr>
        <w:pStyle w:val="BodyText"/>
        <w:widowControl/>
        <w:numPr>
          <w:ilvl w:val="0"/>
          <w:numId w:val="4"/>
        </w:numPr>
        <w:suppressAutoHyphens w:val="true"/>
        <w:bidi w:val="0"/>
        <w:spacing w:lineRule="auto" w:line="360" w:before="0" w:after="120"/>
        <w:jc w:val="center"/>
        <w:textAlignment w:val="baseline"/>
        <w:rPr>
          <w:b/>
          <w:bCs/>
          <w:szCs w:val="24"/>
        </w:rPr>
      </w:pPr>
      <w:r>
        <w:rPr>
          <w:b/>
          <w:bCs/>
          <w:szCs w:val="24"/>
        </w:rPr>
        <w:t>VISPĀRĪGĀ INFORMĀCIJA</w:t>
      </w:r>
    </w:p>
    <w:p>
      <w:pPr>
        <w:pStyle w:val="ListParagraph"/>
        <w:numPr>
          <w:ilvl w:val="1"/>
          <w:numId w:val="4"/>
        </w:numPr>
        <w:spacing w:lineRule="auto" w:line="259"/>
        <w:ind w:hanging="432" w:start="0"/>
        <w:jc w:val="both"/>
        <w:rPr>
          <w:rFonts w:ascii="Times New Roman" w:hAnsi="Times New Roman" w:eastAsia="Calibri" w:cs="Times New Roman"/>
          <w:kern w:val="2"/>
          <w:lang w:eastAsia="en-US"/>
        </w:rPr>
      </w:pPr>
      <w:r>
        <w:rPr>
          <w:rFonts w:eastAsia="Calibri" w:cs="Times New Roman" w:ascii="Times New Roman" w:hAnsi="Times New Roman"/>
          <w:color w:val="000000"/>
          <w:kern w:val="2"/>
          <w:shd w:fill="auto" w:val="clear"/>
          <w:lang w:eastAsia="en-US"/>
        </w:rPr>
        <w:t>Iepirkuma identifikācij</w:t>
      </w:r>
      <w:r>
        <w:rPr>
          <w:rFonts w:eastAsia="Calibri" w:cs="Times New Roman" w:ascii="Times New Roman" w:hAnsi="Times New Roman"/>
          <w:color w:val="000000"/>
          <w:kern w:val="2"/>
          <w:sz w:val="22"/>
          <w:szCs w:val="22"/>
          <w:shd w:fill="auto" w:val="clear"/>
          <w:lang w:val="lv-LV" w:eastAsia="en-US" w:bidi="ar-SA"/>
        </w:rPr>
        <w:t>as numurs – </w:t>
      </w:r>
      <w:r>
        <w:rPr>
          <w:rFonts w:eastAsia="Calibri" w:cs="Times New Roman" w:ascii="Times New Roman" w:hAnsi="Times New Roman"/>
          <w:b/>
          <w:bCs/>
          <w:color w:val="000000"/>
          <w:kern w:val="2"/>
          <w:sz w:val="22"/>
          <w:szCs w:val="22"/>
          <w:shd w:fill="auto" w:val="clear"/>
          <w:lang w:val="lv-LV" w:eastAsia="en-US" w:bidi="ar-SA"/>
        </w:rPr>
        <w:t>DZ-P13_03-2026</w:t>
      </w:r>
    </w:p>
    <w:p>
      <w:pPr>
        <w:pStyle w:val="ListParagraph"/>
        <w:widowControl/>
        <w:numPr>
          <w:ilvl w:val="1"/>
          <w:numId w:val="4"/>
        </w:numPr>
        <w:suppressAutoHyphens w:val="true"/>
        <w:bidi w:val="0"/>
        <w:spacing w:lineRule="auto" w:line="259" w:before="0" w:after="200"/>
        <w:ind w:hanging="432" w:start="0"/>
        <w:contextualSpacing/>
        <w:jc w:val="both"/>
        <w:rPr>
          <w:rFonts w:ascii="Times New Roman" w:hAnsi="Times New Roman" w:eastAsia="Calibri" w:cs="Times New Roman"/>
          <w:kern w:val="2"/>
          <w:lang w:eastAsia="en-US"/>
        </w:rPr>
      </w:pPr>
      <w:r>
        <w:rPr>
          <w:rFonts w:eastAsia="Calibri" w:cs="Times New Roman" w:ascii="Times New Roman" w:hAnsi="Times New Roman"/>
          <w:b/>
          <w:bCs/>
          <w:kern w:val="2"/>
          <w:lang w:eastAsia="en-US"/>
        </w:rPr>
        <w:t>Pasūtītājs:</w:t>
      </w:r>
    </w:p>
    <w:p>
      <w:pPr>
        <w:pStyle w:val="ListParagraph"/>
        <w:widowControl/>
        <w:numPr>
          <w:ilvl w:val="0"/>
          <w:numId w:val="0"/>
        </w:numPr>
        <w:suppressAutoHyphens w:val="true"/>
        <w:bidi w:val="0"/>
        <w:spacing w:lineRule="auto" w:line="259" w:before="0" w:after="200"/>
        <w:ind w:hanging="0" w:start="0"/>
        <w:contextualSpacing/>
        <w:jc w:val="both"/>
        <w:rPr>
          <w:rFonts w:ascii="Times New Roman" w:hAnsi="Times New Roman" w:eastAsia="Calibri" w:cs="Times New Roman"/>
          <w:kern w:val="2"/>
          <w:lang w:eastAsia="en-US"/>
        </w:rPr>
      </w:pPr>
      <w:r>
        <w:rPr>
          <w:rFonts w:eastAsia="Calibri" w:cs="Times New Roman" w:ascii="Times New Roman" w:hAnsi="Times New Roman"/>
          <w:kern w:val="2"/>
          <w:lang w:eastAsia="en-US"/>
        </w:rPr>
      </w:r>
    </w:p>
    <w:tbl>
      <w:tblPr>
        <w:tblW w:w="9649" w:type="dxa"/>
        <w:jc w:val="start"/>
        <w:tblInd w:w="98" w:type="dxa"/>
        <w:tblLayout w:type="fixed"/>
        <w:tblCellMar>
          <w:top w:w="0" w:type="dxa"/>
          <w:start w:w="108" w:type="dxa"/>
          <w:bottom w:w="0" w:type="dxa"/>
          <w:end w:w="108" w:type="dxa"/>
        </w:tblCellMar>
      </w:tblPr>
      <w:tblGrid>
        <w:gridCol w:w="3838"/>
        <w:gridCol w:w="5810"/>
      </w:tblGrid>
      <w:tr>
        <w:trPr/>
        <w:tc>
          <w:tcPr>
            <w:tcW w:w="3838" w:type="dxa"/>
            <w:tcBorders>
              <w:top w:val="single" w:sz="4" w:space="0" w:color="000000"/>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iCs/>
                <w:lang w:eastAsia="zh-CN"/>
              </w:rPr>
            </w:pPr>
            <w:r>
              <w:rPr>
                <w:rFonts w:eastAsia="Times New Roman" w:cs="Times New Roman" w:ascii="Times New Roman" w:hAnsi="Times New Roman"/>
                <w:lang w:eastAsia="zh-CN"/>
              </w:rPr>
              <w:t>Nosaukums</w:t>
            </w:r>
          </w:p>
        </w:tc>
        <w:tc>
          <w:tcPr>
            <w:tcW w:w="581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
              <w:rPr>
                <w:rFonts w:ascii="Times New Roman" w:hAnsi="Times New Roman" w:cs="Times New Roman"/>
              </w:rPr>
            </w:pPr>
            <w:r>
              <w:rPr>
                <w:rFonts w:cs="Times New Roman" w:ascii="Times New Roman" w:hAnsi="Times New Roman"/>
              </w:rPr>
              <w:t xml:space="preserve">Sabiedrība ar ierobežotu atbildību „Dziedniecība” (turpmāk – </w:t>
            </w:r>
            <w:r>
              <w:rPr>
                <w:rFonts w:cs="Times New Roman" w:ascii="Times New Roman" w:hAnsi="Times New Roman"/>
                <w:b/>
                <w:bCs/>
              </w:rPr>
              <w:t>Pasūtītājs</w:t>
            </w:r>
            <w:r>
              <w:rPr>
                <w:rFonts w:cs="Times New Roman" w:ascii="Times New Roman" w:hAnsi="Times New Roman"/>
              </w:rPr>
              <w:t>)</w:t>
            </w:r>
          </w:p>
        </w:tc>
      </w:tr>
      <w:tr>
        <w:trPr/>
        <w:tc>
          <w:tcPr>
            <w:tcW w:w="3838" w:type="dxa"/>
            <w:tcBorders>
              <w:top w:val="single" w:sz="4" w:space="0" w:color="000000"/>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lang w:eastAsia="zh-CN"/>
              </w:rPr>
            </w:pPr>
            <w:r>
              <w:rPr>
                <w:rFonts w:eastAsia="Times New Roman" w:cs="Times New Roman" w:ascii="Times New Roman" w:hAnsi="Times New Roman"/>
                <w:lang w:eastAsia="zh-CN"/>
              </w:rPr>
              <w:t>Nodokļu maksātāja reģistrācijas Nr.</w:t>
            </w:r>
          </w:p>
        </w:tc>
        <w:tc>
          <w:tcPr>
            <w:tcW w:w="581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
              <w:rPr>
                <w:rFonts w:ascii="Times New Roman" w:hAnsi="Times New Roman" w:cs="Times New Roman"/>
              </w:rPr>
            </w:pPr>
            <w:r>
              <w:rPr>
                <w:rFonts w:cs="Times New Roman" w:ascii="Times New Roman" w:hAnsi="Times New Roman"/>
              </w:rPr>
              <w:t>40003074548</w:t>
            </w:r>
          </w:p>
        </w:tc>
      </w:tr>
      <w:tr>
        <w:trPr/>
        <w:tc>
          <w:tcPr>
            <w:tcW w:w="3838" w:type="dxa"/>
            <w:tcBorders>
              <w:top w:val="single" w:sz="4" w:space="0" w:color="000000"/>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lang w:eastAsia="zh-CN"/>
              </w:rPr>
            </w:pPr>
            <w:r>
              <w:rPr>
                <w:rFonts w:eastAsia="Times New Roman" w:cs="Times New Roman" w:ascii="Times New Roman" w:hAnsi="Times New Roman"/>
                <w:lang w:eastAsia="zh-CN"/>
              </w:rPr>
              <w:t>Juridiskā adrese</w:t>
            </w:r>
          </w:p>
        </w:tc>
        <w:tc>
          <w:tcPr>
            <w:tcW w:w="581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
              <w:rPr>
                <w:rFonts w:ascii="Times New Roman" w:hAnsi="Times New Roman" w:cs="Times New Roman"/>
              </w:rPr>
            </w:pPr>
            <w:r>
              <w:rPr>
                <w:rFonts w:cs="Times New Roman" w:ascii="Times New Roman" w:hAnsi="Times New Roman"/>
              </w:rPr>
              <w:t>Rušonu iela 15, Rīga, LV-1057</w:t>
            </w:r>
          </w:p>
        </w:tc>
      </w:tr>
      <w:tr>
        <w:trPr/>
        <w:tc>
          <w:tcPr>
            <w:tcW w:w="3838" w:type="dxa"/>
            <w:tcBorders>
              <w:top w:val="single" w:sz="4" w:space="0" w:color="000000"/>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lang w:eastAsia="zh-CN"/>
              </w:rPr>
            </w:pPr>
            <w:r>
              <w:rPr>
                <w:rFonts w:eastAsia="Times New Roman" w:cs="Times New Roman" w:ascii="Times New Roman" w:hAnsi="Times New Roman"/>
                <w:lang w:eastAsia="zh-CN"/>
              </w:rPr>
              <w:t>Telefona Nr.</w:t>
            </w:r>
          </w:p>
        </w:tc>
        <w:tc>
          <w:tcPr>
            <w:tcW w:w="581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before="0" w:after="0"/>
              <w:rPr>
                <w:rFonts w:ascii="Times New Roman" w:hAnsi="Times New Roman" w:cs="Times New Roman"/>
              </w:rPr>
            </w:pPr>
            <w:r>
              <w:rPr>
                <w:rFonts w:eastAsia="Times New Roman" w:cs="Times New Roman" w:ascii="Times New Roman" w:hAnsi="Times New Roman"/>
                <w:lang w:eastAsia="en-US"/>
              </w:rPr>
              <w:t>67255823</w:t>
            </w:r>
          </w:p>
        </w:tc>
      </w:tr>
      <w:tr>
        <w:trPr/>
        <w:tc>
          <w:tcPr>
            <w:tcW w:w="3838" w:type="dxa"/>
            <w:tcBorders>
              <w:top w:val="single" w:sz="4" w:space="0" w:color="000000"/>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lang w:val="en-US" w:eastAsia="zh-CN"/>
              </w:rPr>
            </w:pPr>
            <w:r>
              <w:rPr>
                <w:rFonts w:eastAsia="Times New Roman" w:cs="Times New Roman" w:ascii="Times New Roman" w:hAnsi="Times New Roman"/>
                <w:lang w:eastAsia="zh-CN"/>
              </w:rPr>
              <w:t>Oficiālā e-pasta adrese</w:t>
            </w:r>
          </w:p>
        </w:tc>
        <w:tc>
          <w:tcPr>
            <w:tcW w:w="581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before="0" w:after="0"/>
              <w:rPr>
                <w:rFonts w:ascii="Times New Roman" w:hAnsi="Times New Roman" w:cs="Times New Roman"/>
              </w:rPr>
            </w:pPr>
            <w:hyperlink r:id="rId3">
              <w:r>
                <w:rPr>
                  <w:rStyle w:val="Hyperlink"/>
                  <w:rFonts w:cs="Times New Roman" w:ascii="Times New Roman" w:hAnsi="Times New Roman"/>
                  <w:color w:val="000000"/>
                  <w:lang w:eastAsia="en-US"/>
                </w:rPr>
                <w:t>sekretars@mfd.lv</w:t>
              </w:r>
            </w:hyperlink>
          </w:p>
        </w:tc>
      </w:tr>
      <w:tr>
        <w:trPr>
          <w:trHeight w:val="745" w:hRule="atLeast"/>
        </w:trPr>
        <w:tc>
          <w:tcPr>
            <w:tcW w:w="3838" w:type="dxa"/>
            <w:tcBorders>
              <w:top w:val="single" w:sz="4" w:space="0" w:color="000000"/>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lang w:eastAsia="zh-CN"/>
              </w:rPr>
            </w:pPr>
            <w:r>
              <w:rPr>
                <w:rFonts w:cs="Times New Roman" w:ascii="Times New Roman" w:hAnsi="Times New Roman"/>
              </w:rPr>
              <w:t>Pasūtītāja kontaktpersonas</w:t>
            </w:r>
          </w:p>
        </w:tc>
        <w:tc>
          <w:tcPr>
            <w:tcW w:w="5810" w:type="dxa"/>
            <w:tcBorders>
              <w:top w:val="single" w:sz="4" w:space="0" w:color="000000"/>
              <w:start w:val="single" w:sz="4" w:space="0" w:color="000000"/>
              <w:bottom w:val="single" w:sz="4" w:space="0" w:color="000000"/>
              <w:end w:val="single" w:sz="4" w:space="0" w:color="000000"/>
            </w:tcBorders>
          </w:tcPr>
          <w:p>
            <w:pPr>
              <w:pStyle w:val="Normal"/>
              <w:numPr>
                <w:ilvl w:val="0"/>
                <w:numId w:val="0"/>
              </w:numPr>
              <w:spacing w:lineRule="auto" w:line="240" w:before="0" w:after="0"/>
              <w:ind w:hanging="0" w:start="0"/>
              <w:outlineLvl w:val="0"/>
              <w:rPr>
                <w:rFonts w:ascii="Times New Roman" w:hAnsi="Times New Roman" w:cs="Times New Roman"/>
                <w:shd w:fill="FFFF00" w:val="clear"/>
              </w:rPr>
            </w:pPr>
            <w:r>
              <w:rPr>
                <w:rFonts w:cs="Times New Roman" w:ascii="Times New Roman" w:hAnsi="Times New Roman"/>
              </w:rPr>
              <w:t xml:space="preserve">Inese Volka,  </w:t>
            </w:r>
            <w:r>
              <w:rPr>
                <w:rFonts w:cs="Times New Roman" w:ascii="Times New Roman" w:hAnsi="Times New Roman"/>
                <w:color w:val="000000"/>
                <w:lang w:eastAsia="en-US"/>
              </w:rPr>
              <w:t xml:space="preserve">e-pasta adrese: </w:t>
            </w:r>
            <w:hyperlink r:id="rId4">
              <w:r>
                <w:rPr>
                  <w:rStyle w:val="Hyperlink"/>
                  <w:rFonts w:cs="Times New Roman" w:ascii="Times New Roman" w:hAnsi="Times New Roman"/>
                  <w:lang w:eastAsia="en-US"/>
                </w:rPr>
                <w:t>inese.volka@mfd.lv</w:t>
              </w:r>
            </w:hyperlink>
          </w:p>
          <w:p>
            <w:pPr>
              <w:pStyle w:val="Normal"/>
              <w:numPr>
                <w:ilvl w:val="0"/>
                <w:numId w:val="0"/>
              </w:numPr>
              <w:spacing w:lineRule="auto" w:line="240" w:before="0" w:after="0"/>
              <w:ind w:hanging="0" w:start="0"/>
              <w:outlineLvl w:val="0"/>
              <w:rPr>
                <w:rFonts w:ascii="Times New Roman" w:hAnsi="Times New Roman" w:cs="Times New Roman"/>
              </w:rPr>
            </w:pPr>
            <w:r>
              <w:rPr>
                <w:rFonts w:cs="Times New Roman" w:ascii="Times New Roman" w:hAnsi="Times New Roman"/>
              </w:rPr>
              <w:t>tālruņa Nr. 28715970</w:t>
            </w:r>
          </w:p>
        </w:tc>
      </w:tr>
    </w:tbl>
    <w:p>
      <w:pPr>
        <w:pStyle w:val="ListParagraph"/>
        <w:widowControl/>
        <w:numPr>
          <w:ilvl w:val="1"/>
          <w:numId w:val="4"/>
        </w:numPr>
        <w:suppressAutoHyphens w:val="true"/>
        <w:bidi w:val="0"/>
        <w:spacing w:lineRule="auto" w:line="259"/>
        <w:ind w:hanging="432" w:start="0"/>
        <w:jc w:val="both"/>
        <w:rPr>
          <w:rFonts w:ascii="Times New Roman" w:hAnsi="Times New Roman" w:eastAsia="Calibri" w:cs="Times New Roman"/>
          <w:b w:val="false"/>
          <w:bCs w:val="false"/>
          <w:kern w:val="2"/>
          <w:lang w:val="lv-LV" w:eastAsia="en-US"/>
        </w:rPr>
      </w:pPr>
      <w:r>
        <w:rPr>
          <w:rFonts w:eastAsia="Calibri" w:cs="Times New Roman" w:ascii="Times New Roman" w:hAnsi="Times New Roman"/>
          <w:b w:val="false"/>
          <w:bCs w:val="false"/>
          <w:kern w:val="2"/>
          <w:lang w:val="lv-LV" w:eastAsia="en-US"/>
        </w:rPr>
        <w:t>Pasūtītājs organizē iepirkumu “</w:t>
      </w:r>
      <w:r>
        <w:rPr>
          <w:rFonts w:eastAsia="Times New Roman" w:cs="Times New Roman" w:ascii="Times New Roman" w:hAnsi="Times New Roman"/>
          <w:b w:val="false"/>
          <w:bCs w:val="false"/>
          <w:color w:val="auto"/>
          <w:kern w:val="0"/>
          <w:sz w:val="24"/>
          <w:szCs w:val="24"/>
          <w:lang w:val="lv-LV" w:eastAsia="en-US" w:bidi="ar-SA"/>
        </w:rPr>
        <w:t>Vides pieejamības pasākumu realizācija MFD Doktorātā “Prūšu””.</w:t>
      </w:r>
      <w:r>
        <w:rPr>
          <w:rFonts w:eastAsia="Calibri" w:cs="Times New Roman" w:ascii="Times New Roman" w:hAnsi="Times New Roman"/>
          <w:b w:val="false"/>
          <w:bCs w:val="false"/>
          <w:kern w:val="2"/>
          <w:lang w:val="lv-LV" w:eastAsia="en-US"/>
        </w:rPr>
        <w:t xml:space="preserve"> </w:t>
      </w:r>
    </w:p>
    <w:p>
      <w:pPr>
        <w:pStyle w:val="ListParagraph"/>
        <w:widowControl/>
        <w:numPr>
          <w:ilvl w:val="1"/>
          <w:numId w:val="4"/>
        </w:numPr>
        <w:suppressAutoHyphens w:val="true"/>
        <w:bidi w:val="0"/>
        <w:spacing w:lineRule="auto" w:line="259" w:before="0" w:after="200"/>
        <w:ind w:hanging="432" w:start="0"/>
        <w:contextualSpacing/>
        <w:jc w:val="both"/>
        <w:rPr/>
      </w:pPr>
      <w:r>
        <w:rPr>
          <w:rFonts w:eastAsia="Calibri" w:cs="Times New Roman" w:ascii="Times New Roman" w:hAnsi="Times New Roman"/>
          <w:kern w:val="2"/>
          <w:lang w:eastAsia="en-US"/>
        </w:rPr>
        <w:t xml:space="preserve">Iepirkums tiek organizēts saskaņā ar Ministru kabineta 2025.gada 7.janvāra noteikumiem Nr. 23 “Eiropas Savienības kohēzijas politikas programmas 2021.–2027. gadam 4.1.1. specifiskā atbalsta mērķa ”Nodrošināt vienlīdzīgu piekļuvi veselības aprūpei un stiprināt veselības sistēmu, tostarp primārās veselības aprūpes noturību “4.1.1.3. pasākuma “Primārās veselības aprūpes lomas stiprināšana, attīstot infrastruktūru” otrās kārtas īstenošanas noteikumi”, </w:t>
      </w:r>
      <w:r>
        <w:rPr>
          <w:rFonts w:eastAsia="Calibri" w:cs="Times New Roman" w:ascii="Times New Roman" w:hAnsi="Times New Roman"/>
          <w:b w:val="false"/>
          <w:bCs w:val="false"/>
          <w:kern w:val="2"/>
          <w:lang w:eastAsia="en-US"/>
        </w:rPr>
        <w:t>ES un Latvijas Republikas normatīvajiem aktiem par ES fondu vadību un Sadarbības iestādes 24.07.2025. lēmumu Nr. 39-2-10/3671 par projekta iesnieguma “Primārās veselības aprūpes lomas stiprināšana, attīstot infrastruktūru SIA “Dziedniecība” telpās” (turpmāk -</w:t>
      </w:r>
      <w:r>
        <w:rPr>
          <w:rFonts w:eastAsia="Calibri" w:cs="Times New Roman" w:ascii="Times New Roman" w:hAnsi="Times New Roman"/>
          <w:b/>
          <w:bCs/>
          <w:kern w:val="2"/>
          <w:lang w:eastAsia="en-US"/>
        </w:rPr>
        <w:t xml:space="preserve"> Projekts</w:t>
      </w:r>
      <w:r>
        <w:rPr>
          <w:rFonts w:eastAsia="Calibri" w:cs="Times New Roman" w:ascii="Times New Roman" w:hAnsi="Times New Roman"/>
          <w:b w:val="false"/>
          <w:bCs w:val="false"/>
          <w:kern w:val="2"/>
          <w:lang w:eastAsia="en-US"/>
        </w:rPr>
        <w:t>)</w:t>
      </w:r>
      <w:r>
        <w:rPr>
          <w:rFonts w:eastAsia="Calibri" w:cs="Times New Roman" w:ascii="Times New Roman" w:hAnsi="Times New Roman"/>
          <w:b/>
          <w:bCs/>
          <w:kern w:val="2"/>
          <w:lang w:eastAsia="en-US"/>
        </w:rPr>
        <w:t xml:space="preserve"> </w:t>
      </w:r>
      <w:r>
        <w:rPr>
          <w:rFonts w:eastAsia="Calibri" w:cs="Times New Roman" w:ascii="Times New Roman" w:hAnsi="Times New Roman"/>
          <w:b w:val="false"/>
          <w:bCs w:val="false"/>
          <w:kern w:val="2"/>
          <w:lang w:eastAsia="en-US"/>
        </w:rPr>
        <w:t xml:space="preserve">apstiprināšanu ar nosacījumu un 21.10.2025. atzinumu Nr. 39-2-10/5192 par lēmumā ietverto nosacījumu izpildi, </w:t>
      </w:r>
      <w:r>
        <w:rPr>
          <w:rFonts w:eastAsia="Calibri" w:cs="Times New Roman" w:ascii="Times New Roman" w:hAnsi="Times New Roman"/>
          <w:b/>
          <w:bCs/>
          <w:kern w:val="2"/>
          <w:lang w:eastAsia="en-US"/>
        </w:rPr>
        <w:t xml:space="preserve">projekts Nr. 4.1.1.3/2/25/A/066 Primārās veselības aprūpes lomas stiprināšana, attīstot infrastruktūru </w:t>
      </w:r>
      <w:r>
        <w:rPr>
          <w:rStyle w:val="Strong"/>
          <w:rFonts w:eastAsia="Calibri" w:cs="Times New Roman" w:ascii="Times New Roman" w:hAnsi="Times New Roman"/>
          <w:kern w:val="2"/>
          <w:sz w:val="24"/>
          <w:szCs w:val="24"/>
          <w:lang w:eastAsia="en-US"/>
        </w:rPr>
        <w:t>Sabiedrības ar ierobežotu atbildību</w:t>
      </w:r>
      <w:r>
        <w:rPr>
          <w:rFonts w:eastAsia="Calibri" w:cs="Times New Roman" w:ascii="Times New Roman" w:hAnsi="Times New Roman"/>
          <w:b/>
          <w:bCs/>
          <w:kern w:val="2"/>
          <w:lang w:eastAsia="en-US"/>
        </w:rPr>
        <w:t xml:space="preserve"> “Dziedniecība” telpās.</w:t>
      </w:r>
    </w:p>
    <w:p>
      <w:pPr>
        <w:pStyle w:val="ListParagraph"/>
        <w:widowControl/>
        <w:numPr>
          <w:ilvl w:val="1"/>
          <w:numId w:val="4"/>
        </w:numPr>
        <w:suppressAutoHyphens w:val="true"/>
        <w:bidi w:val="0"/>
        <w:spacing w:lineRule="auto" w:line="259" w:before="0" w:after="200"/>
        <w:ind w:hanging="432" w:start="0"/>
        <w:contextualSpacing/>
        <w:jc w:val="both"/>
        <w:rPr/>
      </w:pPr>
      <w:r>
        <w:rPr>
          <w:rFonts w:eastAsia="Calibri" w:cs="Times New Roman" w:ascii="Times New Roman" w:hAnsi="Times New Roman"/>
          <w:kern w:val="2"/>
          <w:lang w:eastAsia="en-US"/>
        </w:rPr>
        <w:t xml:space="preserve">Iepirkumu veikšanai Pasūtītājs ir izveidojis iepirkumu komisiju (turpmāk </w:t>
      </w:r>
      <w:r>
        <w:rPr>
          <w:rFonts w:eastAsia="Calibri" w:cs="Times New Roman" w:ascii="Times New Roman" w:hAnsi="Times New Roman"/>
          <w:b/>
          <w:bCs/>
          <w:kern w:val="2"/>
          <w:lang w:eastAsia="en-US"/>
        </w:rPr>
        <w:t>-</w:t>
      </w:r>
      <w:r>
        <w:rPr>
          <w:rFonts w:eastAsia="Calibri" w:cs="Times New Roman" w:ascii="Times New Roman" w:hAnsi="Times New Roman"/>
          <w:kern w:val="2"/>
          <w:lang w:eastAsia="en-US"/>
        </w:rPr>
        <w:t xml:space="preserve"> </w:t>
      </w:r>
      <w:r>
        <w:rPr>
          <w:rFonts w:eastAsia="Calibri" w:cs="Times New Roman" w:ascii="Times New Roman" w:hAnsi="Times New Roman"/>
          <w:b/>
          <w:bCs/>
          <w:kern w:val="2"/>
          <w:lang w:eastAsia="en-US"/>
        </w:rPr>
        <w:t>Komisija</w:t>
      </w:r>
      <w:r>
        <w:rPr>
          <w:rFonts w:eastAsia="Calibri" w:cs="Times New Roman" w:ascii="Times New Roman" w:hAnsi="Times New Roman"/>
          <w:kern w:val="2"/>
          <w:lang w:eastAsia="en-US"/>
        </w:rPr>
        <w:t>), kas pārstāv Pasūtītāja intereses.</w:t>
      </w:r>
    </w:p>
    <w:p>
      <w:pPr>
        <w:pStyle w:val="ListParagraph"/>
        <w:widowControl/>
        <w:numPr>
          <w:ilvl w:val="1"/>
          <w:numId w:val="4"/>
        </w:numPr>
        <w:suppressAutoHyphens w:val="true"/>
        <w:bidi w:val="0"/>
        <w:spacing w:lineRule="auto" w:line="259" w:before="0" w:after="200"/>
        <w:ind w:hanging="432" w:start="0"/>
        <w:contextualSpacing/>
        <w:jc w:val="both"/>
        <w:rPr>
          <w:b w:val="false"/>
          <w:bCs w:val="false"/>
        </w:rPr>
      </w:pPr>
      <w:r>
        <w:rPr>
          <w:rFonts w:eastAsia="Calibri" w:cs="Times New Roman" w:ascii="Times New Roman" w:hAnsi="Times New Roman"/>
          <w:b w:val="false"/>
          <w:bCs w:val="false"/>
          <w:iCs/>
          <w:kern w:val="2"/>
          <w:szCs w:val="24"/>
          <w:lang w:eastAsia="en-US"/>
        </w:rPr>
        <w:t>Saziņa starp Pasūtītāju un ieinteresētajiem Pretendentiem iepirkuma ietvaros notiek valsts valodā, rakstiski, pa pastu vai elektroniski (e-pastu). Pa e-pastu sūtītā informācija uzskatāma par saņemtu, ja pasūtītāja kontaktpersona nosūtījusi apstiprinošu e-pasta atbildes vēstuli tās sūtītājam vienas darba dienas laikā.</w:t>
      </w:r>
    </w:p>
    <w:p>
      <w:pPr>
        <w:pStyle w:val="ListParagraph"/>
        <w:widowControl/>
        <w:suppressAutoHyphens w:val="true"/>
        <w:bidi w:val="0"/>
        <w:spacing w:lineRule="auto" w:line="259" w:before="0" w:after="200"/>
        <w:ind w:hanging="0" w:start="0"/>
        <w:contextualSpacing/>
        <w:jc w:val="both"/>
        <w:rPr>
          <w:rFonts w:ascii="Times New Roman" w:hAnsi="Times New Roman" w:eastAsia="Calibri" w:cs="Times New Roman"/>
          <w:kern w:val="2"/>
          <w:lang w:eastAsia="en-US"/>
        </w:rPr>
      </w:pPr>
      <w:r>
        <w:rPr>
          <w:rFonts w:eastAsia="Calibri" w:cs="Times New Roman" w:ascii="Times New Roman" w:hAnsi="Times New Roman"/>
          <w:kern w:val="2"/>
          <w:lang w:eastAsia="en-US"/>
        </w:rPr>
      </w:r>
    </w:p>
    <w:p>
      <w:pPr>
        <w:pStyle w:val="ListParagraph"/>
        <w:widowControl/>
        <w:numPr>
          <w:ilvl w:val="0"/>
          <w:numId w:val="0"/>
        </w:numPr>
        <w:suppressAutoHyphens w:val="true"/>
        <w:bidi w:val="0"/>
        <w:spacing w:lineRule="auto" w:line="259" w:before="0" w:after="200"/>
        <w:ind w:hanging="0" w:start="0"/>
        <w:contextualSpacing/>
        <w:jc w:val="both"/>
        <w:rPr/>
      </w:pPr>
      <w:r>
        <w:rPr/>
      </w:r>
    </w:p>
    <w:p>
      <w:pPr>
        <w:pStyle w:val="BodyText"/>
        <w:widowControl/>
        <w:numPr>
          <w:ilvl w:val="0"/>
          <w:numId w:val="4"/>
        </w:numPr>
        <w:suppressAutoHyphens w:val="true"/>
        <w:bidi w:val="0"/>
        <w:spacing w:lineRule="auto" w:line="360"/>
        <w:jc w:val="center"/>
        <w:rPr>
          <w:b/>
          <w:bCs/>
          <w:color w:val="auto"/>
          <w:kern w:val="0"/>
          <w:szCs w:val="24"/>
          <w:lang w:val="lv-LV" w:bidi="ar-SA"/>
        </w:rPr>
      </w:pPr>
      <w:r>
        <w:rPr>
          <w:b/>
          <w:bCs/>
          <w:color w:val="auto"/>
          <w:kern w:val="0"/>
          <w:szCs w:val="24"/>
          <w:lang w:val="lv-LV" w:bidi="ar-SA"/>
        </w:rPr>
        <w:t>INFORMĀCIJA PAR IEPIRKUMA PRIEKŠMETU</w:t>
      </w:r>
    </w:p>
    <w:p>
      <w:pPr>
        <w:pStyle w:val="ListParagraph"/>
        <w:widowControl/>
        <w:numPr>
          <w:ilvl w:val="1"/>
          <w:numId w:val="4"/>
        </w:numPr>
        <w:suppressAutoHyphens w:val="true"/>
        <w:bidi w:val="0"/>
        <w:spacing w:lineRule="auto" w:line="259"/>
        <w:ind w:hanging="432" w:start="0"/>
        <w:jc w:val="both"/>
        <w:rPr>
          <w:rFonts w:ascii="Times New Roman" w:hAnsi="Times New Roman" w:eastAsia="Calibri" w:cs="Times New Roman"/>
          <w:b w:val="false"/>
          <w:bCs w:val="false"/>
          <w:iCs/>
          <w:color w:val="auto"/>
          <w:kern w:val="2"/>
          <w:sz w:val="22"/>
          <w:szCs w:val="24"/>
          <w:lang w:val="lv-LV" w:eastAsia="en-US" w:bidi="ar-SA"/>
        </w:rPr>
      </w:pPr>
      <w:r>
        <w:rPr>
          <w:rFonts w:eastAsia="Calibri" w:cs="Times New Roman" w:ascii="Times New Roman" w:hAnsi="Times New Roman"/>
          <w:b w:val="false"/>
          <w:bCs w:val="false"/>
          <w:iCs/>
          <w:color w:val="auto"/>
          <w:kern w:val="2"/>
          <w:sz w:val="22"/>
          <w:szCs w:val="24"/>
          <w:lang w:val="lv-LV" w:eastAsia="en-US" w:bidi="ar-SA"/>
        </w:rPr>
        <w:t>Iepirkuma priekšmets ir vienkāršotie atjaunošanas darbi telpu pielāgošanai v</w:t>
      </w:r>
      <w:r>
        <w:rPr>
          <w:rFonts w:eastAsia="Times New Roman" w:cs="Times New Roman" w:ascii="Times New Roman" w:hAnsi="Times New Roman"/>
          <w:b w:val="false"/>
          <w:bCs w:val="false"/>
          <w:iCs/>
          <w:color w:val="auto"/>
          <w:kern w:val="0"/>
          <w:sz w:val="24"/>
          <w:szCs w:val="24"/>
          <w:lang w:val="lv-LV" w:eastAsia="en-US" w:bidi="ar-SA"/>
        </w:rPr>
        <w:t>ides pieejamības pasākumu realizācija MFD Doktorātā “Prūšu”</w:t>
      </w:r>
      <w:r>
        <w:rPr>
          <w:rFonts w:eastAsia="Calibri" w:cs="Times New Roman" w:ascii="Times New Roman" w:hAnsi="Times New Roman"/>
          <w:b w:val="false"/>
          <w:bCs w:val="false"/>
          <w:iCs/>
          <w:color w:val="auto"/>
          <w:kern w:val="2"/>
          <w:sz w:val="22"/>
          <w:szCs w:val="24"/>
          <w:lang w:val="lv-LV" w:eastAsia="en-US" w:bidi="ar-SA"/>
        </w:rPr>
        <w:t>, saskaņā ar tehnisko specifikāciju (2.pielikums).</w:t>
      </w:r>
    </w:p>
    <w:p>
      <w:pPr>
        <w:pStyle w:val="ListParagraph"/>
        <w:widowControl/>
        <w:numPr>
          <w:ilvl w:val="1"/>
          <w:numId w:val="4"/>
        </w:numPr>
        <w:suppressAutoHyphens w:val="true"/>
        <w:bidi w:val="0"/>
        <w:spacing w:lineRule="auto" w:line="259"/>
        <w:ind w:hanging="432" w:start="0"/>
        <w:jc w:val="both"/>
        <w:rPr>
          <w:rFonts w:ascii="Times New Roman" w:hAnsi="Times New Roman" w:eastAsia="Calibri" w:cs="Times New Roman"/>
          <w:b w:val="false"/>
          <w:bCs w:val="false"/>
          <w:iCs/>
          <w:color w:val="auto"/>
          <w:kern w:val="2"/>
          <w:sz w:val="22"/>
          <w:szCs w:val="24"/>
          <w:lang w:val="lv-LV" w:eastAsia="en-US" w:bidi="ar-SA"/>
        </w:rPr>
      </w:pPr>
      <w:r>
        <w:rPr>
          <w:rFonts w:eastAsia="Calibri" w:cs="Times New Roman" w:ascii="Times New Roman" w:hAnsi="Times New Roman"/>
          <w:b w:val="false"/>
          <w:bCs w:val="false"/>
          <w:iCs/>
          <w:color w:val="auto"/>
          <w:kern w:val="2"/>
          <w:sz w:val="22"/>
          <w:szCs w:val="24"/>
          <w:lang w:val="lv-LV" w:eastAsia="en-US" w:bidi="ar-SA"/>
        </w:rPr>
        <w:t>Iepirkuma priekšmeta CPV kods: 45000000-7 – celtniecības darbi.</w:t>
      </w:r>
    </w:p>
    <w:p>
      <w:pPr>
        <w:pStyle w:val="ListParagraph"/>
        <w:widowControl/>
        <w:numPr>
          <w:ilvl w:val="1"/>
          <w:numId w:val="4"/>
        </w:numPr>
        <w:suppressAutoHyphens w:val="true"/>
        <w:bidi w:val="0"/>
        <w:spacing w:lineRule="auto" w:line="259" w:before="0" w:after="200"/>
        <w:ind w:hanging="432" w:start="0"/>
        <w:contextualSpacing/>
        <w:jc w:val="both"/>
        <w:rPr/>
      </w:pPr>
      <w:r>
        <w:rPr>
          <w:rFonts w:cs="Times New Roman" w:ascii="Times New Roman" w:hAnsi="Times New Roman"/>
        </w:rPr>
        <w:t>Iepirkuma priekšmets nav sadalīts daļās</w:t>
      </w:r>
      <w:r>
        <w:rPr>
          <w:rStyle w:val="FootnoteReference"/>
          <w:rFonts w:cs="Times New Roman" w:ascii="Times New Roman" w:hAnsi="Times New Roman"/>
        </w:rPr>
        <w:footnoteReference w:id="2"/>
      </w:r>
      <w:r>
        <w:rPr>
          <w:rFonts w:cs="Times New Roman" w:ascii="Times New Roman" w:hAnsi="Times New Roman"/>
        </w:rPr>
        <w:t>.</w:t>
      </w:r>
    </w:p>
    <w:p>
      <w:pPr>
        <w:pStyle w:val="ListParagraph"/>
        <w:widowControl/>
        <w:numPr>
          <w:ilvl w:val="1"/>
          <w:numId w:val="4"/>
        </w:numPr>
        <w:suppressAutoHyphens w:val="true"/>
        <w:bidi w:val="0"/>
        <w:spacing w:lineRule="auto" w:line="259" w:before="0" w:after="200"/>
        <w:ind w:hanging="432" w:start="0"/>
        <w:contextualSpacing/>
        <w:jc w:val="both"/>
        <w:rPr/>
      </w:pPr>
      <w:r>
        <w:rPr>
          <w:sz w:val="23"/>
        </w:rPr>
        <w:t>I</w:t>
      </w:r>
      <w:r>
        <w:rPr>
          <w:rFonts w:ascii="Times New Roman" w:hAnsi="Times New Roman"/>
          <w:sz w:val="23"/>
        </w:rPr>
        <w:t xml:space="preserve">epirkuma līguma slēgšanas tiesības tiks piešķirtas vienam Pretendentam, kura piedāvājums tiks atzīts par atbilstošu Nolikuma un Tehniskās specifikācijas prasībām un ar viszemāko cenu. Ja ir divi piedāvājumi ar vienādu cenu, izšķirošā balss ir Iepirkumu komisijas priekšsēdētājam. </w:t>
      </w:r>
    </w:p>
    <w:p>
      <w:pPr>
        <w:pStyle w:val="ListParagraph"/>
        <w:widowControl/>
        <w:numPr>
          <w:ilvl w:val="1"/>
          <w:numId w:val="4"/>
        </w:numPr>
        <w:suppressAutoHyphens w:val="true"/>
        <w:bidi w:val="0"/>
        <w:spacing w:lineRule="auto" w:line="259" w:before="0" w:after="200"/>
        <w:ind w:hanging="432" w:start="0"/>
        <w:contextualSpacing/>
        <w:jc w:val="both"/>
        <w:rPr>
          <w:rFonts w:ascii="Times New Roman" w:hAnsi="Times New Roman" w:cs="Times New Roman"/>
        </w:rPr>
      </w:pPr>
      <w:r>
        <w:rPr>
          <w:rFonts w:cs="Times New Roman" w:ascii="Times New Roman" w:hAnsi="Times New Roman"/>
        </w:rPr>
        <w:t>Līguma izpildes vieta: Prūšu iela 13, Rīga.</w:t>
      </w:r>
    </w:p>
    <w:p>
      <w:pPr>
        <w:pStyle w:val="ListParagraph"/>
        <w:widowControl/>
        <w:numPr>
          <w:ilvl w:val="1"/>
          <w:numId w:val="4"/>
        </w:numPr>
        <w:suppressAutoHyphens w:val="true"/>
        <w:bidi w:val="0"/>
        <w:spacing w:lineRule="auto" w:line="259" w:before="0" w:after="200"/>
        <w:ind w:hanging="432" w:start="0"/>
        <w:contextualSpacing/>
        <w:jc w:val="both"/>
        <w:rPr/>
      </w:pPr>
      <w:bookmarkStart w:id="3" w:name="_Hlk136000239"/>
      <w:r>
        <w:rPr>
          <w:rFonts w:cs="Times New Roman" w:ascii="Times New Roman" w:hAnsi="Times New Roman"/>
        </w:rPr>
        <w:t xml:space="preserve">Līguma izpildes termiņš:  ne ilgāk par </w:t>
      </w:r>
      <w:r>
        <w:rPr>
          <w:rFonts w:cs="Times New Roman" w:ascii="Times New Roman" w:hAnsi="Times New Roman"/>
          <w:b/>
        </w:rPr>
        <w:t>5 (pieci) mēnešiem</w:t>
      </w:r>
      <w:r>
        <w:rPr>
          <w:rFonts w:cs="Times New Roman" w:ascii="Times New Roman" w:hAnsi="Times New Roman"/>
        </w:rPr>
        <w:t xml:space="preserve"> no līguma noslēgšanas dienas, līguma izpildes laikā MFD Doktorāta darbība turpināsies un netiks pārtraukta. Pasūtītājs ir noteicis prasības un nosacījumus darbu veikšanai </w:t>
      </w:r>
      <w:r>
        <w:rPr>
          <w:rFonts w:eastAsia="Calibri" w:cs="Times New Roman" w:ascii="Times New Roman" w:hAnsi="Times New Roman"/>
        </w:rPr>
        <w:t>Nolikuma 2.pielikumā “Tehniskā specifikācija”</w:t>
      </w:r>
      <w:bookmarkEnd w:id="3"/>
      <w:r>
        <w:rPr>
          <w:rFonts w:eastAsia="Calibri" w:cs="Times New Roman" w:ascii="Times New Roman" w:hAnsi="Times New Roman"/>
        </w:rPr>
        <w:t>.</w:t>
      </w:r>
    </w:p>
    <w:p>
      <w:pPr>
        <w:pStyle w:val="ListParagraph"/>
        <w:widowControl/>
        <w:numPr>
          <w:ilvl w:val="1"/>
          <w:numId w:val="4"/>
        </w:numPr>
        <w:suppressAutoHyphens w:val="true"/>
        <w:bidi w:val="0"/>
        <w:spacing w:lineRule="auto" w:line="259" w:before="0" w:after="200"/>
        <w:ind w:hanging="432" w:start="0"/>
        <w:contextualSpacing/>
        <w:jc w:val="both"/>
        <w:rPr/>
      </w:pPr>
      <w:r>
        <w:rPr>
          <w:rFonts w:cs="Times New Roman" w:ascii="Times New Roman" w:hAnsi="Times New Roman"/>
          <w:b/>
        </w:rPr>
        <w:t>Paredzamā līgumcena</w:t>
      </w:r>
      <w:r>
        <w:rPr>
          <w:rFonts w:cs="Times New Roman" w:ascii="Times New Roman" w:hAnsi="Times New Roman"/>
          <w:bCs/>
        </w:rPr>
        <w:t>:</w:t>
      </w:r>
    </w:p>
    <w:tbl>
      <w:tblPr>
        <w:tblW w:w="5000" w:type="pct"/>
        <w:jc w:val="center"/>
        <w:tblInd w:w="0" w:type="dxa"/>
        <w:tblLayout w:type="fixed"/>
        <w:tblCellMar>
          <w:top w:w="0" w:type="dxa"/>
          <w:start w:w="108" w:type="dxa"/>
          <w:bottom w:w="0" w:type="dxa"/>
          <w:end w:w="108" w:type="dxa"/>
        </w:tblCellMar>
      </w:tblPr>
      <w:tblGrid>
        <w:gridCol w:w="6466"/>
        <w:gridCol w:w="3198"/>
      </w:tblGrid>
      <w:tr>
        <w:trPr>
          <w:trHeight w:val="430" w:hRule="atLeast"/>
        </w:trPr>
        <w:tc>
          <w:tcPr>
            <w:tcW w:w="6466" w:type="dxa"/>
            <w:tcBorders>
              <w:top w:val="single" w:sz="4" w:space="0" w:color="000000"/>
              <w:start w:val="single" w:sz="4" w:space="0" w:color="000000"/>
              <w:bottom w:val="single" w:sz="4" w:space="0" w:color="000000"/>
              <w:end w:val="single" w:sz="4" w:space="0" w:color="000000"/>
            </w:tcBorders>
            <w:shd w:fill="F2F2F2" w:val="clear"/>
            <w:vAlign w:val="center"/>
          </w:tcPr>
          <w:p>
            <w:pPr>
              <w:pStyle w:val="Normal"/>
              <w:spacing w:before="0" w:after="160"/>
              <w:ind w:start="720"/>
              <w:jc w:val="center"/>
              <w:rPr>
                <w:rFonts w:ascii="Times New Roman" w:hAnsi="Times New Roman"/>
              </w:rPr>
            </w:pPr>
            <w:r>
              <w:rPr>
                <w:rFonts w:cs="Times New Roman" w:ascii="Times New Roman" w:hAnsi="Times New Roman"/>
                <w:szCs w:val="24"/>
              </w:rPr>
              <w:t>Iepirkuma priekšmets</w:t>
            </w:r>
          </w:p>
        </w:tc>
        <w:tc>
          <w:tcPr>
            <w:tcW w:w="3198" w:type="dxa"/>
            <w:tcBorders>
              <w:top w:val="single" w:sz="4" w:space="0" w:color="000000"/>
              <w:start w:val="single" w:sz="4" w:space="0" w:color="000000"/>
              <w:bottom w:val="single" w:sz="4" w:space="0" w:color="000000"/>
              <w:end w:val="single" w:sz="4" w:space="0" w:color="000000"/>
            </w:tcBorders>
            <w:shd w:fill="F2F2F2" w:val="clear"/>
            <w:vAlign w:val="center"/>
          </w:tcPr>
          <w:p>
            <w:pPr>
              <w:pStyle w:val="Normal"/>
              <w:spacing w:before="0" w:after="160"/>
              <w:ind w:start="181" w:end="106"/>
              <w:jc w:val="center"/>
              <w:rPr>
                <w:rFonts w:ascii="Times New Roman" w:hAnsi="Times New Roman"/>
              </w:rPr>
            </w:pPr>
            <w:r>
              <w:rPr>
                <w:rFonts w:cs="Times New Roman" w:ascii="Times New Roman" w:hAnsi="Times New Roman"/>
                <w:szCs w:val="24"/>
              </w:rPr>
              <w:t>Paredzamā līguma summa, EUR bez PVN</w:t>
            </w:r>
          </w:p>
        </w:tc>
      </w:tr>
      <w:tr>
        <w:trPr>
          <w:trHeight w:val="236" w:hRule="atLeast"/>
        </w:trPr>
        <w:tc>
          <w:tcPr>
            <w:tcW w:w="6466" w:type="dxa"/>
            <w:tcBorders>
              <w:top w:val="single" w:sz="4" w:space="0" w:color="000000"/>
              <w:start w:val="single" w:sz="4" w:space="0" w:color="000000"/>
              <w:bottom w:val="single" w:sz="4" w:space="0" w:color="000000"/>
              <w:end w:val="single" w:sz="4" w:space="0" w:color="000000"/>
            </w:tcBorders>
            <w:shd w:fill="FFFFFF" w:val="clear"/>
            <w:vAlign w:val="center"/>
          </w:tcPr>
          <w:p>
            <w:pPr>
              <w:pStyle w:val="Normal"/>
              <w:spacing w:before="0" w:after="160"/>
              <w:ind w:start="283"/>
              <w:rPr>
                <w:rFonts w:ascii="Times New Roman" w:hAnsi="Times New Roman"/>
              </w:rPr>
            </w:pPr>
            <w:r>
              <w:rPr>
                <w:rFonts w:ascii="Times New Roman" w:hAnsi="Times New Roman"/>
              </w:rPr>
              <w:t>Nodrošināt vi</w:t>
            </w:r>
            <w:r>
              <w:rPr>
                <w:rFonts w:eastAsia="Calibri" w:cs="Times New Roman" w:ascii="Times New Roman" w:hAnsi="Times New Roman"/>
                <w:kern w:val="2"/>
                <w:lang w:eastAsia="en-US"/>
              </w:rPr>
              <w:t xml:space="preserve">enkāršotus atjaunošanas darbus telpu pielāgošanai vides pieejamībai </w:t>
            </w:r>
            <w:r>
              <w:rPr>
                <w:rFonts w:eastAsia="Calibri" w:cs="Times New Roman" w:ascii="Times New Roman" w:hAnsi="Times New Roman"/>
                <w:color w:val="auto"/>
                <w:kern w:val="2"/>
                <w:sz w:val="22"/>
                <w:szCs w:val="22"/>
                <w:lang w:val="lv-LV" w:eastAsia="en-US" w:bidi="ar-SA"/>
              </w:rPr>
              <w:t>MFD Doktorātā “Prūšu”, tajā skaitā:</w:t>
            </w:r>
          </w:p>
        </w:tc>
        <w:tc>
          <w:tcPr>
            <w:tcW w:w="3198"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20"/>
                <w:tab w:val="left" w:pos="0" w:leader="none"/>
                <w:tab w:val="left" w:pos="142" w:leader="none"/>
                <w:tab w:val="left" w:pos="426" w:leader="none"/>
              </w:tabs>
              <w:spacing w:before="0" w:after="160"/>
              <w:ind w:start="1"/>
              <w:jc w:val="center"/>
              <w:rPr>
                <w:rFonts w:ascii="Times New Roman" w:hAnsi="Times New Roman"/>
              </w:rPr>
            </w:pPr>
            <w:r>
              <w:rPr>
                <w:rFonts w:eastAsia="Times New Roman" w:cs="Times New Roman" w:ascii="Times New Roman" w:hAnsi="Times New Roman"/>
                <w:bCs/>
                <w:color w:themeColor="dark1" w:val="000000"/>
                <w:szCs w:val="24"/>
              </w:rPr>
              <w:t>20 140.49</w:t>
            </w:r>
          </w:p>
        </w:tc>
      </w:tr>
      <w:tr>
        <w:trPr>
          <w:trHeight w:val="236" w:hRule="atLeast"/>
        </w:trPr>
        <w:tc>
          <w:tcPr>
            <w:tcW w:w="6466" w:type="dxa"/>
            <w:tcBorders>
              <w:start w:val="single" w:sz="4" w:space="0" w:color="000000"/>
              <w:bottom w:val="single" w:sz="4" w:space="0" w:color="000000"/>
              <w:end w:val="single" w:sz="4" w:space="0" w:color="000000"/>
            </w:tcBorders>
            <w:shd w:fill="FFFFFF" w:val="clear"/>
            <w:vAlign w:val="center"/>
          </w:tcPr>
          <w:p>
            <w:pPr>
              <w:pStyle w:val="Normal"/>
              <w:spacing w:before="0" w:after="160"/>
              <w:ind w:start="283"/>
              <w:rPr>
                <w:rFonts w:ascii="Times New Roman" w:hAnsi="Times New Roman"/>
              </w:rPr>
            </w:pPr>
            <w:r>
              <w:rPr>
                <w:rFonts w:ascii="Times New Roman" w:hAnsi="Times New Roman"/>
              </w:rPr>
              <w:t>‍</w:t>
            </w:r>
            <w:r>
              <w:rPr>
                <w:rFonts w:ascii="Times New Roman" w:hAnsi="Times New Roman"/>
              </w:rPr>
              <w:t>1.daļa: Ieejas mezgla pielāgošana vides pieejamības prasībām</w:t>
            </w:r>
          </w:p>
        </w:tc>
        <w:tc>
          <w:tcPr>
            <w:tcW w:w="3198" w:type="dxa"/>
            <w:tcBorders>
              <w:start w:val="single" w:sz="4" w:space="0" w:color="000000"/>
              <w:bottom w:val="single" w:sz="4" w:space="0" w:color="000000"/>
              <w:end w:val="single" w:sz="4" w:space="0" w:color="000000"/>
            </w:tcBorders>
            <w:vAlign w:val="center"/>
          </w:tcPr>
          <w:p>
            <w:pPr>
              <w:pStyle w:val="Normal"/>
              <w:tabs>
                <w:tab w:val="clear" w:pos="720"/>
                <w:tab w:val="left" w:pos="0" w:leader="none"/>
                <w:tab w:val="left" w:pos="142" w:leader="none"/>
                <w:tab w:val="left" w:pos="426" w:leader="none"/>
              </w:tabs>
              <w:spacing w:before="0" w:after="160"/>
              <w:ind w:start="1"/>
              <w:jc w:val="center"/>
              <w:rPr>
                <w:rFonts w:ascii="Times New Roman" w:hAnsi="Times New Roman"/>
              </w:rPr>
            </w:pPr>
            <w:r>
              <w:rPr>
                <w:rFonts w:ascii="Times New Roman" w:hAnsi="Times New Roman"/>
              </w:rPr>
              <w:t>14 876.03</w:t>
            </w:r>
          </w:p>
        </w:tc>
      </w:tr>
      <w:tr>
        <w:trPr>
          <w:trHeight w:val="236" w:hRule="atLeast"/>
        </w:trPr>
        <w:tc>
          <w:tcPr>
            <w:tcW w:w="6466" w:type="dxa"/>
            <w:tcBorders>
              <w:start w:val="single" w:sz="4" w:space="0" w:color="000000"/>
              <w:bottom w:val="single" w:sz="4" w:space="0" w:color="000000"/>
              <w:end w:val="single" w:sz="4" w:space="0" w:color="000000"/>
            </w:tcBorders>
            <w:shd w:fill="FFFFFF" w:val="clear"/>
            <w:vAlign w:val="center"/>
          </w:tcPr>
          <w:p>
            <w:pPr>
              <w:pStyle w:val="Normal"/>
              <w:spacing w:before="0" w:after="160"/>
              <w:ind w:start="283"/>
              <w:rPr>
                <w:rFonts w:ascii="Times New Roman" w:hAnsi="Times New Roman"/>
              </w:rPr>
            </w:pPr>
            <w:r>
              <w:rPr>
                <w:rFonts w:ascii="Times New Roman" w:hAnsi="Times New Roman"/>
              </w:rPr>
              <w:t>‍</w:t>
            </w:r>
            <w:r>
              <w:rPr>
                <w:rFonts w:ascii="Times New Roman" w:hAnsi="Times New Roman"/>
              </w:rPr>
              <w:t>2.daļa: Kondicionēšanas iekārtu izbūve prakses telpās un procedūru kabinetā</w:t>
            </w:r>
          </w:p>
        </w:tc>
        <w:tc>
          <w:tcPr>
            <w:tcW w:w="3198" w:type="dxa"/>
            <w:tcBorders>
              <w:start w:val="single" w:sz="4" w:space="0" w:color="000000"/>
              <w:bottom w:val="single" w:sz="4" w:space="0" w:color="000000"/>
              <w:end w:val="single" w:sz="4" w:space="0" w:color="000000"/>
            </w:tcBorders>
            <w:vAlign w:val="center"/>
          </w:tcPr>
          <w:p>
            <w:pPr>
              <w:pStyle w:val="Normal"/>
              <w:tabs>
                <w:tab w:val="clear" w:pos="720"/>
                <w:tab w:val="left" w:pos="0" w:leader="none"/>
                <w:tab w:val="left" w:pos="142" w:leader="none"/>
                <w:tab w:val="left" w:pos="426" w:leader="none"/>
              </w:tabs>
              <w:spacing w:before="0" w:after="160"/>
              <w:ind w:start="1"/>
              <w:jc w:val="center"/>
              <w:rPr>
                <w:rFonts w:ascii="Times New Roman" w:hAnsi="Times New Roman"/>
              </w:rPr>
            </w:pPr>
            <w:r>
              <w:rPr>
                <w:rFonts w:ascii="Times New Roman" w:hAnsi="Times New Roman"/>
              </w:rPr>
              <w:t>5 264.46</w:t>
            </w:r>
          </w:p>
        </w:tc>
      </w:tr>
    </w:tbl>
    <w:p>
      <w:pPr>
        <w:pStyle w:val="ListParagraph"/>
        <w:widowControl/>
        <w:suppressAutoHyphens w:val="true"/>
        <w:bidi w:val="0"/>
        <w:spacing w:lineRule="auto" w:line="259"/>
        <w:ind w:hanging="432" w:start="0"/>
        <w:jc w:val="both"/>
        <w:rPr>
          <w:rFonts w:ascii="Times New Roman" w:hAnsi="Times New Roman" w:cs="Times New Roman"/>
          <w:color w:val="auto"/>
          <w:kern w:val="0"/>
          <w:sz w:val="22"/>
          <w:szCs w:val="22"/>
          <w:lang w:val="lv-LV" w:eastAsia="lv-LV" w:bidi="ar-SA"/>
        </w:rPr>
      </w:pPr>
      <w:r>
        <w:rPr>
          <w:rFonts w:cs="Times New Roman" w:ascii="Times New Roman" w:hAnsi="Times New Roman"/>
          <w:color w:val="auto"/>
          <w:kern w:val="0"/>
          <w:sz w:val="22"/>
          <w:szCs w:val="22"/>
          <w:lang w:val="lv-LV" w:eastAsia="lv-LV" w:bidi="ar-SA"/>
        </w:rPr>
      </w:r>
    </w:p>
    <w:p>
      <w:pPr>
        <w:pStyle w:val="ListParagraph"/>
        <w:widowControl/>
        <w:numPr>
          <w:ilvl w:val="1"/>
          <w:numId w:val="4"/>
        </w:numPr>
        <w:suppressAutoHyphens w:val="true"/>
        <w:bidi w:val="0"/>
        <w:spacing w:lineRule="auto" w:line="259"/>
        <w:ind w:hanging="432" w:start="0"/>
        <w:jc w:val="both"/>
        <w:rPr>
          <w:rFonts w:ascii="Times New Roman" w:hAnsi="Times New Roman" w:cs="Times New Roman"/>
          <w:color w:val="auto"/>
          <w:kern w:val="0"/>
          <w:sz w:val="22"/>
          <w:szCs w:val="22"/>
          <w:lang w:val="lv-LV" w:eastAsia="lv-LV" w:bidi="ar-SA"/>
        </w:rPr>
      </w:pPr>
      <w:r>
        <w:rPr>
          <w:rFonts w:cs="Times New Roman" w:ascii="Times New Roman" w:hAnsi="Times New Roman"/>
          <w:color w:val="auto"/>
          <w:kern w:val="0"/>
          <w:sz w:val="22"/>
          <w:szCs w:val="22"/>
          <w:lang w:val="lv-LV" w:eastAsia="lv-LV" w:bidi="ar-SA"/>
        </w:rPr>
        <w:t>Ja pretendenta piedāvātā kopējā līgumcena pārsniegs noteikto līgumcenas apmēru, pretendenta piedāvājums tiks noraidīts kā neatbilstošs, nevērtējot pretendenta kvalifikācijas un tehniskā piedāvājuma atbilstību Nolikuma prasībām.</w:t>
      </w:r>
    </w:p>
    <w:p>
      <w:pPr>
        <w:pStyle w:val="ListParagraph"/>
        <w:widowControl/>
        <w:numPr>
          <w:ilvl w:val="1"/>
          <w:numId w:val="4"/>
        </w:numPr>
        <w:suppressAutoHyphens w:val="true"/>
        <w:bidi w:val="0"/>
        <w:spacing w:lineRule="auto" w:line="259"/>
        <w:ind w:hanging="432" w:start="0"/>
        <w:jc w:val="both"/>
        <w:rPr>
          <w:rFonts w:ascii="Times New Roman" w:hAnsi="Times New Roman" w:cs="Times New Roman"/>
          <w:color w:val="auto"/>
          <w:kern w:val="0"/>
          <w:sz w:val="22"/>
          <w:szCs w:val="22"/>
          <w:lang w:val="lv-LV" w:eastAsia="lv-LV" w:bidi="ar-SA"/>
        </w:rPr>
      </w:pPr>
      <w:r>
        <w:rPr>
          <w:rFonts w:cs="Times New Roman" w:ascii="Times New Roman" w:hAnsi="Times New Roman"/>
          <w:color w:val="auto"/>
          <w:kern w:val="0"/>
          <w:sz w:val="22"/>
          <w:szCs w:val="22"/>
          <w:lang w:val="lv-LV" w:eastAsia="lv-LV" w:bidi="ar-SA"/>
        </w:rPr>
        <w:t xml:space="preserve">Pirms piedāvājuma iesniegšanas Pretendentam obligāti jāveic Objekta, kurā tiks veikti Darbi, apsekošana. Pretendents piesakās uz Objekta apsekošanu, nosūtot vēstuli uz elektroniskā pasta adresi: </w:t>
      </w:r>
      <w:hyperlink r:id="rId5">
        <w:r>
          <w:rPr>
            <w:rStyle w:val="Hyperlink"/>
            <w:rFonts w:cs="Times New Roman" w:ascii="Times New Roman" w:hAnsi="Times New Roman"/>
            <w:color w:val="auto"/>
            <w:kern w:val="0"/>
            <w:sz w:val="22"/>
            <w:szCs w:val="22"/>
            <w:lang w:val="lv-LV" w:eastAsia="lv-LV" w:bidi="ar-SA"/>
          </w:rPr>
          <w:t>iepirkumi@mfd.lv</w:t>
        </w:r>
      </w:hyperlink>
      <w:r>
        <w:rPr>
          <w:rStyle w:val="Hyperlink"/>
          <w:rFonts w:cs="Times New Roman" w:ascii="Times New Roman" w:hAnsi="Times New Roman"/>
          <w:color w:val="auto"/>
          <w:kern w:val="0"/>
          <w:sz w:val="22"/>
          <w:szCs w:val="22"/>
          <w:lang w:val="lv-LV" w:eastAsia="lv-LV" w:bidi="ar-SA"/>
        </w:rPr>
        <w:t xml:space="preserve"> </w:t>
      </w:r>
      <w:r>
        <w:rPr>
          <w:rFonts w:cs="Times New Roman" w:ascii="Times New Roman" w:hAnsi="Times New Roman"/>
          <w:color w:val="auto"/>
          <w:kern w:val="0"/>
          <w:sz w:val="22"/>
          <w:szCs w:val="22"/>
          <w:lang w:val="lv-LV" w:eastAsia="lv-LV" w:bidi="ar-SA"/>
        </w:rPr>
        <w:t xml:space="preserve"> ne vēlāk kā vienu darba dienu pirms noteiktās sanāksmes dienas, tas ir attiec</w:t>
      </w:r>
      <w:r>
        <w:rPr>
          <w:rFonts w:cs="Times New Roman" w:ascii="Times New Roman" w:hAnsi="Times New Roman"/>
          <w:color w:val="000000"/>
          <w:kern w:val="0"/>
          <w:sz w:val="22"/>
          <w:szCs w:val="22"/>
          <w:shd w:fill="auto" w:val="clear"/>
          <w:lang w:val="lv-LV" w:eastAsia="lv-LV" w:bidi="ar-SA"/>
        </w:rPr>
        <w:t xml:space="preserve">īgi </w:t>
      </w:r>
      <w:r>
        <w:rPr>
          <w:rFonts w:cs="Times New Roman" w:ascii="Times New Roman" w:hAnsi="Times New Roman"/>
          <w:b/>
          <w:bCs/>
          <w:color w:val="000000"/>
          <w:kern w:val="0"/>
          <w:sz w:val="22"/>
          <w:szCs w:val="22"/>
          <w:shd w:fill="auto" w:val="clear"/>
          <w:lang w:val="lv-LV" w:eastAsia="lv-LV" w:bidi="ar-SA"/>
        </w:rPr>
        <w:t xml:space="preserve">līdz </w:t>
      </w:r>
      <w:r>
        <w:rPr>
          <w:rFonts w:cs="Times New Roman" w:ascii="Times New Roman" w:hAnsi="Times New Roman"/>
          <w:b/>
          <w:bCs/>
          <w:color w:val="000000"/>
          <w:kern w:val="0"/>
          <w:sz w:val="22"/>
          <w:szCs w:val="22"/>
          <w:shd w:fill="auto" w:val="clear"/>
          <w:lang w:val="lv-LV" w:eastAsia="lv-LV" w:bidi="ar-SA"/>
        </w:rPr>
        <w:t>07</w:t>
      </w:r>
      <w:r>
        <w:rPr>
          <w:rFonts w:cs="Times New Roman" w:ascii="Times New Roman" w:hAnsi="Times New Roman"/>
          <w:b/>
          <w:bCs/>
          <w:color w:val="000000"/>
          <w:kern w:val="0"/>
          <w:sz w:val="22"/>
          <w:szCs w:val="22"/>
          <w:shd w:fill="auto" w:val="clear"/>
          <w:lang w:val="lv-LV" w:eastAsia="lv-LV" w:bidi="ar-SA"/>
        </w:rPr>
        <w:t>.</w:t>
      </w:r>
      <w:r>
        <w:rPr>
          <w:rFonts w:cs="Times New Roman" w:ascii="Times New Roman" w:hAnsi="Times New Roman"/>
          <w:b/>
          <w:bCs/>
          <w:color w:val="000000"/>
          <w:kern w:val="0"/>
          <w:sz w:val="22"/>
          <w:szCs w:val="22"/>
          <w:shd w:fill="auto" w:val="clear"/>
          <w:lang w:val="lv-LV" w:eastAsia="lv-LV" w:bidi="ar-SA"/>
        </w:rPr>
        <w:t>aprīļa</w:t>
      </w:r>
      <w:r>
        <w:rPr>
          <w:rFonts w:cs="Times New Roman" w:ascii="Times New Roman" w:hAnsi="Times New Roman"/>
          <w:b/>
          <w:bCs/>
          <w:color w:val="000000"/>
          <w:kern w:val="0"/>
          <w:sz w:val="22"/>
          <w:szCs w:val="22"/>
          <w:shd w:fill="auto" w:val="clear"/>
          <w:lang w:val="lv-LV" w:eastAsia="lv-LV" w:bidi="ar-SA"/>
        </w:rPr>
        <w:t xml:space="preserve"> plkst. 16:00</w:t>
      </w:r>
      <w:r>
        <w:rPr>
          <w:rFonts w:cs="Times New Roman" w:ascii="Times New Roman" w:hAnsi="Times New Roman"/>
          <w:color w:val="000000"/>
          <w:kern w:val="0"/>
          <w:sz w:val="22"/>
          <w:szCs w:val="22"/>
          <w:shd w:fill="auto" w:val="clear"/>
          <w:lang w:val="lv-LV" w:eastAsia="lv-LV" w:bidi="ar-SA"/>
        </w:rPr>
        <w:t>.</w:t>
      </w:r>
      <w:r>
        <w:rPr>
          <w:rFonts w:cs="Times New Roman" w:ascii="Times New Roman" w:hAnsi="Times New Roman"/>
          <w:color w:val="auto"/>
          <w:kern w:val="0"/>
          <w:sz w:val="22"/>
          <w:szCs w:val="22"/>
          <w:lang w:val="lv-LV" w:eastAsia="lv-LV" w:bidi="ar-SA"/>
        </w:rPr>
        <w:t xml:space="preserve"> Iesniedzot piedāvājumu pretendents piedāvājumam pievieno apskates laikā abpusēji parakstītu objekta apsekošanas aktu (nolikuma 7.pielikums). </w:t>
      </w:r>
    </w:p>
    <w:p>
      <w:pPr>
        <w:pStyle w:val="ListParagraph"/>
        <w:widowControl/>
        <w:numPr>
          <w:ilvl w:val="1"/>
          <w:numId w:val="4"/>
        </w:numPr>
        <w:suppressAutoHyphens w:val="true"/>
        <w:bidi w:val="0"/>
        <w:spacing w:lineRule="auto" w:line="259"/>
        <w:ind w:hanging="432" w:start="0"/>
        <w:jc w:val="both"/>
        <w:rPr>
          <w:rFonts w:ascii="Times New Roman" w:hAnsi="Times New Roman" w:cs="Times New Roman"/>
          <w:color w:val="auto"/>
          <w:kern w:val="0"/>
          <w:sz w:val="22"/>
          <w:szCs w:val="22"/>
          <w:lang w:val="lv-LV" w:eastAsia="lv-LV" w:bidi="ar-SA"/>
        </w:rPr>
      </w:pPr>
      <w:r>
        <w:rPr>
          <w:rFonts w:cs="Times New Roman" w:ascii="Times New Roman" w:hAnsi="Times New Roman"/>
          <w:color w:val="auto"/>
          <w:kern w:val="0"/>
          <w:sz w:val="22"/>
          <w:szCs w:val="22"/>
          <w:lang w:val="lv-LV" w:eastAsia="lv-LV" w:bidi="ar-SA"/>
        </w:rPr>
        <w:t xml:space="preserve">Objekta apsekošanas neveikušo pretendentu piedāvājumi tiks noraidīti un tie nepiedalīsies piedāvājuma vērtēšanas procesā. </w:t>
      </w:r>
    </w:p>
    <w:p>
      <w:pPr>
        <w:pStyle w:val="ListParagraph"/>
        <w:widowControl/>
        <w:numPr>
          <w:ilvl w:val="1"/>
          <w:numId w:val="4"/>
        </w:numPr>
        <w:suppressAutoHyphens w:val="true"/>
        <w:bidi w:val="0"/>
        <w:spacing w:lineRule="auto" w:line="259"/>
        <w:ind w:hanging="432" w:start="0"/>
        <w:jc w:val="both"/>
        <w:rPr>
          <w:rFonts w:ascii="Times New Roman" w:hAnsi="Times New Roman" w:cs="Times New Roman"/>
          <w:color w:val="auto"/>
          <w:kern w:val="0"/>
          <w:sz w:val="22"/>
          <w:szCs w:val="22"/>
          <w:lang w:val="lv-LV" w:eastAsia="lv-LV" w:bidi="ar-SA"/>
        </w:rPr>
      </w:pPr>
      <w:r>
        <w:rPr>
          <w:rFonts w:cs="Times New Roman" w:ascii="Times New Roman" w:hAnsi="Times New Roman"/>
          <w:color w:val="auto"/>
          <w:kern w:val="0"/>
          <w:sz w:val="22"/>
          <w:szCs w:val="22"/>
          <w:lang w:val="lv-LV" w:eastAsia="lv-LV" w:bidi="ar-SA"/>
        </w:rPr>
        <w:t>Paredzēts avansa maksājums 30% apmērā saskaņā ar iepirkuma līguma nosacījumiem.</w:t>
      </w:r>
    </w:p>
    <w:p>
      <w:pPr>
        <w:pStyle w:val="ListParagraph"/>
        <w:widowControl/>
        <w:numPr>
          <w:ilvl w:val="1"/>
          <w:numId w:val="4"/>
        </w:numPr>
        <w:suppressAutoHyphens w:val="true"/>
        <w:bidi w:val="0"/>
        <w:spacing w:lineRule="auto" w:line="259"/>
        <w:ind w:hanging="432" w:start="0"/>
        <w:jc w:val="both"/>
        <w:rPr>
          <w:rFonts w:ascii="Times New Roman" w:hAnsi="Times New Roman" w:cs="Times New Roman"/>
          <w:color w:val="auto"/>
          <w:kern w:val="0"/>
          <w:sz w:val="22"/>
          <w:szCs w:val="22"/>
          <w:lang w:val="lv-LV" w:eastAsia="lv-LV" w:bidi="ar-SA"/>
        </w:rPr>
      </w:pPr>
      <w:r>
        <w:rPr>
          <w:rFonts w:cs="Times New Roman" w:ascii="Times New Roman" w:hAnsi="Times New Roman"/>
          <w:color w:val="auto"/>
          <w:kern w:val="0"/>
          <w:sz w:val="22"/>
          <w:szCs w:val="22"/>
          <w:lang w:val="lv-LV" w:eastAsia="lv-LV" w:bidi="ar-SA"/>
        </w:rPr>
        <w:t>Piedāvājuma izvēles kritērijs: Pasūtītājs piešķir iepirkuma līguma slēgšanas tiesības saimnieciski visizdevīgākajam piedāvājumam, kuru nosaka, ņemot vērā tikai cenu.</w:t>
      </w:r>
    </w:p>
    <w:p>
      <w:pPr>
        <w:pStyle w:val="ListParagraph"/>
        <w:widowControl/>
        <w:numPr>
          <w:ilvl w:val="1"/>
          <w:numId w:val="4"/>
        </w:numPr>
        <w:suppressAutoHyphens w:val="true"/>
        <w:bidi w:val="0"/>
        <w:spacing w:lineRule="auto" w:line="259"/>
        <w:ind w:hanging="432" w:start="0"/>
        <w:jc w:val="both"/>
        <w:rPr>
          <w:rFonts w:ascii="Times New Roman" w:hAnsi="Times New Roman" w:cs="Times New Roman"/>
          <w:color w:val="auto"/>
          <w:kern w:val="0"/>
          <w:sz w:val="22"/>
          <w:szCs w:val="22"/>
          <w:lang w:val="lv-LV" w:eastAsia="lv-LV" w:bidi="ar-SA"/>
        </w:rPr>
      </w:pPr>
      <w:r>
        <w:rPr>
          <w:rFonts w:cs="Times New Roman" w:ascii="Times New Roman" w:hAnsi="Times New Roman"/>
          <w:color w:val="auto"/>
          <w:kern w:val="0"/>
          <w:sz w:val="22"/>
          <w:szCs w:val="22"/>
          <w:lang w:val="lv-LV" w:eastAsia="lv-LV" w:bidi="ar-SA"/>
        </w:rPr>
        <w:t xml:space="preserve">Veiktajiem būvdarbiem </w:t>
      </w:r>
      <w:r>
        <w:rPr>
          <w:rFonts w:cs="Times New Roman" w:ascii="Times New Roman" w:hAnsi="Times New Roman"/>
          <w:b/>
          <w:bCs/>
          <w:color w:val="auto"/>
          <w:kern w:val="0"/>
          <w:sz w:val="22"/>
          <w:szCs w:val="22"/>
          <w:lang w:val="lv-LV" w:eastAsia="lv-LV" w:bidi="ar-SA"/>
        </w:rPr>
        <w:t>garantijas termiņš ir ne mazāks kā 24</w:t>
      </w:r>
      <w:r>
        <w:rPr>
          <w:rFonts w:cs="Times New Roman" w:ascii="Times New Roman" w:hAnsi="Times New Roman"/>
          <w:color w:val="auto"/>
          <w:kern w:val="0"/>
          <w:sz w:val="22"/>
          <w:szCs w:val="22"/>
          <w:lang w:val="lv-LV" w:eastAsia="lv-LV" w:bidi="ar-SA"/>
        </w:rPr>
        <w:t xml:space="preserve"> (divdesmit četri) mēneši no nodošanas–pieņemšanas akta parakstīšanas dienas.</w:t>
      </w:r>
    </w:p>
    <w:p>
      <w:pPr>
        <w:pStyle w:val="ListParagraph"/>
        <w:widowControl/>
        <w:numPr>
          <w:ilvl w:val="1"/>
          <w:numId w:val="4"/>
        </w:numPr>
        <w:suppressAutoHyphens w:val="true"/>
        <w:bidi w:val="0"/>
        <w:spacing w:lineRule="auto" w:line="259"/>
        <w:ind w:hanging="432" w:start="0"/>
        <w:jc w:val="both"/>
        <w:rPr>
          <w:rFonts w:ascii="Times New Roman" w:hAnsi="Times New Roman" w:cs="Times New Roman"/>
          <w:color w:val="auto"/>
          <w:kern w:val="0"/>
          <w:sz w:val="22"/>
          <w:szCs w:val="22"/>
          <w:lang w:val="lv-LV" w:eastAsia="lv-LV" w:bidi="ar-SA"/>
        </w:rPr>
      </w:pPr>
      <w:r>
        <w:rPr>
          <w:rFonts w:cs="Times New Roman" w:ascii="Times New Roman" w:hAnsi="Times New Roman"/>
          <w:color w:val="auto"/>
          <w:kern w:val="0"/>
          <w:sz w:val="22"/>
          <w:szCs w:val="22"/>
          <w:lang w:val="lv-LV" w:eastAsia="lv-LV" w:bidi="ar-SA"/>
        </w:rPr>
        <w:t xml:space="preserve">Uzstādītajām iekārtām garantija tiek nodrošināta saskaņā ar ražotāja noteikumiem, bet </w:t>
      </w:r>
      <w:r>
        <w:rPr>
          <w:rFonts w:cs="Times New Roman" w:ascii="Times New Roman" w:hAnsi="Times New Roman"/>
          <w:b/>
          <w:bCs/>
          <w:color w:val="auto"/>
          <w:kern w:val="0"/>
          <w:sz w:val="22"/>
          <w:szCs w:val="22"/>
          <w:lang w:val="lv-LV" w:eastAsia="lv-LV" w:bidi="ar-SA"/>
        </w:rPr>
        <w:t xml:space="preserve">ne mazāk kā 24 mēnešus. </w:t>
      </w:r>
    </w:p>
    <w:p>
      <w:pPr>
        <w:pStyle w:val="Normal"/>
        <w:numPr>
          <w:ilvl w:val="0"/>
          <w:numId w:val="4"/>
        </w:numPr>
        <w:spacing w:lineRule="auto" w:line="240" w:before="0" w:after="0"/>
        <w:jc w:val="center"/>
        <w:rPr>
          <w:rFonts w:ascii="Times New Roman" w:hAnsi="Times New Roman"/>
          <w:sz w:val="24"/>
          <w:szCs w:val="24"/>
        </w:rPr>
      </w:pPr>
      <w:r>
        <w:rPr>
          <w:rFonts w:eastAsia="Calibri" w:cs="Times New Roman" w:ascii="Times New Roman" w:hAnsi="Times New Roman"/>
          <w:b/>
          <w:bCs/>
          <w:kern w:val="2"/>
          <w:sz w:val="24"/>
          <w:szCs w:val="24"/>
          <w:lang w:val="lv-LV" w:eastAsia="en-US"/>
        </w:rPr>
        <w:t>PRETENDENTS</w:t>
      </w:r>
      <w:r>
        <w:rPr>
          <w:rFonts w:eastAsia="Calibri" w:cs="Times New Roman" w:ascii="Times New Roman" w:hAnsi="Times New Roman"/>
          <w:b/>
          <w:bCs/>
          <w:kern w:val="2"/>
          <w:sz w:val="24"/>
          <w:szCs w:val="24"/>
          <w:lang w:eastAsia="en-US"/>
        </w:rPr>
        <w:t xml:space="preserve"> </w:t>
      </w:r>
    </w:p>
    <w:p>
      <w:pPr>
        <w:pStyle w:val="Normal"/>
        <w:numPr>
          <w:ilvl w:val="0"/>
          <w:numId w:val="0"/>
        </w:numPr>
        <w:spacing w:lineRule="auto" w:line="240" w:before="0" w:after="0"/>
        <w:ind w:hanging="0" w:start="360"/>
        <w:jc w:val="center"/>
        <w:rPr>
          <w:rFonts w:ascii="Times New Roman" w:hAnsi="Times New Roman"/>
          <w:sz w:val="24"/>
          <w:szCs w:val="24"/>
        </w:rPr>
      </w:pPr>
      <w:r>
        <w:rPr>
          <w:rFonts w:ascii="Times New Roman" w:hAnsi="Times New Roman"/>
          <w:sz w:val="24"/>
          <w:szCs w:val="24"/>
        </w:rPr>
      </w:r>
    </w:p>
    <w:p>
      <w:pPr>
        <w:pStyle w:val="ListParagraph"/>
        <w:widowControl/>
        <w:numPr>
          <w:ilvl w:val="1"/>
          <w:numId w:val="4"/>
        </w:numPr>
        <w:suppressAutoHyphens w:val="true"/>
        <w:bidi w:val="0"/>
        <w:spacing w:lineRule="auto" w:line="259"/>
        <w:ind w:hanging="432" w:start="0"/>
        <w:jc w:val="both"/>
        <w:rPr>
          <w:rFonts w:ascii="Times New Roman" w:hAnsi="Times New Roman" w:cs="Times New Roman"/>
          <w:color w:val="auto"/>
          <w:kern w:val="0"/>
          <w:sz w:val="22"/>
          <w:szCs w:val="22"/>
          <w:lang w:val="lv-LV" w:eastAsia="lv-LV" w:bidi="ar-SA"/>
        </w:rPr>
      </w:pPr>
      <w:r>
        <w:rPr>
          <w:rFonts w:cs="Times New Roman" w:ascii="Times New Roman" w:hAnsi="Times New Roman"/>
          <w:color w:val="auto"/>
          <w:kern w:val="0"/>
          <w:sz w:val="22"/>
          <w:szCs w:val="22"/>
          <w:lang w:val="lv-LV" w:eastAsia="lv-LV" w:bidi="ar-SA"/>
        </w:rPr>
        <w:t xml:space="preserve">Piedāvājumu drīkst iesniegt piegādātājs, kas ir juridiska vai fiziska persona (turpmāk – Pretendents), šādu personu apvienība jebkurā to kombinācijā (turpmāk arī – Pretendents), kas atbilst šādiem kritērijiem: </w:t>
      </w:r>
    </w:p>
    <w:p>
      <w:pPr>
        <w:pStyle w:val="ListParagraph"/>
        <w:widowControl/>
        <w:numPr>
          <w:ilvl w:val="0"/>
          <w:numId w:val="0"/>
        </w:numPr>
        <w:suppressAutoHyphens w:val="true"/>
        <w:bidi w:val="0"/>
        <w:spacing w:lineRule="auto" w:line="259" w:before="0" w:after="200"/>
        <w:ind w:hanging="0" w:start="-449" w:end="0"/>
        <w:contextualSpacing/>
        <w:jc w:val="both"/>
        <w:rPr>
          <w:rFonts w:ascii="Times New Roman" w:hAnsi="Times New Roman" w:cs="Times New Roman"/>
          <w:color w:val="auto"/>
          <w:kern w:val="0"/>
          <w:sz w:val="22"/>
          <w:szCs w:val="22"/>
          <w:lang w:val="lv-LV" w:eastAsia="lv-LV" w:bidi="ar-SA"/>
        </w:rPr>
      </w:pPr>
      <w:r>
        <w:rPr>
          <w:rFonts w:cs="Times New Roman" w:ascii="Times New Roman" w:hAnsi="Times New Roman"/>
          <w:color w:val="auto"/>
          <w:kern w:val="0"/>
          <w:sz w:val="22"/>
          <w:szCs w:val="22"/>
          <w:lang w:val="lv-LV" w:eastAsia="lv-LV" w:bidi="ar-SA"/>
        </w:rPr>
        <w:t xml:space="preserve">3.1.1. Pretendents nav pasludināts par maksātnespējīgu, neatrodas likvidācijas procesā, tā saimnieciskā darbība nav </w:t>
        <w:tab/>
        <w:t>apgrūtināta vai pārtraukta, kā arī Pretendents nav iekļauts sankciju sarakstā.</w:t>
      </w:r>
    </w:p>
    <w:p>
      <w:pPr>
        <w:pStyle w:val="ListParagraph"/>
        <w:widowControl/>
        <w:numPr>
          <w:ilvl w:val="0"/>
          <w:numId w:val="0"/>
        </w:numPr>
        <w:suppressAutoHyphens w:val="true"/>
        <w:bidi w:val="0"/>
        <w:spacing w:lineRule="auto" w:line="259" w:before="0" w:after="200"/>
        <w:ind w:hanging="0" w:start="-449" w:end="0"/>
        <w:contextualSpacing/>
        <w:jc w:val="both"/>
        <w:rPr>
          <w:rFonts w:ascii="Times New Roman" w:hAnsi="Times New Roman" w:cs="Times New Roman"/>
          <w:color w:val="auto"/>
          <w:kern w:val="0"/>
          <w:sz w:val="22"/>
          <w:szCs w:val="22"/>
          <w:lang w:val="lv-LV" w:eastAsia="lv-LV" w:bidi="ar-SA"/>
        </w:rPr>
      </w:pPr>
      <w:r>
        <w:rPr>
          <w:rFonts w:cs="Times New Roman" w:ascii="Times New Roman" w:hAnsi="Times New Roman"/>
          <w:color w:val="auto"/>
          <w:kern w:val="0"/>
          <w:sz w:val="22"/>
          <w:szCs w:val="22"/>
          <w:lang w:val="lv-LV" w:eastAsia="lv-LV" w:bidi="ar-SA"/>
        </w:rPr>
        <w:t xml:space="preserve">3.1.2. Pretendents nav saistīts ar pasūtītāju Latvijas Republikas likuma “Par nodokļiem un nodevām” izpratnē un </w:t>
        <w:tab/>
        <w:t xml:space="preserve">neatrodas interešu konfliktā saskaņā ar Latvijas Republikas Ministru kabineta 2017.gada 28. februāra </w:t>
        <w:tab/>
        <w:t xml:space="preserve">noteikumu Nr. 104 “Noteikumi par iepirkuma procedūru un tās piemērošanas kārtību pasūtītāja finansētiem </w:t>
        <w:tab/>
        <w:t>projektiem” 12. un 13. punktu.</w:t>
      </w:r>
    </w:p>
    <w:p>
      <w:pPr>
        <w:pStyle w:val="Normal"/>
        <w:spacing w:lineRule="auto" w:line="240" w:before="0" w:after="0"/>
        <w:ind w:hanging="567" w:start="567"/>
        <w:jc w:val="both"/>
        <w:rPr>
          <w:rFonts w:ascii="Times New Roman" w:hAnsi="Times New Roman" w:eastAsia="Times New Roman" w:cs="Times New Roman"/>
          <w:color w:val="000000"/>
          <w:sz w:val="24"/>
          <w:szCs w:val="24"/>
          <w:u w:val="none"/>
        </w:rPr>
      </w:pPr>
      <w:r>
        <w:rPr>
          <w:rFonts w:eastAsia="Times New Roman" w:cs="Times New Roman" w:ascii="Times New Roman" w:hAnsi="Times New Roman"/>
          <w:color w:val="000000"/>
          <w:sz w:val="24"/>
          <w:szCs w:val="24"/>
          <w:u w:val="none"/>
        </w:rPr>
      </w:r>
    </w:p>
    <w:p>
      <w:pPr>
        <w:pStyle w:val="Normal"/>
        <w:numPr>
          <w:ilvl w:val="0"/>
          <w:numId w:val="4"/>
        </w:numPr>
        <w:spacing w:lineRule="auto" w:line="240" w:before="0" w:after="0"/>
        <w:jc w:val="center"/>
        <w:rPr>
          <w:rFonts w:ascii="Times New Roman" w:hAnsi="Times New Roman" w:eastAsia="Calibri" w:cs="Times New Roman"/>
          <w:b/>
          <w:bCs/>
          <w:kern w:val="2"/>
          <w:sz w:val="24"/>
          <w:szCs w:val="24"/>
          <w:lang w:eastAsia="en-US"/>
        </w:rPr>
      </w:pPr>
      <w:r>
        <w:rPr>
          <w:rFonts w:eastAsia="Calibri" w:cs="Times New Roman" w:ascii="Times New Roman" w:hAnsi="Times New Roman"/>
          <w:b/>
          <w:bCs/>
          <w:kern w:val="2"/>
          <w:sz w:val="24"/>
          <w:szCs w:val="24"/>
          <w:lang w:eastAsia="en-US"/>
        </w:rPr>
        <w:t>PRETENDENTU KVALIFIKĀCIJA</w:t>
      </w:r>
    </w:p>
    <w:p>
      <w:pPr>
        <w:pStyle w:val="Normal"/>
        <w:spacing w:lineRule="auto" w:line="240" w:before="0" w:after="0"/>
        <w:ind w:start="720"/>
        <w:rPr>
          <w:rFonts w:ascii="Times New Roman" w:hAnsi="Times New Roman" w:eastAsia="Calibri" w:cs="Times New Roman"/>
          <w:b/>
          <w:bCs/>
          <w:kern w:val="2"/>
          <w:sz w:val="24"/>
          <w:szCs w:val="24"/>
          <w:lang w:eastAsia="en-US"/>
        </w:rPr>
      </w:pPr>
      <w:r>
        <w:rPr>
          <w:rFonts w:eastAsia="Calibri" w:cs="Times New Roman" w:ascii="Times New Roman" w:hAnsi="Times New Roman"/>
          <w:b/>
          <w:bCs/>
          <w:kern w:val="2"/>
          <w:sz w:val="24"/>
          <w:szCs w:val="24"/>
          <w:lang w:eastAsia="en-US"/>
        </w:rPr>
      </w:r>
      <w:bookmarkStart w:id="4" w:name="_Toc64264072"/>
      <w:bookmarkStart w:id="5" w:name="_Toc65454241"/>
      <w:bookmarkStart w:id="6" w:name="_Toc65862771"/>
      <w:bookmarkStart w:id="7" w:name="_Toc65956610"/>
      <w:bookmarkStart w:id="8" w:name="_Toc65967969"/>
      <w:bookmarkStart w:id="9" w:name="_Toc72766066"/>
      <w:bookmarkStart w:id="10" w:name="_Toc73116766"/>
      <w:bookmarkStart w:id="11" w:name="_Toc79552066"/>
      <w:bookmarkStart w:id="12" w:name="_Toc141341762"/>
      <w:bookmarkStart w:id="13" w:name="_Toc141785293"/>
      <w:bookmarkStart w:id="14" w:name="_Toc45663519"/>
      <w:bookmarkStart w:id="15" w:name="_Toc64201623"/>
      <w:bookmarkStart w:id="16" w:name="_Toc64264072"/>
      <w:bookmarkStart w:id="17" w:name="_Toc65454241"/>
      <w:bookmarkStart w:id="18" w:name="_Toc65862771"/>
      <w:bookmarkStart w:id="19" w:name="_Toc65956610"/>
      <w:bookmarkStart w:id="20" w:name="_Toc65967969"/>
      <w:bookmarkStart w:id="21" w:name="_Toc72766066"/>
      <w:bookmarkStart w:id="22" w:name="_Toc73116766"/>
      <w:bookmarkStart w:id="23" w:name="_Toc79552066"/>
      <w:bookmarkStart w:id="24" w:name="_Toc141341762"/>
      <w:bookmarkStart w:id="25" w:name="_Toc141785293"/>
      <w:bookmarkStart w:id="26" w:name="_Toc45663519"/>
      <w:bookmarkStart w:id="27" w:name="_Toc64201623"/>
      <w:bookmarkEnd w:id="16"/>
      <w:bookmarkEnd w:id="17"/>
      <w:bookmarkEnd w:id="18"/>
      <w:bookmarkEnd w:id="19"/>
      <w:bookmarkEnd w:id="20"/>
      <w:bookmarkEnd w:id="21"/>
      <w:bookmarkEnd w:id="22"/>
      <w:bookmarkEnd w:id="23"/>
      <w:bookmarkEnd w:id="24"/>
      <w:bookmarkEnd w:id="25"/>
      <w:bookmarkEnd w:id="26"/>
      <w:bookmarkEnd w:id="27"/>
    </w:p>
    <w:tbl>
      <w:tblPr>
        <w:tblW w:w="10393" w:type="dxa"/>
        <w:jc w:val="start"/>
        <w:tblInd w:w="-464" w:type="dxa"/>
        <w:tblLayout w:type="fixed"/>
        <w:tblCellMar>
          <w:top w:w="0" w:type="dxa"/>
          <w:start w:w="108" w:type="dxa"/>
          <w:bottom w:w="0" w:type="dxa"/>
          <w:end w:w="108" w:type="dxa"/>
        </w:tblCellMar>
      </w:tblPr>
      <w:tblGrid>
        <w:gridCol w:w="5196"/>
        <w:gridCol w:w="5196"/>
      </w:tblGrid>
      <w:tr>
        <w:trPr/>
        <w:tc>
          <w:tcPr>
            <w:tcW w:w="5196" w:type="dxa"/>
            <w:tcBorders>
              <w:top w:val="single" w:sz="4" w:space="0" w:color="000000"/>
              <w:start w:val="single" w:sz="4" w:space="0" w:color="000000"/>
              <w:bottom w:val="single" w:sz="4" w:space="0" w:color="000000"/>
            </w:tcBorders>
          </w:tcPr>
          <w:p>
            <w:pPr>
              <w:pStyle w:val="Normal"/>
              <w:widowControl/>
              <w:tabs>
                <w:tab w:val="clear" w:pos="720"/>
                <w:tab w:val="left" w:pos="426" w:leader="none"/>
              </w:tabs>
              <w:suppressAutoHyphens w:val="true"/>
              <w:spacing w:lineRule="auto" w:line="240" w:before="0" w:after="0"/>
              <w:jc w:val="start"/>
              <w:rPr>
                <w:rFonts w:ascii="Times New Roman" w:hAnsi="Times New Roman"/>
              </w:rPr>
            </w:pPr>
            <w:r>
              <w:rPr>
                <w:rFonts w:ascii="Times New Roman" w:hAnsi="Times New Roman"/>
                <w:b/>
                <w:bCs/>
                <w:kern w:val="0"/>
                <w:sz w:val="22"/>
                <w:szCs w:val="22"/>
                <w:lang w:bidi="ar-SA"/>
              </w:rPr>
              <w:t>Prasības</w:t>
            </w:r>
          </w:p>
        </w:tc>
        <w:tc>
          <w:tcPr>
            <w:tcW w:w="5196" w:type="dxa"/>
            <w:tcBorders>
              <w:top w:val="single" w:sz="4" w:space="0" w:color="000000"/>
              <w:bottom w:val="single" w:sz="4" w:space="0" w:color="000000"/>
              <w:end w:val="single" w:sz="4" w:space="0" w:color="000000"/>
            </w:tcBorders>
          </w:tcPr>
          <w:p>
            <w:pPr>
              <w:pStyle w:val="Normal"/>
              <w:widowControl/>
              <w:tabs>
                <w:tab w:val="clear" w:pos="720"/>
                <w:tab w:val="left" w:pos="426" w:leader="none"/>
              </w:tabs>
              <w:suppressAutoHyphens w:val="true"/>
              <w:spacing w:lineRule="auto" w:line="240" w:before="0" w:after="0"/>
              <w:jc w:val="start"/>
              <w:rPr>
                <w:rFonts w:ascii="Times New Roman" w:hAnsi="Times New Roman"/>
              </w:rPr>
            </w:pPr>
            <w:r>
              <w:rPr>
                <w:rFonts w:cs="Times New Roman" w:ascii="Times New Roman" w:hAnsi="Times New Roman"/>
                <w:b/>
                <w:bCs/>
                <w:kern w:val="0"/>
                <w:sz w:val="22"/>
                <w:szCs w:val="22"/>
                <w:lang w:bidi="ar-SA"/>
              </w:rPr>
              <w:t>Iesniedzamie atlases dokumenti</w:t>
            </w:r>
          </w:p>
        </w:tc>
      </w:tr>
      <w:tr>
        <w:trPr/>
        <w:tc>
          <w:tcPr>
            <w:tcW w:w="5196" w:type="dxa"/>
            <w:tcBorders>
              <w:top w:val="single" w:sz="4" w:space="0" w:color="000000"/>
              <w:start w:val="single" w:sz="4" w:space="0" w:color="000000"/>
              <w:bottom w:val="single" w:sz="4" w:space="0" w:color="000000"/>
            </w:tcBorders>
          </w:tcPr>
          <w:p>
            <w:pPr>
              <w:pStyle w:val="ListParagraph"/>
              <w:widowControl/>
              <w:tabs>
                <w:tab w:val="clear" w:pos="720"/>
                <w:tab w:val="left" w:pos="180" w:leader="none"/>
              </w:tabs>
              <w:suppressAutoHyphens w:val="true"/>
              <w:spacing w:before="0" w:after="200"/>
              <w:ind w:start="0"/>
              <w:contextualSpacing/>
              <w:jc w:val="both"/>
              <w:rPr>
                <w:rFonts w:ascii="Times New Roman" w:hAnsi="Times New Roman" w:eastAsia="Times New Roman" w:cs="Times New Roman"/>
                <w:color w:val="000000"/>
                <w:u w:val="none"/>
              </w:rPr>
            </w:pPr>
            <w:r>
              <w:rPr>
                <w:rFonts w:eastAsia="Times New Roman" w:cs="Times New Roman" w:ascii="Times New Roman" w:hAnsi="Times New Roman"/>
                <w:color w:val="000000"/>
                <w:kern w:val="0"/>
                <w:sz w:val="22"/>
                <w:szCs w:val="22"/>
                <w:u w:val="none"/>
                <w:lang w:bidi="ar-SA"/>
              </w:rPr>
              <w:t>Pieteikums par piedalīšanos iepirkumā, ko paraksta Pretendenta pārstāvis ar pārstāvības tiesībām, vai tā pilnvarota persona. Ja Pretendents ir piegādātāju apvienība un sabiedrības līgumā nav atrunātas pārstāvības tiesības, pieteikuma oriģinālu paraksta katras personas, kas iekļauta piegādātāju apvienībā, pārstāvis ar pārstāvības tiesībām.</w:t>
            </w:r>
          </w:p>
        </w:tc>
        <w:tc>
          <w:tcPr>
            <w:tcW w:w="5196" w:type="dxa"/>
            <w:tcBorders>
              <w:top w:val="single" w:sz="4" w:space="0" w:color="000000"/>
              <w:bottom w:val="single" w:sz="4" w:space="0" w:color="000000"/>
              <w:end w:val="single" w:sz="4" w:space="0" w:color="000000"/>
            </w:tcBorders>
          </w:tcPr>
          <w:p>
            <w:pPr>
              <w:pStyle w:val="Normal"/>
              <w:widowControl/>
              <w:tabs>
                <w:tab w:val="clear" w:pos="720"/>
                <w:tab w:val="left" w:pos="426" w:leader="none"/>
              </w:tabs>
              <w:suppressAutoHyphens w:val="true"/>
              <w:spacing w:lineRule="auto" w:line="240" w:before="0" w:after="0"/>
              <w:jc w:val="start"/>
              <w:rPr>
                <w:rFonts w:ascii="Times New Roman" w:hAnsi="Times New Roman"/>
              </w:rPr>
            </w:pPr>
            <w:r>
              <w:rPr>
                <w:rFonts w:ascii="Times New Roman" w:hAnsi="Times New Roman"/>
                <w:kern w:val="0"/>
                <w:sz w:val="22"/>
                <w:szCs w:val="22"/>
                <w:lang w:bidi="ar-SA"/>
              </w:rPr>
              <w:t xml:space="preserve">1) Parakstīts </w:t>
            </w:r>
            <w:r>
              <w:rPr>
                <w:rFonts w:cs="Times New Roman" w:ascii="Times New Roman" w:hAnsi="Times New Roman"/>
                <w:b/>
                <w:bCs/>
                <w:kern w:val="0"/>
                <w:sz w:val="22"/>
                <w:szCs w:val="22"/>
                <w:lang w:bidi="ar-SA"/>
              </w:rPr>
              <w:t xml:space="preserve">pieteikums </w:t>
            </w:r>
            <w:r>
              <w:rPr>
                <w:rFonts w:cs="Times New Roman" w:ascii="Times New Roman" w:hAnsi="Times New Roman"/>
                <w:b/>
                <w:kern w:val="0"/>
                <w:sz w:val="22"/>
                <w:szCs w:val="22"/>
                <w:lang w:bidi="ar-SA"/>
              </w:rPr>
              <w:t>(1.pielikums)</w:t>
            </w:r>
            <w:r>
              <w:rPr>
                <w:rFonts w:cs="Times New Roman" w:ascii="Times New Roman" w:hAnsi="Times New Roman"/>
                <w:kern w:val="0"/>
                <w:sz w:val="22"/>
                <w:szCs w:val="22"/>
                <w:lang w:bidi="ar-SA"/>
              </w:rPr>
              <w:t xml:space="preserve"> par dalību iepirkumā.</w:t>
            </w:r>
          </w:p>
          <w:p>
            <w:pPr>
              <w:pStyle w:val="Normal"/>
              <w:widowControl/>
              <w:tabs>
                <w:tab w:val="clear" w:pos="720"/>
                <w:tab w:val="left" w:pos="426" w:leader="none"/>
              </w:tabs>
              <w:suppressAutoHyphens w:val="true"/>
              <w:spacing w:lineRule="auto" w:line="240" w:before="0" w:after="0"/>
              <w:jc w:val="start"/>
              <w:rPr>
                <w:rFonts w:ascii="Times New Roman" w:hAnsi="Times New Roman"/>
              </w:rPr>
            </w:pPr>
            <w:r>
              <w:rPr>
                <w:rFonts w:ascii="Times New Roman" w:hAnsi="Times New Roman"/>
                <w:kern w:val="0"/>
                <w:sz w:val="22"/>
                <w:szCs w:val="22"/>
                <w:lang w:bidi="ar-SA"/>
              </w:rPr>
              <w:t>2) Pilnvara vai cits dokuments Pretendenta pārstāvības gadījumā</w:t>
            </w:r>
          </w:p>
        </w:tc>
      </w:tr>
      <w:tr>
        <w:trPr>
          <w:trHeight w:val="2394" w:hRule="atLeast"/>
        </w:trPr>
        <w:tc>
          <w:tcPr>
            <w:tcW w:w="5196" w:type="dxa"/>
            <w:tcBorders>
              <w:top w:val="single" w:sz="4" w:space="0" w:color="000000"/>
              <w:start w:val="single" w:sz="4" w:space="0" w:color="000000"/>
              <w:bottom w:val="single" w:sz="4" w:space="0" w:color="000000"/>
            </w:tcBorders>
          </w:tcPr>
          <w:p>
            <w:pPr>
              <w:pStyle w:val="ListParagraph"/>
              <w:widowControl/>
              <w:tabs>
                <w:tab w:val="clear" w:pos="720"/>
                <w:tab w:val="left" w:pos="180" w:leader="none"/>
              </w:tabs>
              <w:suppressAutoHyphens w:val="true"/>
              <w:spacing w:before="0" w:after="200"/>
              <w:ind w:start="0"/>
              <w:contextualSpacing/>
              <w:jc w:val="both"/>
              <w:rPr>
                <w:rFonts w:ascii="Times New Roman" w:hAnsi="Times New Roman" w:eastAsia="Times New Roman" w:cs="Times New Roman"/>
                <w:color w:val="000000"/>
                <w:u w:val="none"/>
              </w:rPr>
            </w:pPr>
            <w:r>
              <w:rPr>
                <w:rFonts w:eastAsia="Times New Roman" w:cs="Times New Roman" w:ascii="Times New Roman" w:hAnsi="Times New Roman"/>
                <w:color w:val="000000"/>
                <w:kern w:val="0"/>
                <w:sz w:val="22"/>
                <w:szCs w:val="22"/>
                <w:u w:val="none"/>
                <w:lang w:bidi="ar-SA"/>
              </w:rPr>
              <w:t xml:space="preserve">Pretendents ir reģistrēts atbilstoši normatīvo aktu prasībām vai </w:t>
            </w:r>
            <w:r>
              <w:rPr>
                <w:rFonts w:eastAsia="Times New Roman" w:cs="Times New Roman" w:ascii="Times New Roman" w:hAnsi="Times New Roman"/>
                <w:kern w:val="0"/>
                <w:sz w:val="22"/>
                <w:szCs w:val="22"/>
                <w:lang w:eastAsia="en-US" w:bidi="ar-SA"/>
              </w:rPr>
              <w:t>P</w:t>
            </w:r>
            <w:r>
              <w:rPr>
                <w:rFonts w:eastAsia="Times New Roman" w:cs="Times New Roman" w:ascii="Times New Roman" w:hAnsi="Times New Roman"/>
                <w:color w:val="000000"/>
                <w:kern w:val="0"/>
                <w:sz w:val="22"/>
                <w:szCs w:val="22"/>
                <w:u w:val="none"/>
                <w:lang w:bidi="ar-SA"/>
              </w:rPr>
              <w:t xml:space="preserve">retendenta reģistrācijas valsts normatīvo aktu prasībām. Prasība attiecas arī uz personālsabiedrību un visiem personālsabiedrības biedriem (ja piedāvājumu iesniedz personālsabiedrība) vai visiem piegādātāju apvienības dalībniekiem (ja piedāvājumu iesniedz piegādātāju apvienība), kā arī apakšuzņēmējiem (ja </w:t>
            </w:r>
            <w:r>
              <w:rPr>
                <w:rFonts w:eastAsia="Times New Roman" w:cs="Times New Roman" w:ascii="Times New Roman" w:hAnsi="Times New Roman"/>
                <w:kern w:val="0"/>
                <w:sz w:val="22"/>
                <w:szCs w:val="22"/>
                <w:lang w:eastAsia="en-US" w:bidi="ar-SA"/>
              </w:rPr>
              <w:t>P</w:t>
            </w:r>
            <w:r>
              <w:rPr>
                <w:rFonts w:eastAsia="Times New Roman" w:cs="Times New Roman" w:ascii="Times New Roman" w:hAnsi="Times New Roman"/>
                <w:color w:val="000000"/>
                <w:kern w:val="0"/>
                <w:sz w:val="22"/>
                <w:szCs w:val="22"/>
                <w:u w:val="none"/>
                <w:lang w:bidi="ar-SA"/>
              </w:rPr>
              <w:t>retendents plāno piesaistīt apakšuzņēmējus).</w:t>
            </w:r>
          </w:p>
          <w:p>
            <w:pPr>
              <w:pStyle w:val="ListParagraph"/>
              <w:widowControl/>
              <w:tabs>
                <w:tab w:val="clear" w:pos="720"/>
                <w:tab w:val="left" w:pos="180" w:leader="none"/>
              </w:tabs>
              <w:suppressAutoHyphens w:val="true"/>
              <w:spacing w:before="0" w:after="200"/>
              <w:ind w:start="0"/>
              <w:contextualSpacing/>
              <w:jc w:val="both"/>
              <w:rPr>
                <w:rFonts w:ascii="Times New Roman" w:hAnsi="Times New Roman" w:eastAsia="Times New Roman" w:cs="Times New Roman"/>
                <w:color w:val="000000"/>
                <w:u w:val="none"/>
              </w:rPr>
            </w:pPr>
            <w:r>
              <w:rPr>
                <w:rFonts w:eastAsia="Times New Roman" w:cs="Times New Roman" w:ascii="Times New Roman" w:hAnsi="Times New Roman"/>
                <w:color w:val="000000"/>
                <w:u w:val="none"/>
              </w:rPr>
            </w:r>
          </w:p>
        </w:tc>
        <w:tc>
          <w:tcPr>
            <w:tcW w:w="5196" w:type="dxa"/>
            <w:tcBorders>
              <w:top w:val="single" w:sz="4" w:space="0" w:color="000000"/>
              <w:bottom w:val="single" w:sz="4" w:space="0" w:color="000000"/>
              <w:end w:val="single" w:sz="4" w:space="0" w:color="000000"/>
            </w:tcBorders>
          </w:tcPr>
          <w:p>
            <w:pPr>
              <w:pStyle w:val="Normal"/>
              <w:widowControl/>
              <w:suppressAutoHyphens w:val="true"/>
              <w:spacing w:lineRule="auto" w:line="240" w:before="0" w:after="0"/>
              <w:jc w:val="both"/>
              <w:rPr>
                <w:rFonts w:ascii="Times New Roman" w:hAnsi="Times New Roman"/>
              </w:rPr>
            </w:pPr>
            <w:r>
              <w:rPr>
                <w:rFonts w:ascii="Times New Roman" w:hAnsi="Times New Roman"/>
                <w:bCs/>
                <w:kern w:val="0"/>
                <w:sz w:val="22"/>
                <w:szCs w:val="22"/>
                <w:lang w:bidi="hi-IN"/>
              </w:rPr>
              <w:t xml:space="preserve">1) Par Latvijas Republikā reģistrētu uzņēmumu pārstāvēt tiesīgām personām, kas reģistrētas Latvijas Republikas Uzņēmumu reģistrā, pasūtītājs pārliecināsies Uzņēmumu reģistra mājaslapā </w:t>
            </w:r>
            <w:hyperlink r:id="rId6">
              <w:r>
                <w:rPr>
                  <w:rStyle w:val="Hyperlink"/>
                  <w:rFonts w:ascii="Times New Roman" w:hAnsi="Times New Roman"/>
                  <w:bCs/>
                  <w:kern w:val="0"/>
                  <w:sz w:val="22"/>
                  <w:szCs w:val="22"/>
                  <w:lang w:bidi="hi-IN"/>
                </w:rPr>
                <w:t>www.ur.gov.lv</w:t>
              </w:r>
            </w:hyperlink>
            <w:r>
              <w:rPr>
                <w:rFonts w:ascii="Times New Roman" w:hAnsi="Times New Roman"/>
                <w:bCs/>
                <w:kern w:val="0"/>
                <w:sz w:val="22"/>
                <w:szCs w:val="22"/>
                <w:lang w:bidi="hi-IN"/>
              </w:rPr>
              <w:t>.</w:t>
            </w:r>
          </w:p>
          <w:p>
            <w:pPr>
              <w:pStyle w:val="Normal"/>
              <w:widowControl/>
              <w:suppressAutoHyphens w:val="true"/>
              <w:spacing w:lineRule="auto" w:line="240" w:before="0" w:after="0"/>
              <w:jc w:val="both"/>
              <w:rPr>
                <w:kern w:val="0"/>
                <w:sz w:val="22"/>
                <w:szCs w:val="22"/>
                <w:lang w:bidi="ar-SA"/>
              </w:rPr>
            </w:pPr>
            <w:r>
              <w:rPr>
                <w:rFonts w:ascii="Times New Roman" w:hAnsi="Times New Roman"/>
                <w:bCs/>
                <w:kern w:val="0"/>
                <w:sz w:val="22"/>
                <w:szCs w:val="22"/>
                <w:lang w:bidi="hi-IN"/>
              </w:rPr>
              <w:t xml:space="preserve">2) </w:t>
            </w:r>
            <w:r>
              <w:rPr>
                <w:rFonts w:ascii="Times New Roman" w:hAnsi="Times New Roman"/>
                <w:bCs/>
                <w:kern w:val="0"/>
                <w:sz w:val="22"/>
                <w:szCs w:val="22"/>
                <w:lang w:bidi="ar-SA"/>
              </w:rPr>
              <w:t xml:space="preserve">Par </w:t>
            </w:r>
            <w:r>
              <w:rPr>
                <w:rFonts w:cs="Times New Roman" w:ascii="Times New Roman" w:hAnsi="Times New Roman"/>
                <w:kern w:val="0"/>
                <w:sz w:val="22"/>
                <w:szCs w:val="22"/>
                <w:lang w:bidi="ar-SA"/>
              </w:rPr>
              <w:t>Latvijas Republikā reģistrēto</w:t>
            </w:r>
            <w:r>
              <w:rPr>
                <w:rFonts w:ascii="Times New Roman" w:hAnsi="Times New Roman"/>
                <w:kern w:val="0"/>
                <w:sz w:val="22"/>
                <w:szCs w:val="22"/>
                <w:lang w:bidi="ar-SA"/>
              </w:rPr>
              <w:t xml:space="preserve"> </w:t>
            </w:r>
            <w:r>
              <w:rPr>
                <w:rFonts w:eastAsia="Times New Roman" w:cs="Times New Roman" w:ascii="Times New Roman" w:hAnsi="Times New Roman"/>
                <w:kern w:val="0"/>
                <w:sz w:val="22"/>
                <w:szCs w:val="22"/>
                <w:lang w:eastAsia="en-US" w:bidi="ar-SA"/>
              </w:rPr>
              <w:t>P</w:t>
            </w:r>
            <w:r>
              <w:rPr>
                <w:rFonts w:ascii="Times New Roman" w:hAnsi="Times New Roman"/>
                <w:bCs/>
                <w:kern w:val="0"/>
                <w:sz w:val="22"/>
                <w:szCs w:val="22"/>
                <w:lang w:bidi="ar-SA"/>
              </w:rPr>
              <w:t xml:space="preserve">retendentu reģistrāciju </w:t>
            </w:r>
            <w:r>
              <w:rPr>
                <w:rFonts w:cs="Times New Roman" w:ascii="Times New Roman" w:hAnsi="Times New Roman"/>
                <w:kern w:val="0"/>
                <w:sz w:val="22"/>
                <w:szCs w:val="22"/>
                <w:lang w:bidi="ar-SA"/>
              </w:rPr>
              <w:t xml:space="preserve">Būvkomersantu reģistrā (BIS) Komisija pārliecināsies </w:t>
            </w:r>
            <w:hyperlink r:id="rId7">
              <w:r>
                <w:rPr>
                  <w:rStyle w:val="Hyperlink"/>
                  <w:rFonts w:cs="Times New Roman" w:ascii="Times New Roman" w:hAnsi="Times New Roman"/>
                  <w:kern w:val="0"/>
                  <w:sz w:val="22"/>
                  <w:szCs w:val="22"/>
                  <w:lang w:bidi="ar-SA"/>
                </w:rPr>
                <w:t>https://bis.gov.lv/registri/buvniecibas-informacijas-sistemas-registri</w:t>
              </w:r>
            </w:hyperlink>
            <w:r>
              <w:rPr>
                <w:kern w:val="0"/>
                <w:sz w:val="22"/>
                <w:szCs w:val="22"/>
                <w:lang w:bidi="ar-SA"/>
              </w:rPr>
              <w:t>.</w:t>
            </w:r>
          </w:p>
          <w:p>
            <w:pPr>
              <w:pStyle w:val="Normal"/>
              <w:widowControl w:val="false"/>
              <w:suppressAutoHyphens w:val="true"/>
              <w:spacing w:lineRule="auto" w:line="240" w:before="0" w:after="0"/>
              <w:jc w:val="both"/>
              <w:rPr>
                <w:rFonts w:ascii="Times New Roman" w:hAnsi="Times New Roman"/>
              </w:rPr>
            </w:pPr>
            <w:r>
              <w:rPr>
                <w:rFonts w:eastAsia="Calibri" w:cs="Times New Roman" w:ascii="Times New Roman" w:hAnsi="Times New Roman"/>
                <w:kern w:val="0"/>
                <w:sz w:val="22"/>
                <w:szCs w:val="22"/>
                <w:lang w:bidi="ar-SA"/>
              </w:rPr>
              <w:t>3) Pretendents, kas reģistrēts ārvalstīs</w:t>
            </w:r>
            <w:r>
              <w:rPr>
                <w:rFonts w:eastAsia="Calibri" w:cs="Times New Roman" w:ascii="Times New Roman" w:hAnsi="Times New Roman"/>
                <w:kern w:val="0"/>
                <w:sz w:val="22"/>
                <w:szCs w:val="22"/>
                <w:u w:val="single"/>
                <w:lang w:bidi="ar-SA"/>
              </w:rPr>
              <w:t>,</w:t>
            </w:r>
            <w:r>
              <w:rPr>
                <w:rFonts w:eastAsia="Calibri" w:cs="Times New Roman" w:ascii="Times New Roman" w:hAnsi="Times New Roman"/>
                <w:kern w:val="0"/>
                <w:sz w:val="22"/>
                <w:szCs w:val="22"/>
                <w:lang w:bidi="ar-SA"/>
              </w:rPr>
              <w:t xml:space="preserve"> iesniedz dokumenta kopiju, kas apliecina reģistrāciju atbilstoši tās valsts normatīvo aktu prasībām. </w:t>
            </w:r>
            <w:r>
              <w:rPr>
                <w:rFonts w:cs="Times New Roman" w:ascii="Times New Roman" w:hAnsi="Times New Roman"/>
                <w:kern w:val="0"/>
                <w:sz w:val="22"/>
                <w:szCs w:val="22"/>
                <w:lang w:bidi="ar-SA"/>
              </w:rPr>
              <w:t>Ja tādas nav (reģistrācijas valsts normatīvais regulējums neparedz reģistrācijas apliecības izdošanu), tad iesniedz informāciju par Pretendenta reģistrācijas Nr. un reģistrācijas laiku, kā arī norāda kompetento iestādi reģistrācijas valstī, kas nepieciešamības gadījumā var apliecināt reģistrācijas faktu, vai, piemēram, norāda publiski pieejamu reģistru, kur Komisija var pārliecināties par Pretendenta reģistrācijas faktu.</w:t>
            </w:r>
          </w:p>
          <w:p>
            <w:pPr>
              <w:pStyle w:val="Normal"/>
              <w:widowControl/>
              <w:tabs>
                <w:tab w:val="clear" w:pos="720"/>
                <w:tab w:val="left" w:pos="426" w:leader="none"/>
              </w:tabs>
              <w:suppressAutoHyphens w:val="true"/>
              <w:spacing w:lineRule="auto" w:line="240" w:before="0" w:after="0"/>
              <w:jc w:val="start"/>
              <w:rPr>
                <w:rFonts w:ascii="Times New Roman" w:hAnsi="Times New Roman" w:cs="Times New Roman"/>
              </w:rPr>
            </w:pPr>
            <w:r>
              <w:rPr>
                <w:rFonts w:cs="Times New Roman" w:ascii="Times New Roman" w:hAnsi="Times New Roman"/>
              </w:rPr>
            </w:r>
          </w:p>
        </w:tc>
      </w:tr>
      <w:tr>
        <w:trPr/>
        <w:tc>
          <w:tcPr>
            <w:tcW w:w="5196" w:type="dxa"/>
            <w:tcBorders>
              <w:top w:val="single" w:sz="4" w:space="0" w:color="000000"/>
              <w:start w:val="single" w:sz="4" w:space="0" w:color="000000"/>
              <w:bottom w:val="single" w:sz="4" w:space="0" w:color="000000"/>
            </w:tcBorders>
          </w:tcPr>
          <w:p>
            <w:pPr>
              <w:pStyle w:val="ListParagraph"/>
              <w:widowControl/>
              <w:tabs>
                <w:tab w:val="clear" w:pos="720"/>
                <w:tab w:val="left" w:pos="180" w:leader="none"/>
              </w:tabs>
              <w:suppressAutoHyphens w:val="true"/>
              <w:spacing w:before="0" w:after="200"/>
              <w:ind w:start="0"/>
              <w:contextualSpacing/>
              <w:jc w:val="both"/>
              <w:rPr>
                <w:rFonts w:ascii="Times New Roman" w:hAnsi="Times New Roman" w:eastAsia="Times New Roman" w:cs="Times New Roman"/>
                <w:color w:val="000000"/>
                <w:u w:val="none"/>
              </w:rPr>
            </w:pPr>
            <w:r>
              <w:rPr>
                <w:rFonts w:eastAsia="Times New Roman" w:cs="Times New Roman" w:ascii="Times New Roman" w:hAnsi="Times New Roman"/>
                <w:color w:val="000000"/>
                <w:kern w:val="0"/>
                <w:sz w:val="22"/>
                <w:szCs w:val="22"/>
                <w:u w:val="none"/>
                <w:lang w:bidi="ar-SA"/>
              </w:rPr>
              <w:t xml:space="preserve">Pretendentam jāiesniedz informācija par iepirkuma līguma daļām, kuras </w:t>
            </w:r>
            <w:r>
              <w:rPr>
                <w:rFonts w:eastAsia="Times New Roman" w:cs="Times New Roman" w:ascii="Times New Roman" w:hAnsi="Times New Roman"/>
                <w:kern w:val="0"/>
                <w:sz w:val="22"/>
                <w:szCs w:val="22"/>
                <w:lang w:eastAsia="en-US" w:bidi="ar-SA"/>
              </w:rPr>
              <w:t>P</w:t>
            </w:r>
            <w:r>
              <w:rPr>
                <w:rFonts w:eastAsia="Times New Roman" w:cs="Times New Roman" w:ascii="Times New Roman" w:hAnsi="Times New Roman"/>
                <w:color w:val="000000"/>
                <w:kern w:val="0"/>
                <w:sz w:val="22"/>
                <w:szCs w:val="22"/>
                <w:u w:val="none"/>
                <w:lang w:bidi="ar-SA"/>
              </w:rPr>
              <w:t>retendents ir paredzējis nodot apakšuzņēmējiem, kuru sniedzamo pakalpojumu vērtība ir vismaz 10 000 EUR, un katram šādam apakšuzņēmējam izpildei nododamo iepirkuma līguma daļu.</w:t>
            </w:r>
          </w:p>
          <w:p>
            <w:pPr>
              <w:pStyle w:val="ListParagraph"/>
              <w:widowControl/>
              <w:tabs>
                <w:tab w:val="clear" w:pos="720"/>
                <w:tab w:val="left" w:pos="180" w:leader="none"/>
              </w:tabs>
              <w:suppressAutoHyphens w:val="true"/>
              <w:spacing w:before="0" w:after="200"/>
              <w:ind w:start="0"/>
              <w:contextualSpacing/>
              <w:jc w:val="both"/>
              <w:rPr>
                <w:rFonts w:ascii="Times New Roman" w:hAnsi="Times New Roman" w:eastAsia="Times New Roman" w:cs="Times New Roman"/>
                <w:color w:val="000000"/>
                <w:u w:val="none"/>
              </w:rPr>
            </w:pPr>
            <w:r>
              <w:rPr>
                <w:rFonts w:eastAsia="Times New Roman" w:cs="Times New Roman" w:ascii="Times New Roman" w:hAnsi="Times New Roman"/>
                <w:color w:val="000000"/>
                <w:u w:val="none"/>
              </w:rPr>
            </w:r>
          </w:p>
        </w:tc>
        <w:tc>
          <w:tcPr>
            <w:tcW w:w="5196" w:type="dxa"/>
            <w:tcBorders>
              <w:top w:val="single" w:sz="4" w:space="0" w:color="000000"/>
              <w:bottom w:val="single" w:sz="4" w:space="0" w:color="000000"/>
              <w:end w:val="single" w:sz="4" w:space="0" w:color="000000"/>
            </w:tcBorders>
          </w:tcPr>
          <w:p>
            <w:pPr>
              <w:pStyle w:val="Normal"/>
              <w:widowControl/>
              <w:suppressAutoHyphens w:val="true"/>
              <w:spacing w:lineRule="auto" w:line="240" w:before="0" w:after="200"/>
              <w:jc w:val="both"/>
              <w:rPr>
                <w:rFonts w:ascii="Times New Roman" w:hAnsi="Times New Roman"/>
              </w:rPr>
            </w:pPr>
            <w:r>
              <w:rPr>
                <w:rFonts w:cs="Times New Roman" w:ascii="Times New Roman" w:hAnsi="Times New Roman"/>
                <w:color w:themeColor="dark1" w:val="000000"/>
                <w:kern w:val="0"/>
                <w:sz w:val="22"/>
                <w:szCs w:val="22"/>
                <w:lang w:bidi="ar-SA"/>
              </w:rPr>
              <w:t xml:space="preserve">1) Ja </w:t>
            </w:r>
            <w:r>
              <w:rPr>
                <w:rFonts w:eastAsia="Times New Roman" w:cs="Times New Roman" w:ascii="Times New Roman" w:hAnsi="Times New Roman"/>
                <w:kern w:val="0"/>
                <w:sz w:val="22"/>
                <w:szCs w:val="22"/>
                <w:lang w:eastAsia="en-US" w:bidi="ar-SA"/>
              </w:rPr>
              <w:t>P</w:t>
            </w:r>
            <w:r>
              <w:rPr>
                <w:rFonts w:cs="Times New Roman" w:ascii="Times New Roman" w:hAnsi="Times New Roman"/>
                <w:color w:themeColor="dark1" w:val="000000"/>
                <w:kern w:val="0"/>
                <w:sz w:val="22"/>
                <w:szCs w:val="22"/>
                <w:lang w:bidi="ar-SA"/>
              </w:rPr>
              <w:t>retendents paredzējis piesaistīt apakšuzņēmējus, jāiesniedz 5.pielikuma veidlapa.</w:t>
            </w:r>
          </w:p>
          <w:p>
            <w:pPr>
              <w:pStyle w:val="Normal"/>
              <w:widowControl/>
              <w:suppressAutoHyphens w:val="true"/>
              <w:spacing w:lineRule="auto" w:line="240" w:before="0" w:after="200"/>
              <w:jc w:val="both"/>
              <w:rPr>
                <w:rFonts w:ascii="Times New Roman" w:hAnsi="Times New Roman"/>
              </w:rPr>
            </w:pPr>
            <w:r>
              <w:rPr>
                <w:rFonts w:cs="Times New Roman" w:ascii="Times New Roman" w:hAnsi="Times New Roman"/>
                <w:color w:themeColor="dark1" w:val="000000"/>
                <w:kern w:val="0"/>
                <w:sz w:val="22"/>
                <w:szCs w:val="22"/>
                <w:lang w:bidi="ar-SA"/>
              </w:rPr>
              <w:t xml:space="preserve">2) Ja tiek piesaistīts apakšuzņēmējs, papildus 5.pielikuma veidlapai jāpievieno vienošanos vai kādu citu dokumentu, kas apliecina sadarbību </w:t>
            </w:r>
            <w:r>
              <w:rPr>
                <w:rFonts w:eastAsia="Times New Roman" w:cs="Times New Roman" w:ascii="Times New Roman" w:hAnsi="Times New Roman"/>
                <w:kern w:val="0"/>
                <w:sz w:val="22"/>
                <w:szCs w:val="22"/>
                <w:lang w:eastAsia="en-US" w:bidi="ar-SA"/>
              </w:rPr>
              <w:t>P</w:t>
            </w:r>
            <w:r>
              <w:rPr>
                <w:rFonts w:cs="Times New Roman" w:ascii="Times New Roman" w:hAnsi="Times New Roman"/>
                <w:color w:themeColor="dark1" w:val="000000"/>
                <w:kern w:val="0"/>
                <w:sz w:val="22"/>
                <w:szCs w:val="22"/>
                <w:lang w:bidi="ar-SA"/>
              </w:rPr>
              <w:t>retendentam ar apakšuzņēmēju iepirkuma līguma ietvaros, kurā norādīta izpildei nododamā iepirkuma līguma daļa, norādot kādus darbus apakšuzņēmējs veiks, un nododamās daļas apjoms procentuālā un finansiālā izteiksmē.</w:t>
            </w:r>
          </w:p>
          <w:p>
            <w:pPr>
              <w:pStyle w:val="Normal"/>
              <w:widowControl/>
              <w:suppressAutoHyphens w:val="true"/>
              <w:spacing w:lineRule="auto" w:line="240" w:before="0" w:after="200"/>
              <w:jc w:val="both"/>
              <w:rPr>
                <w:rFonts w:ascii="Times New Roman" w:hAnsi="Times New Roman"/>
              </w:rPr>
            </w:pPr>
            <w:r>
              <w:rPr>
                <w:rFonts w:cs="Times New Roman" w:ascii="Times New Roman" w:hAnsi="Times New Roman"/>
                <w:color w:themeColor="dark1" w:val="000000"/>
                <w:kern w:val="0"/>
                <w:sz w:val="22"/>
                <w:szCs w:val="22"/>
                <w:lang w:bidi="ar-SA"/>
              </w:rPr>
              <w:t>3) Informācija ir jāiesniedz arī par šādu apakšuzņēmēju apakšuzņēmējiem, kuru veicamo darbu daļa vai sniedzamo pakalpojumu vērtība ir vismaz 10 000 EUR.</w:t>
            </w:r>
          </w:p>
          <w:p>
            <w:pPr>
              <w:pStyle w:val="Normal"/>
              <w:widowControl/>
              <w:suppressAutoHyphens w:val="true"/>
              <w:spacing w:lineRule="auto" w:line="240" w:before="0" w:after="200"/>
              <w:jc w:val="both"/>
              <w:rPr>
                <w:rFonts w:ascii="Times New Roman" w:hAnsi="Times New Roman"/>
              </w:rPr>
            </w:pPr>
            <w:r>
              <w:rPr>
                <w:rFonts w:cs="Times New Roman" w:ascii="Times New Roman" w:hAnsi="Times New Roman"/>
                <w:color w:themeColor="dark1" w:val="000000"/>
                <w:kern w:val="0"/>
                <w:sz w:val="22"/>
                <w:szCs w:val="22"/>
                <w:lang w:bidi="ar-SA"/>
              </w:rPr>
              <w:t xml:space="preserve">4) Apakšuzņēmēju sarakstā norāda arī tos apakšuzņēmējus, uz kuru iespējām </w:t>
            </w:r>
            <w:r>
              <w:rPr>
                <w:rFonts w:eastAsia="Times New Roman" w:cs="Times New Roman" w:ascii="Times New Roman" w:hAnsi="Times New Roman"/>
                <w:kern w:val="0"/>
                <w:sz w:val="22"/>
                <w:szCs w:val="22"/>
                <w:lang w:eastAsia="en-US" w:bidi="ar-SA"/>
              </w:rPr>
              <w:t>P</w:t>
            </w:r>
            <w:r>
              <w:rPr>
                <w:rFonts w:cs="Times New Roman" w:ascii="Times New Roman" w:hAnsi="Times New Roman"/>
                <w:color w:themeColor="dark1" w:val="000000"/>
                <w:kern w:val="0"/>
                <w:sz w:val="22"/>
                <w:szCs w:val="22"/>
                <w:lang w:bidi="ar-SA"/>
              </w:rPr>
              <w:t>retendents balstās, ja tas ir nepieciešams kvalifikācijas pierādīšanai vai iepirkuma līguma izpildei (ja attiecināms).</w:t>
            </w:r>
          </w:p>
          <w:p>
            <w:pPr>
              <w:pStyle w:val="Normal"/>
              <w:widowControl/>
              <w:suppressAutoHyphens w:val="true"/>
              <w:spacing w:lineRule="auto" w:line="240" w:before="0" w:after="200"/>
              <w:jc w:val="both"/>
              <w:rPr>
                <w:rFonts w:ascii="Times New Roman" w:hAnsi="Times New Roman" w:cs="Times New Roman"/>
                <w:color w:themeColor="dark1" w:val="000000"/>
              </w:rPr>
            </w:pPr>
            <w:r>
              <w:rPr>
                <w:rFonts w:cs="Times New Roman" w:ascii="Times New Roman" w:hAnsi="Times New Roman"/>
                <w:color w:themeColor="dark1" w:val="000000"/>
              </w:rPr>
            </w:r>
          </w:p>
          <w:p>
            <w:pPr>
              <w:pStyle w:val="Normal"/>
              <w:widowControl w:val="false"/>
              <w:suppressAutoHyphens w:val="true"/>
              <w:spacing w:lineRule="auto" w:line="240" w:before="0" w:after="0"/>
              <w:jc w:val="start"/>
              <w:rPr>
                <w:rFonts w:ascii="Times New Roman" w:hAnsi="Times New Roman" w:cs="Times New Roman"/>
                <w:lang w:eastAsia="zh-CN"/>
              </w:rPr>
            </w:pPr>
            <w:r>
              <w:rPr>
                <w:rFonts w:cs="Times New Roman" w:ascii="Times New Roman" w:hAnsi="Times New Roman"/>
                <w:lang w:eastAsia="zh-CN"/>
              </w:rPr>
            </w:r>
          </w:p>
        </w:tc>
      </w:tr>
      <w:tr>
        <w:trPr/>
        <w:tc>
          <w:tcPr>
            <w:tcW w:w="5196" w:type="dxa"/>
            <w:tcBorders>
              <w:top w:val="single" w:sz="4" w:space="0" w:color="000000"/>
              <w:start w:val="single" w:sz="4" w:space="0" w:color="000000"/>
              <w:bottom w:val="single" w:sz="4" w:space="0" w:color="000000"/>
            </w:tcBorders>
          </w:tcPr>
          <w:p>
            <w:pPr>
              <w:pStyle w:val="ListParagraph"/>
              <w:widowControl/>
              <w:tabs>
                <w:tab w:val="clear" w:pos="720"/>
                <w:tab w:val="left" w:pos="180" w:leader="none"/>
              </w:tabs>
              <w:suppressAutoHyphens w:val="true"/>
              <w:spacing w:before="0" w:after="200"/>
              <w:ind w:start="0"/>
              <w:contextualSpacing/>
              <w:jc w:val="both"/>
              <w:rPr>
                <w:rFonts w:ascii="Times New Roman" w:hAnsi="Times New Roman" w:eastAsia="Times New Roman" w:cs="Times New Roman"/>
                <w:color w:val="000000"/>
                <w:u w:val="none"/>
              </w:rPr>
            </w:pPr>
            <w:r>
              <w:rPr>
                <w:rFonts w:eastAsia="Times New Roman" w:cs="Times New Roman" w:ascii="Times New Roman" w:hAnsi="Times New Roman"/>
                <w:color w:val="000000"/>
                <w:kern w:val="0"/>
                <w:sz w:val="22"/>
                <w:szCs w:val="22"/>
                <w:u w:val="none"/>
                <w:lang w:bidi="ar-SA"/>
              </w:rPr>
              <w:t>Pretendentam iepriekšējo 3 (trīs) gadu laikā (t.i. 2023., 2024., 2025. un 2026.gadā līdz piedāvājuma iesniegšanas dienai) ir pieredze vismaz 1 (viena) līdzvērtīga līguma izpildīšanā.</w:t>
            </w:r>
          </w:p>
          <w:p>
            <w:pPr>
              <w:pStyle w:val="ListParagraph"/>
              <w:widowControl/>
              <w:tabs>
                <w:tab w:val="clear" w:pos="720"/>
                <w:tab w:val="left" w:pos="180" w:leader="none"/>
              </w:tabs>
              <w:suppressAutoHyphens w:val="true"/>
              <w:spacing w:before="0" w:after="200"/>
              <w:ind w:start="0"/>
              <w:contextualSpacing/>
              <w:jc w:val="both"/>
              <w:rPr>
                <w:rFonts w:ascii="Times New Roman" w:hAnsi="Times New Roman" w:eastAsia="Times New Roman" w:cs="Times New Roman"/>
                <w:color w:val="000000"/>
                <w:u w:val="none"/>
              </w:rPr>
            </w:pPr>
            <w:r>
              <w:rPr>
                <w:rFonts w:eastAsia="Times New Roman" w:cs="Times New Roman" w:ascii="Times New Roman" w:hAnsi="Times New Roman"/>
                <w:color w:val="000000"/>
                <w:kern w:val="0"/>
                <w:sz w:val="22"/>
                <w:szCs w:val="22"/>
                <w:u w:val="none"/>
                <w:lang w:bidi="ar-SA"/>
              </w:rPr>
              <w:t>Par līdzvērtīgu tiks uzskatīts līgums, kura ietvaros ir veikti telpu pārbūves, atjaunošanas vai iekštelpu remonta darbi, un šie darbi līgumā noteiktajā termiņā un kvalitātē ir pilnībā pabeigti.</w:t>
            </w:r>
          </w:p>
          <w:p>
            <w:pPr>
              <w:pStyle w:val="ListParagraph"/>
              <w:widowControl/>
              <w:tabs>
                <w:tab w:val="clear" w:pos="720"/>
                <w:tab w:val="left" w:pos="180" w:leader="none"/>
              </w:tabs>
              <w:suppressAutoHyphens w:val="true"/>
              <w:spacing w:before="0" w:after="200"/>
              <w:ind w:start="0"/>
              <w:contextualSpacing/>
              <w:jc w:val="both"/>
              <w:rPr>
                <w:rFonts w:ascii="Times New Roman" w:hAnsi="Times New Roman" w:eastAsia="Times New Roman" w:cs="Times New Roman"/>
                <w:color w:val="000000"/>
                <w:u w:val="none"/>
              </w:rPr>
            </w:pPr>
            <w:r>
              <w:rPr>
                <w:rFonts w:eastAsia="Times New Roman" w:cs="Times New Roman" w:ascii="Times New Roman" w:hAnsi="Times New Roman"/>
                <w:color w:val="000000"/>
                <w:kern w:val="0"/>
                <w:sz w:val="22"/>
                <w:szCs w:val="22"/>
                <w:u w:val="none"/>
                <w:lang w:bidi="ar-SA"/>
              </w:rPr>
              <w:t xml:space="preserve">Ja piedāvājumu iesniedz piegādātāju apvienība vai personālsabiedrība, </w:t>
            </w:r>
            <w:r>
              <w:rPr>
                <w:rFonts w:eastAsia="Times New Roman" w:cs="Times New Roman" w:ascii="Times New Roman" w:hAnsi="Times New Roman"/>
                <w:kern w:val="0"/>
                <w:sz w:val="22"/>
                <w:szCs w:val="22"/>
                <w:lang w:eastAsia="en-US" w:bidi="ar-SA"/>
              </w:rPr>
              <w:t>P</w:t>
            </w:r>
            <w:r>
              <w:rPr>
                <w:rFonts w:eastAsia="Times New Roman" w:cs="Times New Roman" w:ascii="Times New Roman" w:hAnsi="Times New Roman"/>
                <w:color w:val="000000"/>
                <w:kern w:val="0"/>
                <w:sz w:val="22"/>
                <w:szCs w:val="22"/>
                <w:u w:val="none"/>
                <w:lang w:bidi="ar-SA"/>
              </w:rPr>
              <w:t>retendents pieredzi var apliecināt ar viena dalībnieka prasībām atbilstošu pieredzi.</w:t>
            </w:r>
          </w:p>
        </w:tc>
        <w:tc>
          <w:tcPr>
            <w:tcW w:w="5196" w:type="dxa"/>
            <w:tcBorders>
              <w:top w:val="single" w:sz="4" w:space="0" w:color="000000"/>
              <w:bottom w:val="single" w:sz="4" w:space="0" w:color="000000"/>
              <w:end w:val="single" w:sz="4" w:space="0" w:color="000000"/>
            </w:tcBorders>
          </w:tcPr>
          <w:p>
            <w:pPr>
              <w:pStyle w:val="Normal"/>
              <w:widowControl/>
              <w:suppressAutoHyphens w:val="true"/>
              <w:spacing w:lineRule="auto" w:line="240" w:before="0" w:after="0"/>
              <w:jc w:val="start"/>
              <w:rPr>
                <w:rFonts w:ascii="Times New Roman" w:hAnsi="Times New Roman"/>
              </w:rPr>
            </w:pPr>
            <w:r>
              <w:rPr>
                <w:rFonts w:eastAsia="Times New Roman" w:cs="Times New Roman" w:ascii="Times New Roman" w:hAnsi="Times New Roman"/>
                <w:kern w:val="0"/>
                <w:sz w:val="22"/>
                <w:szCs w:val="22"/>
                <w:lang w:eastAsia="en-US" w:bidi="ar-SA"/>
              </w:rPr>
              <w:t>1) Atsauksme no klienta.</w:t>
            </w:r>
          </w:p>
          <w:p>
            <w:pPr>
              <w:pStyle w:val="Normal"/>
              <w:widowControl/>
              <w:suppressAutoHyphens w:val="true"/>
              <w:spacing w:lineRule="auto" w:line="240" w:before="0" w:after="0"/>
              <w:jc w:val="start"/>
              <w:rPr>
                <w:rFonts w:ascii="Times New Roman" w:hAnsi="Times New Roman"/>
              </w:rPr>
            </w:pPr>
            <w:r>
              <w:rPr>
                <w:rFonts w:eastAsia="Times New Roman" w:cs="Times New Roman" w:ascii="Times New Roman" w:hAnsi="Times New Roman"/>
                <w:kern w:val="0"/>
                <w:sz w:val="22"/>
                <w:szCs w:val="22"/>
                <w:lang w:eastAsia="en-US" w:bidi="ar-SA"/>
              </w:rPr>
              <w:t xml:space="preserve">2) </w:t>
            </w:r>
            <w:bookmarkStart w:id="28" w:name="_Hlk65161906"/>
            <w:bookmarkStart w:id="29" w:name="_Hlk65139486"/>
            <w:r>
              <w:rPr>
                <w:rFonts w:eastAsia="Times New Roman" w:cs="Times New Roman" w:ascii="Times New Roman" w:hAnsi="Times New Roman"/>
                <w:kern w:val="0"/>
                <w:sz w:val="22"/>
                <w:szCs w:val="22"/>
                <w:lang w:eastAsia="en-US" w:bidi="ar-SA"/>
              </w:rPr>
              <w:t>Dokumenti, kas var apliecināt, ka objekts nodots ekspluatācijā.</w:t>
            </w:r>
            <w:bookmarkEnd w:id="29"/>
          </w:p>
          <w:p>
            <w:pPr>
              <w:pStyle w:val="Normal"/>
              <w:widowControl/>
              <w:numPr>
                <w:ilvl w:val="0"/>
                <w:numId w:val="0"/>
              </w:numPr>
              <w:suppressAutoHyphens w:val="true"/>
              <w:spacing w:lineRule="auto" w:line="240" w:before="0" w:after="0"/>
              <w:ind w:hanging="0" w:start="34"/>
              <w:jc w:val="both"/>
              <w:outlineLvl w:val="2"/>
              <w:rPr>
                <w:rFonts w:ascii="Times New Roman" w:hAnsi="Times New Roman"/>
              </w:rPr>
            </w:pPr>
            <w:r>
              <w:rPr>
                <w:rFonts w:cs="Times New Roman" w:ascii="Times New Roman" w:hAnsi="Times New Roman"/>
                <w:iCs/>
                <w:kern w:val="0"/>
                <w:sz w:val="22"/>
                <w:szCs w:val="22"/>
                <w:lang w:bidi="ar-SA"/>
              </w:rPr>
              <w:t xml:space="preserve">3) Ārvalstu </w:t>
            </w:r>
            <w:r>
              <w:rPr>
                <w:rFonts w:eastAsia="Times New Roman" w:cs="Times New Roman" w:ascii="Times New Roman" w:hAnsi="Times New Roman"/>
                <w:kern w:val="0"/>
                <w:sz w:val="22"/>
                <w:szCs w:val="22"/>
                <w:lang w:eastAsia="en-US" w:bidi="ar-SA"/>
              </w:rPr>
              <w:t>P</w:t>
            </w:r>
            <w:r>
              <w:rPr>
                <w:rFonts w:cs="Times New Roman" w:ascii="Times New Roman" w:hAnsi="Times New Roman"/>
                <w:iCs/>
                <w:kern w:val="0"/>
                <w:sz w:val="22"/>
                <w:szCs w:val="22"/>
                <w:lang w:bidi="ar-SA"/>
              </w:rPr>
              <w:t>retendenti iesniedz attiecīgus līdzvērtīgus dokumentus</w:t>
            </w:r>
            <w:r>
              <w:rPr>
                <w:rFonts w:cs="Times New Roman" w:ascii="Times New Roman" w:hAnsi="Times New Roman"/>
                <w:kern w:val="0"/>
                <w:sz w:val="22"/>
                <w:szCs w:val="22"/>
                <w:lang w:eastAsia="ar-SA" w:bidi="ar-SA"/>
              </w:rPr>
              <w:t>.</w:t>
            </w:r>
            <w:bookmarkEnd w:id="28"/>
          </w:p>
        </w:tc>
      </w:tr>
      <w:tr>
        <w:trPr/>
        <w:tc>
          <w:tcPr>
            <w:tcW w:w="5196" w:type="dxa"/>
            <w:tcBorders>
              <w:top w:val="single" w:sz="4" w:space="0" w:color="000000"/>
              <w:start w:val="single" w:sz="4" w:space="0" w:color="000000"/>
              <w:bottom w:val="single" w:sz="4" w:space="0" w:color="000000"/>
            </w:tcBorders>
          </w:tcPr>
          <w:p>
            <w:pPr>
              <w:pStyle w:val="ListParagraph"/>
              <w:widowControl/>
              <w:tabs>
                <w:tab w:val="clear" w:pos="720"/>
                <w:tab w:val="left" w:pos="180" w:leader="none"/>
              </w:tabs>
              <w:suppressAutoHyphens w:val="true"/>
              <w:spacing w:before="0" w:after="200"/>
              <w:ind w:start="0"/>
              <w:contextualSpacing/>
              <w:jc w:val="both"/>
              <w:rPr>
                <w:rFonts w:ascii="Times New Roman" w:hAnsi="Times New Roman" w:eastAsia="Times New Roman" w:cs="Times New Roman"/>
                <w:color w:val="000000"/>
                <w:u w:val="none"/>
              </w:rPr>
            </w:pPr>
            <w:r>
              <w:rPr>
                <w:rFonts w:eastAsia="Times New Roman" w:cs="Times New Roman" w:ascii="Times New Roman" w:hAnsi="Times New Roman"/>
                <w:color w:val="000000"/>
                <w:kern w:val="0"/>
                <w:sz w:val="22"/>
                <w:szCs w:val="22"/>
                <w:u w:val="none"/>
                <w:lang w:bidi="ar-SA"/>
              </w:rPr>
              <w:t>Pretendentam ir/vai, noslēdzot līgumu, tas nodrošinās savas profesionālās civiltiesiskās darbības apdrošināšanu (ar atbildības limitu, kas atbilst piedāvājuma līgumcenai).</w:t>
            </w:r>
          </w:p>
        </w:tc>
        <w:tc>
          <w:tcPr>
            <w:tcW w:w="5196" w:type="dxa"/>
            <w:tcBorders>
              <w:top w:val="single" w:sz="4" w:space="0" w:color="000000"/>
              <w:bottom w:val="single" w:sz="4" w:space="0" w:color="000000"/>
              <w:end w:val="single" w:sz="4" w:space="0" w:color="000000"/>
            </w:tcBorders>
          </w:tcPr>
          <w:p>
            <w:pPr>
              <w:pStyle w:val="Normal"/>
              <w:widowControl/>
              <w:suppressAutoHyphens w:val="true"/>
              <w:spacing w:lineRule="auto" w:line="240" w:before="0" w:after="0"/>
              <w:jc w:val="start"/>
              <w:rPr>
                <w:rFonts w:ascii="Times New Roman" w:hAnsi="Times New Roman"/>
              </w:rPr>
            </w:pPr>
            <w:r>
              <w:rPr>
                <w:rFonts w:cs="Times New Roman" w:ascii="Times New Roman" w:hAnsi="Times New Roman"/>
                <w:bCs/>
                <w:kern w:val="0"/>
                <w:sz w:val="22"/>
                <w:szCs w:val="22"/>
                <w:lang w:bidi="ar-SA"/>
              </w:rPr>
              <w:t xml:space="preserve">Apliecinājums, ka </w:t>
            </w:r>
            <w:r>
              <w:rPr>
                <w:rFonts w:eastAsia="Times New Roman" w:cs="Times New Roman" w:ascii="Times New Roman" w:hAnsi="Times New Roman"/>
                <w:kern w:val="0"/>
                <w:sz w:val="22"/>
                <w:szCs w:val="22"/>
                <w:lang w:eastAsia="en-US" w:bidi="ar-SA"/>
              </w:rPr>
              <w:t>P</w:t>
            </w:r>
            <w:r>
              <w:rPr>
                <w:rFonts w:cs="Times New Roman" w:ascii="Times New Roman" w:hAnsi="Times New Roman"/>
                <w:bCs/>
                <w:kern w:val="0"/>
                <w:sz w:val="22"/>
                <w:szCs w:val="22"/>
                <w:lang w:bidi="ar-SA"/>
              </w:rPr>
              <w:t>retendentam ir/vai, noslēdzot līgumu, tas veiks savas profesionālās civiltiesiskās darbības apdrošināšanu</w:t>
            </w:r>
          </w:p>
        </w:tc>
      </w:tr>
      <w:tr>
        <w:trPr/>
        <w:tc>
          <w:tcPr>
            <w:tcW w:w="5196" w:type="dxa"/>
            <w:tcBorders>
              <w:top w:val="single" w:sz="4" w:space="0" w:color="000000"/>
              <w:start w:val="single" w:sz="4" w:space="0" w:color="000000"/>
              <w:bottom w:val="single" w:sz="4" w:space="0" w:color="000000"/>
            </w:tcBorders>
          </w:tcPr>
          <w:p>
            <w:pPr>
              <w:pStyle w:val="ListParagraph"/>
              <w:widowControl/>
              <w:tabs>
                <w:tab w:val="clear" w:pos="720"/>
                <w:tab w:val="left" w:pos="180" w:leader="none"/>
              </w:tabs>
              <w:suppressAutoHyphens w:val="true"/>
              <w:spacing w:before="0" w:after="200"/>
              <w:ind w:start="0"/>
              <w:contextualSpacing/>
              <w:jc w:val="both"/>
              <w:rPr>
                <w:rFonts w:ascii="Times New Roman" w:hAnsi="Times New Roman" w:eastAsia="Times New Roman" w:cs="Times New Roman"/>
                <w:color w:val="000000"/>
                <w:u w:val="none"/>
              </w:rPr>
            </w:pPr>
            <w:r>
              <w:rPr>
                <w:rFonts w:eastAsia="Times New Roman" w:cs="Times New Roman" w:ascii="Times New Roman" w:hAnsi="Times New Roman"/>
                <w:color w:val="000000"/>
                <w:kern w:val="0"/>
                <w:sz w:val="22"/>
                <w:szCs w:val="22"/>
                <w:u w:val="none"/>
                <w:lang w:bidi="ar-SA"/>
              </w:rPr>
              <w:t>Pretendents iesniedz Pasūtītāja sagatavoto tehnisko specifikāciju, ietverot tajā prasīto informāciju.</w:t>
            </w:r>
          </w:p>
        </w:tc>
        <w:tc>
          <w:tcPr>
            <w:tcW w:w="5196" w:type="dxa"/>
            <w:tcBorders>
              <w:top w:val="single" w:sz="4" w:space="0" w:color="000000"/>
              <w:bottom w:val="single" w:sz="4" w:space="0" w:color="000000"/>
              <w:end w:val="single" w:sz="4" w:space="0" w:color="000000"/>
            </w:tcBorders>
          </w:tcPr>
          <w:p>
            <w:pPr>
              <w:pStyle w:val="Normal"/>
              <w:widowControl/>
              <w:suppressAutoHyphens w:val="true"/>
              <w:spacing w:lineRule="auto" w:line="240" w:before="0" w:after="0"/>
              <w:jc w:val="start"/>
              <w:rPr>
                <w:rFonts w:ascii="Times New Roman" w:hAnsi="Times New Roman"/>
              </w:rPr>
            </w:pPr>
            <w:r>
              <w:rPr>
                <w:rFonts w:cs="Times New Roman" w:ascii="Times New Roman" w:hAnsi="Times New Roman"/>
                <w:kern w:val="0"/>
                <w:sz w:val="22"/>
                <w:szCs w:val="22"/>
                <w:lang w:bidi="ar-SA"/>
              </w:rPr>
              <w:t>Tehniskā specifikācija (2.pielikums)</w:t>
            </w:r>
          </w:p>
        </w:tc>
      </w:tr>
      <w:tr>
        <w:trPr/>
        <w:tc>
          <w:tcPr>
            <w:tcW w:w="5196" w:type="dxa"/>
            <w:tcBorders>
              <w:top w:val="single" w:sz="4" w:space="0" w:color="000000"/>
              <w:start w:val="single" w:sz="4" w:space="0" w:color="000000"/>
              <w:bottom w:val="single" w:sz="4" w:space="0" w:color="000000"/>
            </w:tcBorders>
          </w:tcPr>
          <w:p>
            <w:pPr>
              <w:pStyle w:val="ListParagraph"/>
              <w:widowControl/>
              <w:tabs>
                <w:tab w:val="clear" w:pos="720"/>
                <w:tab w:val="left" w:pos="180" w:leader="none"/>
              </w:tabs>
              <w:suppressAutoHyphens w:val="true"/>
              <w:spacing w:before="0" w:after="200"/>
              <w:ind w:start="0"/>
              <w:contextualSpacing/>
              <w:jc w:val="both"/>
              <w:rPr>
                <w:rFonts w:ascii="Times New Roman" w:hAnsi="Times New Roman" w:eastAsia="Times New Roman" w:cs="Times New Roman"/>
                <w:color w:val="000000"/>
                <w:u w:val="none"/>
              </w:rPr>
            </w:pPr>
            <w:r>
              <w:rPr>
                <w:rFonts w:eastAsia="Times New Roman" w:cs="Times New Roman" w:ascii="Times New Roman" w:hAnsi="Times New Roman"/>
                <w:color w:val="000000"/>
                <w:kern w:val="0"/>
                <w:sz w:val="22"/>
                <w:szCs w:val="22"/>
                <w:u w:val="none"/>
                <w:lang w:bidi="ar-SA"/>
              </w:rPr>
              <w:t>Pretendents iesniedz tāmi, kas sagatavota atbilstoši LR spēkā esošo normatīvi aktu prasībām un saskaņā ar Pasūtītāja sagatavoto tehnisko specifikāciju (2.pielikums).</w:t>
            </w:r>
          </w:p>
          <w:p>
            <w:pPr>
              <w:pStyle w:val="ListParagraph"/>
              <w:widowControl/>
              <w:tabs>
                <w:tab w:val="clear" w:pos="720"/>
                <w:tab w:val="left" w:pos="180" w:leader="none"/>
              </w:tabs>
              <w:suppressAutoHyphens w:val="true"/>
              <w:spacing w:before="0" w:after="200"/>
              <w:ind w:start="0"/>
              <w:contextualSpacing/>
              <w:jc w:val="both"/>
              <w:rPr>
                <w:rFonts w:ascii="Times New Roman" w:hAnsi="Times New Roman" w:eastAsia="Times New Roman" w:cs="Times New Roman"/>
                <w:color w:val="000000"/>
                <w:u w:val="none"/>
              </w:rPr>
            </w:pPr>
            <w:r>
              <w:rPr>
                <w:rFonts w:eastAsia="Times New Roman" w:cs="Times New Roman" w:ascii="Times New Roman" w:hAnsi="Times New Roman"/>
                <w:color w:val="000000"/>
                <w:kern w:val="0"/>
                <w:sz w:val="22"/>
                <w:szCs w:val="22"/>
                <w:u w:val="none"/>
                <w:lang w:bidi="ar-SA"/>
              </w:rPr>
              <w:t>Ja tehniskajā specifikācijā minēti konkrēti ražotāji vai produktu nosaukumi, konkrētas metodes, Pretendents drīkst piedāvāt citu ražotāju analogus, kuri kvalitātes, izpildījuma, ekspluatācijas īpašību, savietojamības un funkcionalitātes ziņā ir līdzvērtīgi.</w:t>
            </w:r>
          </w:p>
        </w:tc>
        <w:tc>
          <w:tcPr>
            <w:tcW w:w="5196" w:type="dxa"/>
            <w:tcBorders>
              <w:top w:val="single" w:sz="4" w:space="0" w:color="000000"/>
              <w:bottom w:val="single" w:sz="4" w:space="0" w:color="000000"/>
              <w:end w:val="single" w:sz="4" w:space="0" w:color="000000"/>
            </w:tcBorders>
          </w:tcPr>
          <w:p>
            <w:pPr>
              <w:pStyle w:val="Normal"/>
              <w:widowControl/>
              <w:tabs>
                <w:tab w:val="clear" w:pos="720"/>
                <w:tab w:val="left" w:pos="426" w:leader="none"/>
              </w:tabs>
              <w:suppressAutoHyphens w:val="true"/>
              <w:spacing w:lineRule="auto" w:line="240" w:before="0" w:after="0"/>
              <w:jc w:val="start"/>
              <w:rPr>
                <w:rFonts w:ascii="Times New Roman" w:hAnsi="Times New Roman"/>
              </w:rPr>
            </w:pPr>
            <w:r>
              <w:rPr>
                <w:rFonts w:ascii="Times New Roman" w:hAnsi="Times New Roman"/>
                <w:kern w:val="0"/>
                <w:sz w:val="22"/>
                <w:szCs w:val="22"/>
                <w:lang w:bidi="ar-SA"/>
              </w:rPr>
              <w:t>Tāme</w:t>
            </w:r>
          </w:p>
          <w:p>
            <w:pPr>
              <w:pStyle w:val="Normal"/>
              <w:widowControl/>
              <w:tabs>
                <w:tab w:val="clear" w:pos="720"/>
                <w:tab w:val="left" w:pos="426" w:leader="none"/>
              </w:tabs>
              <w:suppressAutoHyphens w:val="true"/>
              <w:spacing w:lineRule="auto" w:line="240" w:before="0" w:after="0"/>
              <w:jc w:val="start"/>
              <w:rPr>
                <w:rFonts w:ascii="Times New Roman" w:hAnsi="Times New Roman"/>
              </w:rPr>
            </w:pPr>
            <w:r>
              <w:rPr>
                <w:rFonts w:ascii="Times New Roman" w:hAnsi="Times New Roman"/>
              </w:rPr>
            </w:r>
          </w:p>
        </w:tc>
      </w:tr>
      <w:tr>
        <w:trPr/>
        <w:tc>
          <w:tcPr>
            <w:tcW w:w="5196" w:type="dxa"/>
            <w:tcBorders>
              <w:top w:val="single" w:sz="4" w:space="0" w:color="000000"/>
              <w:start w:val="single" w:sz="4" w:space="0" w:color="000000"/>
              <w:bottom w:val="single" w:sz="4" w:space="0" w:color="000000"/>
            </w:tcBorders>
          </w:tcPr>
          <w:p>
            <w:pPr>
              <w:pStyle w:val="ListParagraph"/>
              <w:widowControl/>
              <w:tabs>
                <w:tab w:val="clear" w:pos="720"/>
                <w:tab w:val="left" w:pos="180" w:leader="none"/>
              </w:tabs>
              <w:suppressAutoHyphens w:val="true"/>
              <w:spacing w:before="0" w:after="200"/>
              <w:ind w:start="0"/>
              <w:contextualSpacing/>
              <w:jc w:val="both"/>
              <w:rPr>
                <w:rFonts w:ascii="Times New Roman" w:hAnsi="Times New Roman" w:eastAsia="Times New Roman" w:cs="Times New Roman"/>
                <w:color w:val="000000"/>
                <w:u w:val="none"/>
              </w:rPr>
            </w:pPr>
            <w:r>
              <w:rPr>
                <w:rFonts w:eastAsia="Times New Roman" w:cs="Times New Roman" w:ascii="Times New Roman" w:hAnsi="Times New Roman"/>
                <w:color w:val="000000"/>
                <w:kern w:val="0"/>
                <w:sz w:val="22"/>
                <w:szCs w:val="22"/>
                <w:u w:val="none"/>
                <w:lang w:bidi="ar-SA"/>
              </w:rPr>
              <w:t>Pretendents sagatavo un iesniedz finanšu piedāvājumu (3.pielikums) atbilstoši publicētajai veidlapai (formai)</w:t>
            </w:r>
          </w:p>
          <w:p>
            <w:pPr>
              <w:pStyle w:val="ListParagraph"/>
              <w:widowControl/>
              <w:tabs>
                <w:tab w:val="clear" w:pos="720"/>
                <w:tab w:val="left" w:pos="180" w:leader="none"/>
              </w:tabs>
              <w:suppressAutoHyphens w:val="true"/>
              <w:spacing w:before="0" w:after="200"/>
              <w:ind w:start="0"/>
              <w:contextualSpacing/>
              <w:jc w:val="both"/>
              <w:rPr>
                <w:rFonts w:ascii="Times New Roman" w:hAnsi="Times New Roman" w:eastAsia="Times New Roman" w:cs="Times New Roman"/>
                <w:color w:val="000000"/>
                <w:u w:val="none"/>
              </w:rPr>
            </w:pPr>
            <w:r>
              <w:rPr>
                <w:rFonts w:eastAsia="Times New Roman" w:cs="Times New Roman" w:ascii="Times New Roman" w:hAnsi="Times New Roman"/>
                <w:color w:val="000000"/>
                <w:kern w:val="0"/>
                <w:sz w:val="22"/>
                <w:szCs w:val="22"/>
                <w:u w:val="none"/>
                <w:lang w:bidi="ar-SA"/>
              </w:rPr>
              <w:t>Piedāvājuma cenā jābūt iekļautiem visiem plānotajiem izdevumiem par darbu, pakalpojumiem, materiāliem un iekārtām, kas nepieciešami iepirkuma līguma izpildei pilnā apmērā un atbilstošā kvalitātē. Darbu izpildītājam ir jāparedz visi iespējamie riski saistībā ar iespējamo izdevumu palielināšanos.</w:t>
            </w:r>
          </w:p>
          <w:p>
            <w:pPr>
              <w:pStyle w:val="ListParagraph"/>
              <w:widowControl/>
              <w:tabs>
                <w:tab w:val="clear" w:pos="720"/>
                <w:tab w:val="left" w:pos="180" w:leader="none"/>
              </w:tabs>
              <w:suppressAutoHyphens w:val="true"/>
              <w:spacing w:before="0" w:after="200"/>
              <w:ind w:start="0"/>
              <w:contextualSpacing/>
              <w:jc w:val="both"/>
              <w:rPr>
                <w:rFonts w:ascii="Times New Roman" w:hAnsi="Times New Roman" w:eastAsia="Times New Roman" w:cs="Times New Roman"/>
                <w:color w:val="000000"/>
                <w:u w:val="none"/>
              </w:rPr>
            </w:pPr>
            <w:r>
              <w:rPr>
                <w:rFonts w:eastAsia="Times New Roman" w:cs="Times New Roman" w:ascii="Times New Roman" w:hAnsi="Times New Roman"/>
                <w:color w:val="000000"/>
                <w:kern w:val="0"/>
                <w:sz w:val="22"/>
                <w:szCs w:val="22"/>
                <w:u w:val="none"/>
                <w:lang w:bidi="ar-SA"/>
              </w:rPr>
              <w:t>Piedāvājuma cena jānorāda ar precizitāti 2 (divas) zīmes aiz komata.</w:t>
            </w:r>
          </w:p>
        </w:tc>
        <w:tc>
          <w:tcPr>
            <w:tcW w:w="5196" w:type="dxa"/>
            <w:tcBorders>
              <w:top w:val="single" w:sz="4" w:space="0" w:color="000000"/>
              <w:bottom w:val="single" w:sz="4" w:space="0" w:color="000000"/>
              <w:end w:val="single" w:sz="4" w:space="0" w:color="000000"/>
            </w:tcBorders>
          </w:tcPr>
          <w:p>
            <w:pPr>
              <w:pStyle w:val="Normal"/>
              <w:widowControl/>
              <w:tabs>
                <w:tab w:val="clear" w:pos="720"/>
                <w:tab w:val="left" w:pos="426" w:leader="none"/>
              </w:tabs>
              <w:suppressAutoHyphens w:val="true"/>
              <w:spacing w:lineRule="auto" w:line="240" w:before="0" w:after="0"/>
              <w:jc w:val="start"/>
              <w:rPr>
                <w:rFonts w:ascii="Times New Roman" w:hAnsi="Times New Roman"/>
              </w:rPr>
            </w:pPr>
            <w:r>
              <w:rPr>
                <w:rFonts w:ascii="Times New Roman" w:hAnsi="Times New Roman"/>
                <w:kern w:val="0"/>
                <w:sz w:val="22"/>
                <w:szCs w:val="22"/>
                <w:lang w:bidi="ar-SA"/>
              </w:rPr>
              <w:t>Finanšu piedāvājums (3.pielikums).</w:t>
            </w:r>
          </w:p>
          <w:p>
            <w:pPr>
              <w:pStyle w:val="Normal"/>
              <w:widowControl/>
              <w:tabs>
                <w:tab w:val="clear" w:pos="720"/>
                <w:tab w:val="left" w:pos="426" w:leader="none"/>
              </w:tabs>
              <w:suppressAutoHyphens w:val="true"/>
              <w:spacing w:lineRule="auto" w:line="240" w:before="0" w:after="0"/>
              <w:jc w:val="start"/>
              <w:rPr>
                <w:rFonts w:ascii="Times New Roman" w:hAnsi="Times New Roman"/>
              </w:rPr>
            </w:pPr>
            <w:r>
              <w:rPr>
                <w:rFonts w:ascii="Times New Roman" w:hAnsi="Times New Roman"/>
              </w:rPr>
            </w:r>
          </w:p>
        </w:tc>
      </w:tr>
      <w:tr>
        <w:trPr/>
        <w:tc>
          <w:tcPr>
            <w:tcW w:w="5196" w:type="dxa"/>
            <w:tcBorders>
              <w:top w:val="single" w:sz="4" w:space="0" w:color="000000"/>
              <w:start w:val="single" w:sz="4" w:space="0" w:color="000000"/>
              <w:bottom w:val="single" w:sz="4" w:space="0" w:color="000000"/>
            </w:tcBorders>
          </w:tcPr>
          <w:p>
            <w:pPr>
              <w:pStyle w:val="ListParagraph"/>
              <w:widowControl/>
              <w:tabs>
                <w:tab w:val="clear" w:pos="720"/>
                <w:tab w:val="left" w:pos="180" w:leader="none"/>
              </w:tabs>
              <w:suppressAutoHyphens w:val="true"/>
              <w:spacing w:before="0" w:after="200"/>
              <w:ind w:start="0"/>
              <w:contextualSpacing/>
              <w:jc w:val="both"/>
              <w:rPr>
                <w:rFonts w:ascii="Times New Roman" w:hAnsi="Times New Roman" w:eastAsia="Times New Roman" w:cs="Times New Roman"/>
                <w:color w:val="000000"/>
                <w:u w:val="none"/>
              </w:rPr>
            </w:pPr>
            <w:r>
              <w:rPr>
                <w:rFonts w:eastAsia="Times New Roman" w:cs="Times New Roman" w:ascii="Times New Roman" w:hAnsi="Times New Roman"/>
                <w:color w:val="000000"/>
                <w:kern w:val="0"/>
                <w:sz w:val="22"/>
                <w:szCs w:val="22"/>
                <w:u w:val="none"/>
                <w:lang w:bidi="ar-SA"/>
              </w:rPr>
              <w:t>Citi dokumenti.</w:t>
            </w:r>
          </w:p>
        </w:tc>
        <w:tc>
          <w:tcPr>
            <w:tcW w:w="5196" w:type="dxa"/>
            <w:tcBorders>
              <w:top w:val="single" w:sz="4" w:space="0" w:color="000000"/>
              <w:bottom w:val="single" w:sz="4" w:space="0" w:color="000000"/>
              <w:end w:val="single" w:sz="4" w:space="0" w:color="000000"/>
            </w:tcBorders>
          </w:tcPr>
          <w:p>
            <w:pPr>
              <w:pStyle w:val="Normal"/>
              <w:widowControl w:val="false"/>
              <w:suppressAutoHyphens w:val="true"/>
              <w:spacing w:lineRule="auto" w:line="240" w:before="40" w:after="40"/>
              <w:jc w:val="both"/>
              <w:rPr>
                <w:rFonts w:ascii="Times New Roman" w:hAnsi="Times New Roman"/>
              </w:rPr>
            </w:pPr>
            <w:r>
              <w:rPr>
                <w:rFonts w:eastAsia="Times New Roman" w:cs="Times New Roman" w:ascii="Times New Roman" w:hAnsi="Times New Roman"/>
                <w:bCs/>
                <w:kern w:val="0"/>
                <w:sz w:val="22"/>
                <w:szCs w:val="22"/>
                <w:lang w:bidi="ar-SA"/>
              </w:rPr>
              <w:t xml:space="preserve">Pretendents iesniedz citus ar </w:t>
            </w:r>
            <w:r>
              <w:rPr>
                <w:rFonts w:eastAsia="Times New Roman" w:cs="Times New Roman" w:ascii="Times New Roman" w:hAnsi="Times New Roman"/>
                <w:bCs/>
                <w:kern w:val="0"/>
                <w:sz w:val="22"/>
                <w:szCs w:val="22"/>
                <w:lang w:eastAsia="en-US" w:bidi="ar-SA"/>
              </w:rPr>
              <w:t>piedāvājumu saistītus dokumentus, lai apliecinātu atbilstību Nolikumā noteiktajām prasībām.</w:t>
            </w:r>
          </w:p>
        </w:tc>
      </w:tr>
      <w:tr>
        <w:trPr/>
        <w:tc>
          <w:tcPr>
            <w:tcW w:w="10392" w:type="dxa"/>
            <w:gridSpan w:val="2"/>
            <w:tcBorders>
              <w:start w:val="single" w:sz="4" w:space="0" w:color="000000"/>
              <w:bottom w:val="single" w:sz="4" w:space="0" w:color="000000"/>
              <w:end w:val="single" w:sz="4" w:space="0" w:color="000000"/>
            </w:tcBorders>
          </w:tcPr>
          <w:p>
            <w:pPr>
              <w:pStyle w:val="ListParagraph"/>
              <w:widowControl w:val="false"/>
              <w:tabs>
                <w:tab w:val="clear" w:pos="720"/>
                <w:tab w:val="left" w:pos="743" w:leader="none"/>
              </w:tabs>
              <w:suppressAutoHyphens w:val="true"/>
              <w:bidi w:val="0"/>
              <w:spacing w:lineRule="auto" w:line="240" w:before="40" w:after="40"/>
              <w:ind w:hanging="0" w:start="0" w:end="360"/>
              <w:contextualSpacing/>
              <w:jc w:val="both"/>
              <w:rPr>
                <w:rFonts w:ascii="Times New Roman" w:hAnsi="Times New Roman"/>
              </w:rPr>
            </w:pPr>
            <w:r>
              <w:rPr>
                <w:rFonts w:ascii="Times New Roman" w:hAnsi="Times New Roman"/>
                <w:iCs/>
                <w:kern w:val="0"/>
                <w:sz w:val="22"/>
                <w:szCs w:val="22"/>
                <w:lang w:bidi="ar-SA"/>
              </w:rPr>
              <w:t xml:space="preserve">Pretendents var balstīties uz citu personu tehniskajām un profesionālajām iespējām, ja tas ir nepieciešams konkrētā līguma izpildei, neatkarīgi no savstarpējo attiecību tiesiskā rakstura. Šādā gadījumā </w:t>
            </w:r>
            <w:r>
              <w:rPr>
                <w:rFonts w:ascii="Times New Roman" w:hAnsi="Times New Roman"/>
                <w:kern w:val="0"/>
                <w:sz w:val="22"/>
                <w:szCs w:val="22"/>
                <w:lang w:eastAsia="en-US" w:bidi="ar-SA"/>
              </w:rPr>
              <w:t>P</w:t>
            </w:r>
            <w:r>
              <w:rPr>
                <w:rFonts w:ascii="Times New Roman" w:hAnsi="Times New Roman"/>
                <w:iCs/>
                <w:kern w:val="0"/>
                <w:sz w:val="22"/>
                <w:szCs w:val="22"/>
                <w:lang w:bidi="ar-SA"/>
              </w:rPr>
              <w:t>retendents pierāda pasūtītājam, ka viņa rīcībā būs nepieciešamie resursi, iesniedzot šī uzņēmēja apliecinājumu vai vienošanos par sadarbību konkrētā līguma izpildei ar norādi par nepieciešamo resursu nodošanas veidu (kā tiks nodoti resursi) un apjomu. Pretendents, lai apliecinātu profesionālo pieredzi vai Pasūtītāja prasībām atbilstoša personāla pieejamību, var balstīties uz citu personu iespējām tikai tad, ja šīs personas sniegs pakalpojumus, kuru izpildei attiecīgās spējas ir nepieciešamas.</w:t>
            </w:r>
          </w:p>
        </w:tc>
      </w:tr>
      <w:tr>
        <w:trPr/>
        <w:tc>
          <w:tcPr>
            <w:tcW w:w="10392" w:type="dxa"/>
            <w:gridSpan w:val="2"/>
            <w:tcBorders>
              <w:start w:val="single" w:sz="4" w:space="0" w:color="000000"/>
              <w:bottom w:val="single" w:sz="4" w:space="0" w:color="000000"/>
              <w:end w:val="single" w:sz="4" w:space="0" w:color="000000"/>
            </w:tcBorders>
          </w:tcPr>
          <w:p>
            <w:pPr>
              <w:pStyle w:val="ListParagraph"/>
              <w:widowControl w:val="false"/>
              <w:numPr>
                <w:ilvl w:val="0"/>
                <w:numId w:val="0"/>
              </w:numPr>
              <w:tabs>
                <w:tab w:val="clear" w:pos="720"/>
                <w:tab w:val="left" w:pos="743" w:leader="none"/>
              </w:tabs>
              <w:suppressAutoHyphens w:val="true"/>
              <w:bidi w:val="0"/>
              <w:spacing w:lineRule="auto" w:line="240" w:before="40" w:after="40"/>
              <w:ind w:hanging="0" w:start="89" w:end="269"/>
              <w:contextualSpacing/>
              <w:jc w:val="both"/>
              <w:rPr>
                <w:rFonts w:ascii="Times New Roman" w:hAnsi="Times New Roman" w:eastAsia="Times New Roman" w:cs="Times New Roman"/>
                <w:bCs/>
              </w:rPr>
            </w:pPr>
            <w:r>
              <w:rPr>
                <w:rFonts w:ascii="Times New Roman" w:hAnsi="Times New Roman"/>
                <w:iCs/>
                <w:kern w:val="0"/>
                <w:sz w:val="22"/>
                <w:szCs w:val="22"/>
                <w:lang w:bidi="ar-SA"/>
              </w:rPr>
              <w:t xml:space="preserve">Pretendents var balstīties uz citu </w:t>
            </w:r>
            <w:r>
              <w:rPr>
                <w:rFonts w:eastAsia="Calibri" w:cs="Times New Roman" w:ascii="Times New Roman" w:hAnsi="Times New Roman"/>
                <w:color w:val="000000"/>
                <w:kern w:val="0"/>
                <w:sz w:val="22"/>
                <w:szCs w:val="22"/>
                <w:lang w:bidi="ar-SA"/>
              </w:rPr>
              <w:t>personu saimnieciskajām un finansiālajām iespējām</w:t>
            </w:r>
            <w:r>
              <w:rPr>
                <w:rFonts w:ascii="Times New Roman" w:hAnsi="Times New Roman"/>
                <w:iCs/>
                <w:kern w:val="0"/>
                <w:sz w:val="22"/>
                <w:szCs w:val="22"/>
                <w:lang w:bidi="ar-SA"/>
              </w:rPr>
              <w:t xml:space="preserve">, ja tas ir nepieciešams konkrētā līguma izpildei, neatkarīgi no savstarpējo attiecību tiesiskā rakstura. </w:t>
            </w:r>
            <w:r>
              <w:rPr>
                <w:rFonts w:eastAsia="Calibri" w:cs="Times New Roman" w:ascii="Times New Roman" w:hAnsi="Times New Roman"/>
                <w:color w:val="000000"/>
                <w:kern w:val="0"/>
                <w:sz w:val="22"/>
                <w:szCs w:val="22"/>
                <w:lang w:bidi="ar-SA"/>
              </w:rPr>
              <w:t>Šajā gadījumā Pretendents un persona, uz kuras saimnieciskajām un finansiālajām iespējām tas balstās, ir solidāri atbildīgi par iepirkuma līguma izpildi. Pretendents pierāda, ka tā rīcībā būs nepieciešamie resursi, iesniedzot šo personu apliecinājumu vai vienošanos par sadarbību konkrētā līguma izpildē. Pretendenta un personas, uz kuras saimnieciskajām un finansiālajām iespējām Pretendents balstās, savstarpēji parakstīts apliecinājums vai noslēgta vienošanās, kurā norādīts, ka persona, uz kuras saimnieciskajām un finansiālajām iespējām Pretendents balstās, uzņemas solidāro atbildību par līguma izpildi, kā arī norāda, kādā veidā šī persona ir paredzējusi uzņemties solidāro atbildību par līguma izpildi.</w:t>
            </w:r>
          </w:p>
        </w:tc>
      </w:tr>
      <w:tr>
        <w:trPr/>
        <w:tc>
          <w:tcPr>
            <w:tcW w:w="10392" w:type="dxa"/>
            <w:gridSpan w:val="2"/>
            <w:tcBorders>
              <w:start w:val="single" w:sz="4" w:space="0" w:color="000000"/>
              <w:bottom w:val="single" w:sz="4" w:space="0" w:color="000000"/>
              <w:end w:val="single" w:sz="4" w:space="0" w:color="000000"/>
            </w:tcBorders>
          </w:tcPr>
          <w:p>
            <w:pPr>
              <w:pStyle w:val="ListParagraph"/>
              <w:widowControl w:val="false"/>
              <w:numPr>
                <w:ilvl w:val="0"/>
                <w:numId w:val="0"/>
              </w:numPr>
              <w:tabs>
                <w:tab w:val="clear" w:pos="720"/>
                <w:tab w:val="left" w:pos="743" w:leader="none"/>
              </w:tabs>
              <w:suppressAutoHyphens w:val="true"/>
              <w:bidi w:val="0"/>
              <w:spacing w:lineRule="auto" w:line="240" w:before="40" w:after="40"/>
              <w:ind w:hanging="0" w:start="89" w:end="269"/>
              <w:contextualSpacing/>
              <w:jc w:val="both"/>
              <w:rPr>
                <w:rFonts w:ascii="Times New Roman" w:hAnsi="Times New Roman" w:eastAsia="Calibri" w:cs="Times New Roman"/>
                <w:color w:val="000000"/>
                <w:kern w:val="0"/>
                <w:sz w:val="22"/>
                <w:szCs w:val="22"/>
                <w:lang w:val="lv-LV" w:eastAsia="lv-LV" w:bidi="ar-SA"/>
              </w:rPr>
            </w:pPr>
            <w:r>
              <w:rPr>
                <w:rFonts w:eastAsia="Calibri" w:cs="Times New Roman" w:ascii="Times New Roman" w:hAnsi="Times New Roman"/>
                <w:color w:val="000000"/>
                <w:kern w:val="0"/>
                <w:sz w:val="22"/>
                <w:szCs w:val="22"/>
                <w:lang w:val="lv-LV" w:eastAsia="lv-LV" w:bidi="ar-SA"/>
              </w:rPr>
              <w:t>Pretendentam jānorāda visus apakšuzņēmējus un apakšuzņēmēja apakšuzņēmējus, ja tādi tiek piesaistīti. Ar apakšuzņēmēju ir saprotama Pretendenta nolīgta persona vai tās nolīgta persona, kura piedalās iepirkuma līguma izpildē. Pretendentam jāiesniedz piesaistīto apakšuzņēmēju saraksts (5.pielikums), norādot tajā katram apakšuzņēmējam izpildei nododamo līguma daļu saskaņā ar tehnisko specifikāciju vai tāmi, un pievienojot finanšu aprēķinus, kas norāda līguma nododamo daļu procentuālo vērtību.</w:t>
            </w:r>
          </w:p>
        </w:tc>
      </w:tr>
    </w:tbl>
    <w:p>
      <w:pPr>
        <w:pStyle w:val="Normal"/>
        <w:numPr>
          <w:ilvl w:val="0"/>
          <w:numId w:val="4"/>
        </w:numPr>
        <w:spacing w:lineRule="auto" w:line="240" w:before="285" w:after="285"/>
        <w:ind w:hanging="360" w:start="720"/>
        <w:jc w:val="center"/>
        <w:rPr>
          <w:rFonts w:ascii="Times New Roman" w:hAnsi="Times New Roman" w:eastAsia="Calibri" w:cs="Times New Roman"/>
          <w:b/>
          <w:bCs/>
          <w:kern w:val="2"/>
          <w:sz w:val="24"/>
          <w:szCs w:val="24"/>
          <w:lang w:eastAsia="en-US"/>
        </w:rPr>
      </w:pPr>
      <w:r>
        <w:rPr>
          <w:rFonts w:eastAsia="Calibri" w:cs="Times New Roman" w:ascii="Times New Roman" w:hAnsi="Times New Roman"/>
          <w:b/>
          <w:bCs/>
          <w:kern w:val="2"/>
          <w:sz w:val="24"/>
          <w:szCs w:val="24"/>
          <w:lang w:eastAsia="en-US"/>
        </w:rPr>
        <w:t>PIEDĀVĀJUMA SAGATAVOŠANAS UN IESNIEGŠANAS KĀRTĪBA</w:t>
      </w:r>
    </w:p>
    <w:p>
      <w:pPr>
        <w:pStyle w:val="ListParagraph"/>
        <w:numPr>
          <w:ilvl w:val="1"/>
          <w:numId w:val="4"/>
        </w:numPr>
        <w:spacing w:lineRule="auto" w:line="259"/>
        <w:ind w:hanging="432" w:start="0"/>
        <w:jc w:val="both"/>
        <w:rPr>
          <w:rFonts w:ascii="Times New Roman" w:hAnsi="Times New Roman"/>
        </w:rPr>
      </w:pPr>
      <w:r>
        <w:rPr>
          <w:rFonts w:eastAsia="Calibri" w:cs="Times New Roman" w:ascii="Times New Roman" w:hAnsi="Times New Roman"/>
          <w:bCs/>
          <w:kern w:val="2"/>
          <w:lang w:eastAsia="en-US"/>
        </w:rPr>
        <w:t>Pretendentam jāaizpilda un jāiesniedz atbilstoši Nolikuma pielikumā sagatavotajām veidlapām:</w:t>
      </w:r>
    </w:p>
    <w:p>
      <w:pPr>
        <w:pStyle w:val="ListParagraph"/>
        <w:numPr>
          <w:ilvl w:val="2"/>
          <w:numId w:val="4"/>
        </w:numPr>
        <w:spacing w:lineRule="auto" w:line="259"/>
        <w:ind w:hanging="504" w:start="567"/>
        <w:jc w:val="both"/>
        <w:rPr>
          <w:rFonts w:ascii="Times New Roman" w:hAnsi="Times New Roman"/>
        </w:rPr>
      </w:pPr>
      <w:r>
        <w:rPr>
          <w:rFonts w:eastAsia="Calibri" w:cs="Times New Roman" w:ascii="Times New Roman" w:hAnsi="Times New Roman"/>
          <w:bCs/>
          <w:kern w:val="2"/>
          <w:lang w:eastAsia="en-US"/>
        </w:rPr>
        <w:t xml:space="preserve"> </w:t>
      </w:r>
      <w:r>
        <w:rPr>
          <w:rFonts w:eastAsia="Calibri" w:cs="Times New Roman" w:ascii="Times New Roman" w:hAnsi="Times New Roman"/>
          <w:bCs/>
          <w:kern w:val="2"/>
          <w:lang w:eastAsia="en-US"/>
        </w:rPr>
        <w:t>Pretendenta pieteikums dalībai konkursā (Nolikuma 1. pielikums);</w:t>
      </w:r>
    </w:p>
    <w:p>
      <w:pPr>
        <w:pStyle w:val="ListParagraph"/>
        <w:numPr>
          <w:ilvl w:val="2"/>
          <w:numId w:val="4"/>
        </w:numPr>
        <w:spacing w:lineRule="auto" w:line="259"/>
        <w:ind w:hanging="504" w:start="567"/>
        <w:jc w:val="both"/>
        <w:rPr>
          <w:rFonts w:ascii="Times New Roman" w:hAnsi="Times New Roman"/>
        </w:rPr>
      </w:pPr>
      <w:r>
        <w:rPr>
          <w:rFonts w:eastAsia="Calibri" w:cs="Times New Roman" w:ascii="Times New Roman" w:hAnsi="Times New Roman"/>
          <w:bCs/>
          <w:kern w:val="2"/>
          <w:lang w:eastAsia="en-US"/>
        </w:rPr>
        <w:t xml:space="preserve"> </w:t>
      </w:r>
      <w:r>
        <w:rPr>
          <w:rFonts w:eastAsia="Calibri" w:cs="Times New Roman" w:ascii="Times New Roman" w:hAnsi="Times New Roman"/>
          <w:bCs/>
          <w:kern w:val="2"/>
          <w:lang w:eastAsia="en-US"/>
        </w:rPr>
        <w:t>tehniskā specifikācija (Nolikuma 2. un 2.1.pielikums);</w:t>
      </w:r>
    </w:p>
    <w:p>
      <w:pPr>
        <w:pStyle w:val="ListParagraph"/>
        <w:numPr>
          <w:ilvl w:val="2"/>
          <w:numId w:val="4"/>
        </w:numPr>
        <w:spacing w:lineRule="auto" w:line="259"/>
        <w:ind w:hanging="504" w:start="567"/>
        <w:jc w:val="both"/>
        <w:rPr>
          <w:rFonts w:ascii="Times New Roman" w:hAnsi="Times New Roman"/>
        </w:rPr>
      </w:pPr>
      <w:r>
        <w:rPr>
          <w:rFonts w:eastAsia="Calibri" w:cs="Times New Roman" w:ascii="Times New Roman" w:hAnsi="Times New Roman"/>
          <w:bCs/>
          <w:kern w:val="2"/>
          <w:lang w:eastAsia="en-US"/>
        </w:rPr>
        <w:t xml:space="preserve"> </w:t>
      </w:r>
      <w:r>
        <w:rPr>
          <w:rFonts w:eastAsia="Calibri" w:cs="Times New Roman" w:ascii="Times New Roman" w:hAnsi="Times New Roman"/>
          <w:bCs/>
          <w:kern w:val="2"/>
          <w:lang w:eastAsia="en-US"/>
        </w:rPr>
        <w:t>finanšu piedāvājums (Nolikuma 3. pielikums);</w:t>
      </w:r>
    </w:p>
    <w:p>
      <w:pPr>
        <w:pStyle w:val="ListParagraph"/>
        <w:numPr>
          <w:ilvl w:val="2"/>
          <w:numId w:val="4"/>
        </w:numPr>
        <w:spacing w:lineRule="auto" w:line="259"/>
        <w:ind w:hanging="504" w:start="567"/>
        <w:jc w:val="both"/>
        <w:rPr>
          <w:rFonts w:ascii="Times New Roman" w:hAnsi="Times New Roman"/>
        </w:rPr>
      </w:pPr>
      <w:r>
        <w:rPr>
          <w:rFonts w:eastAsia="Calibri" w:cs="Times New Roman" w:ascii="Times New Roman" w:hAnsi="Times New Roman"/>
          <w:bCs/>
          <w:kern w:val="2"/>
          <w:lang w:eastAsia="en-US"/>
        </w:rPr>
        <w:t xml:space="preserve"> </w:t>
      </w:r>
      <w:r>
        <w:rPr>
          <w:rFonts w:eastAsia="Calibri" w:cs="Times New Roman" w:ascii="Times New Roman" w:hAnsi="Times New Roman"/>
          <w:bCs/>
          <w:kern w:val="2"/>
          <w:lang w:eastAsia="en-US"/>
        </w:rPr>
        <w:t>līguma projekts (Nolikuma 4.pielikums);</w:t>
      </w:r>
    </w:p>
    <w:p>
      <w:pPr>
        <w:pStyle w:val="ListParagraph"/>
        <w:numPr>
          <w:ilvl w:val="2"/>
          <w:numId w:val="4"/>
        </w:numPr>
        <w:spacing w:lineRule="auto" w:line="259"/>
        <w:ind w:hanging="504" w:start="567"/>
        <w:jc w:val="both"/>
        <w:rPr>
          <w:rFonts w:ascii="Times New Roman" w:hAnsi="Times New Roman"/>
        </w:rPr>
      </w:pPr>
      <w:r>
        <w:rPr>
          <w:rFonts w:eastAsia="Calibri" w:cs="Times New Roman" w:ascii="Times New Roman" w:hAnsi="Times New Roman"/>
          <w:bCs/>
          <w:kern w:val="2"/>
          <w:lang w:eastAsia="en-US"/>
        </w:rPr>
        <w:t xml:space="preserve"> </w:t>
      </w:r>
      <w:r>
        <w:rPr>
          <w:rFonts w:eastAsia="Calibri" w:cs="Times New Roman" w:ascii="Times New Roman" w:hAnsi="Times New Roman"/>
          <w:bCs/>
          <w:kern w:val="2"/>
          <w:lang w:eastAsia="en-US"/>
        </w:rPr>
        <w:t>apakšuz</w:t>
      </w:r>
      <w:r>
        <w:rPr>
          <w:rFonts w:eastAsia="Calibri" w:cs="Times New Roman" w:ascii="Times New Roman" w:hAnsi="Times New Roman"/>
          <w:b w:val="false"/>
          <w:bCs w:val="false"/>
          <w:kern w:val="2"/>
          <w:u w:val="none"/>
          <w:lang w:eastAsia="en-US"/>
        </w:rPr>
        <w:t>ņēmēju apliecinājums (Nolikuma 5.pielikums);</w:t>
      </w:r>
    </w:p>
    <w:p>
      <w:pPr>
        <w:pStyle w:val="ListParagraph"/>
        <w:numPr>
          <w:ilvl w:val="2"/>
          <w:numId w:val="4"/>
        </w:numPr>
        <w:spacing w:lineRule="auto" w:line="259"/>
        <w:ind w:hanging="504" w:start="567"/>
        <w:jc w:val="both"/>
        <w:rPr>
          <w:b w:val="false"/>
          <w:bCs w:val="false"/>
          <w:u w:val="none"/>
        </w:rPr>
      </w:pPr>
      <w:r>
        <w:rPr>
          <w:rFonts w:eastAsia="Calibri" w:cs="Times New Roman" w:ascii="Times New Roman" w:hAnsi="Times New Roman"/>
          <w:b w:val="false"/>
          <w:bCs w:val="false"/>
          <w:kern w:val="2"/>
          <w:u w:val="none"/>
          <w:lang w:eastAsia="en-US"/>
        </w:rPr>
        <w:t xml:space="preserve"> </w:t>
      </w:r>
      <w:r>
        <w:rPr>
          <w:rFonts w:eastAsia="Calibri" w:cs="Times New Roman" w:ascii="Times New Roman" w:hAnsi="Times New Roman"/>
          <w:b w:val="false"/>
          <w:bCs w:val="false"/>
          <w:kern w:val="2"/>
          <w:u w:val="none"/>
          <w:lang w:eastAsia="en-US"/>
        </w:rPr>
        <w:t>apliecinājums par neatkarīgi izstrādātu piedāvājumu (Nolikuma 6. pielikums);</w:t>
      </w:r>
    </w:p>
    <w:p>
      <w:pPr>
        <w:pStyle w:val="ListParagraph"/>
        <w:numPr>
          <w:ilvl w:val="2"/>
          <w:numId w:val="4"/>
        </w:numPr>
        <w:spacing w:lineRule="auto" w:line="259"/>
        <w:ind w:hanging="504" w:start="567"/>
        <w:jc w:val="both"/>
        <w:rPr>
          <w:b w:val="false"/>
          <w:bCs w:val="false"/>
          <w:u w:val="none"/>
        </w:rPr>
      </w:pPr>
      <w:r>
        <w:rPr>
          <w:rFonts w:eastAsia="Calibri" w:cs="Times New Roman" w:ascii="Times New Roman" w:hAnsi="Times New Roman"/>
          <w:b w:val="false"/>
          <w:bCs w:val="false"/>
          <w:kern w:val="2"/>
          <w:u w:val="none"/>
          <w:lang w:eastAsia="en-US"/>
        </w:rPr>
        <w:t xml:space="preserve"> </w:t>
      </w:r>
      <w:r>
        <w:rPr>
          <w:rFonts w:eastAsia="Calibri" w:cs="Times New Roman" w:ascii="Times New Roman" w:hAnsi="Times New Roman"/>
          <w:b w:val="false"/>
          <w:bCs w:val="false"/>
          <w:kern w:val="2"/>
          <w:u w:val="none"/>
          <w:lang w:eastAsia="en-US"/>
        </w:rPr>
        <w:t>objektu apsekošanas veidlapa (Nolikuma 7.pielikums);</w:t>
      </w:r>
    </w:p>
    <w:p>
      <w:pPr>
        <w:pStyle w:val="ListParagraph"/>
        <w:numPr>
          <w:ilvl w:val="2"/>
          <w:numId w:val="4"/>
        </w:numPr>
        <w:spacing w:lineRule="auto" w:line="259"/>
        <w:ind w:hanging="504" w:start="567"/>
        <w:jc w:val="both"/>
        <w:rPr>
          <w:b w:val="false"/>
          <w:bCs w:val="false"/>
          <w:u w:val="none"/>
        </w:rPr>
      </w:pPr>
      <w:r>
        <w:rPr>
          <w:rFonts w:eastAsia="Calibri" w:cs="Times New Roman" w:ascii="Times New Roman" w:hAnsi="Times New Roman"/>
          <w:b w:val="false"/>
          <w:bCs w:val="false"/>
          <w:kern w:val="2"/>
          <w:u w:val="none"/>
          <w:lang w:eastAsia="en-US"/>
        </w:rPr>
        <w:t xml:space="preserve"> </w:t>
      </w:r>
      <w:r>
        <w:rPr>
          <w:rFonts w:eastAsia="Calibri" w:cs="Times New Roman" w:ascii="Times New Roman" w:hAnsi="Times New Roman"/>
          <w:b w:val="false"/>
          <w:bCs w:val="false"/>
          <w:kern w:val="2"/>
          <w:u w:val="none"/>
          <w:lang w:eastAsia="en-US"/>
        </w:rPr>
        <w:t>apliecinājums par interešu konflikta neesamību (Nolikuma 8.pielikums).</w:t>
      </w:r>
    </w:p>
    <w:p>
      <w:pPr>
        <w:pStyle w:val="ListParagraph"/>
        <w:numPr>
          <w:ilvl w:val="1"/>
          <w:numId w:val="4"/>
        </w:numPr>
        <w:spacing w:lineRule="auto" w:line="259"/>
        <w:ind w:hanging="432" w:start="0"/>
        <w:jc w:val="both"/>
        <w:rPr>
          <w:b w:val="false"/>
          <w:bCs w:val="false"/>
          <w:u w:val="none"/>
        </w:rPr>
      </w:pPr>
      <w:r>
        <w:rPr>
          <w:rFonts w:eastAsia="Calibri" w:cs="Times New Roman" w:ascii="Times New Roman" w:hAnsi="Times New Roman"/>
          <w:b w:val="false"/>
          <w:bCs w:val="false"/>
          <w:kern w:val="2"/>
          <w:u w:val="none"/>
          <w:lang w:eastAsia="en-US"/>
        </w:rPr>
        <w:t>Pretendents var pievienot piedāvājumam citu informāciju pēc saviem ieskatiem.</w:t>
      </w:r>
    </w:p>
    <w:p>
      <w:pPr>
        <w:pStyle w:val="ListParagraph"/>
        <w:numPr>
          <w:ilvl w:val="1"/>
          <w:numId w:val="4"/>
        </w:numPr>
        <w:spacing w:lineRule="auto" w:line="259"/>
        <w:ind w:hanging="432" w:start="0"/>
        <w:jc w:val="both"/>
        <w:rPr/>
      </w:pPr>
      <w:r>
        <w:rPr>
          <w:rFonts w:eastAsia="Calibri" w:cs="Times New Roman" w:ascii="Times New Roman" w:hAnsi="Times New Roman"/>
          <w:b/>
          <w:bCs/>
          <w:kern w:val="2"/>
          <w:lang w:eastAsia="en-US"/>
        </w:rPr>
        <w:t>Piedāvājums iesniedzams elektroniski, parakstīts ar drošu elektronisko parakstu, kas satur laika zīmogu līd</w:t>
      </w:r>
      <w:r>
        <w:rPr>
          <w:rFonts w:eastAsia="Calibri" w:cs="Times New Roman" w:ascii="Times New Roman" w:hAnsi="Times New Roman"/>
          <w:b/>
          <w:bCs/>
          <w:kern w:val="2"/>
          <w:shd w:fill="auto" w:val="clear"/>
          <w:lang w:eastAsia="en-US"/>
        </w:rPr>
        <w:t xml:space="preserve">z 2026. gada </w:t>
      </w:r>
      <w:r>
        <w:rPr>
          <w:rFonts w:eastAsia="Calibri" w:cs="Times New Roman" w:ascii="Times New Roman" w:hAnsi="Times New Roman"/>
          <w:b/>
          <w:bCs/>
          <w:kern w:val="2"/>
          <w:shd w:fill="auto" w:val="clear"/>
          <w:lang w:eastAsia="en-US"/>
        </w:rPr>
        <w:t>07</w:t>
      </w:r>
      <w:r>
        <w:rPr>
          <w:rFonts w:eastAsia="Calibri" w:cs="Times New Roman" w:ascii="Times New Roman" w:hAnsi="Times New Roman"/>
          <w:b/>
          <w:bCs/>
          <w:kern w:val="2"/>
          <w:shd w:fill="auto" w:val="clear"/>
          <w:lang w:eastAsia="en-US"/>
        </w:rPr>
        <w:t xml:space="preserve">. </w:t>
      </w:r>
      <w:r>
        <w:rPr>
          <w:rFonts w:eastAsia="Calibri" w:cs="Times New Roman" w:ascii="Times New Roman" w:hAnsi="Times New Roman"/>
          <w:b/>
          <w:bCs/>
          <w:kern w:val="2"/>
          <w:shd w:fill="auto" w:val="clear"/>
          <w:lang w:eastAsia="en-US"/>
        </w:rPr>
        <w:t>aprīlim</w:t>
      </w:r>
      <w:r>
        <w:rPr>
          <w:rFonts w:eastAsia="Calibri" w:cs="Times New Roman" w:ascii="Times New Roman" w:hAnsi="Times New Roman"/>
          <w:b/>
          <w:bCs/>
          <w:kern w:val="2"/>
          <w:shd w:fill="auto" w:val="clear"/>
          <w:lang w:eastAsia="en-US"/>
        </w:rPr>
        <w:t xml:space="preserve"> plkst. 16.00 u</w:t>
      </w:r>
      <w:r>
        <w:rPr>
          <w:rFonts w:eastAsia="Calibri" w:cs="Times New Roman" w:ascii="Times New Roman" w:hAnsi="Times New Roman"/>
          <w:b/>
          <w:bCs/>
          <w:kern w:val="2"/>
          <w:lang w:eastAsia="en-US"/>
        </w:rPr>
        <w:t>z e-pasta adresi</w:t>
      </w:r>
      <w:r>
        <w:rPr>
          <w:rFonts w:eastAsia="Calibri" w:cs="Times New Roman" w:ascii="Times New Roman" w:hAnsi="Times New Roman"/>
          <w:bCs/>
          <w:kern w:val="2"/>
          <w:lang w:eastAsia="en-US"/>
        </w:rPr>
        <w:t xml:space="preserve">: </w:t>
      </w:r>
      <w:hyperlink r:id="rId8">
        <w:r>
          <w:rPr>
            <w:rStyle w:val="Hyperlink"/>
            <w:rFonts w:ascii="Times New Roman" w:hAnsi="Times New Roman"/>
          </w:rPr>
          <w:t>iepirkumi@mfd.lv</w:t>
        </w:r>
      </w:hyperlink>
      <w:r>
        <w:rPr>
          <w:rStyle w:val="Hyperlink"/>
          <w:rFonts w:eastAsia="Calibri" w:cs="Times New Roman" w:ascii="Times New Roman" w:hAnsi="Times New Roman"/>
          <w:bCs/>
          <w:color w:val="auto"/>
          <w:kern w:val="2"/>
          <w:lang w:eastAsia="en-US"/>
        </w:rPr>
        <w:t xml:space="preserve">. </w:t>
      </w:r>
    </w:p>
    <w:p>
      <w:pPr>
        <w:pStyle w:val="ListParagraph"/>
        <w:numPr>
          <w:ilvl w:val="1"/>
          <w:numId w:val="4"/>
        </w:numPr>
        <w:spacing w:lineRule="auto" w:line="259"/>
        <w:ind w:hanging="432" w:start="0"/>
        <w:jc w:val="both"/>
        <w:rPr>
          <w:rFonts w:ascii="Times New Roman" w:hAnsi="Times New Roman"/>
        </w:rPr>
      </w:pPr>
      <w:r>
        <w:rPr>
          <w:rFonts w:eastAsia="Calibri" w:cs="Times New Roman" w:ascii="Times New Roman" w:hAnsi="Times New Roman"/>
          <w:bCs/>
          <w:kern w:val="2"/>
          <w:lang w:eastAsia="en-US"/>
        </w:rPr>
        <w:t>Piedāvājuma dokumentus paraksta Pretendenta pārstāvis ar Latvijas Republikas Uzņēmumu reģistrā vai atbilstošā reģistrā ārvalstīs nostiprinātām paraksta tiesībām vai šīs personas pilnvarota persona, pievienojot atbilstoši noformētu pilnvaru un dokumentu, kas apliecina pilnvaras izdevēja paraksta (pārstāvības) tiesības. Pilnvarā precīzi jānorāda pilnvarotajai personai piešķirto tiesību un saistību apjoms.</w:t>
      </w:r>
    </w:p>
    <w:p>
      <w:pPr>
        <w:pStyle w:val="ListParagraph"/>
        <w:numPr>
          <w:ilvl w:val="1"/>
          <w:numId w:val="4"/>
        </w:numPr>
        <w:spacing w:lineRule="auto" w:line="259"/>
        <w:ind w:hanging="432" w:start="0"/>
        <w:jc w:val="both"/>
        <w:rPr>
          <w:rFonts w:ascii="Times New Roman" w:hAnsi="Times New Roman"/>
        </w:rPr>
      </w:pPr>
      <w:bookmarkStart w:id="30" w:name="_Toc64264072_Copy_2"/>
      <w:bookmarkStart w:id="31" w:name="_Toc65454241_Copy_2"/>
      <w:bookmarkStart w:id="32" w:name="_Toc65862771_Copy_2"/>
      <w:bookmarkStart w:id="33" w:name="_Toc65956610_Copy_2"/>
      <w:bookmarkStart w:id="34" w:name="_Toc65967969_Copy_2"/>
      <w:bookmarkStart w:id="35" w:name="_Toc72766066_Copy_2"/>
      <w:bookmarkStart w:id="36" w:name="_Toc73116766_Copy_2"/>
      <w:bookmarkStart w:id="37" w:name="_Toc79552066_Copy_2"/>
      <w:bookmarkStart w:id="38" w:name="_Toc141341762_Copy_2"/>
      <w:bookmarkStart w:id="39" w:name="_Toc141785293_Copy_2"/>
      <w:bookmarkStart w:id="40" w:name="_Toc45663519_Copy_2"/>
      <w:bookmarkStart w:id="41" w:name="_Toc64201623_Copy_2"/>
      <w:r>
        <w:rPr>
          <w:rFonts w:ascii="Times New Roman" w:hAnsi="Times New Roman"/>
        </w:rPr>
        <w:t>Iesniedzot piedāvājumu, Pretendents pilnībā atzīst visus Nolikumā ietvertos nosacījumus.</w:t>
      </w:r>
      <w:bookmarkEnd w:id="30"/>
      <w:bookmarkEnd w:id="31"/>
      <w:bookmarkEnd w:id="32"/>
      <w:bookmarkEnd w:id="33"/>
      <w:bookmarkEnd w:id="34"/>
      <w:bookmarkEnd w:id="35"/>
      <w:bookmarkEnd w:id="36"/>
      <w:bookmarkEnd w:id="37"/>
      <w:bookmarkEnd w:id="38"/>
      <w:bookmarkEnd w:id="39"/>
      <w:bookmarkEnd w:id="40"/>
      <w:bookmarkEnd w:id="41"/>
    </w:p>
    <w:p>
      <w:pPr>
        <w:pStyle w:val="ListParagraph"/>
        <w:spacing w:lineRule="auto" w:line="259"/>
        <w:ind w:start="0"/>
        <w:jc w:val="both"/>
        <w:rPr/>
      </w:pPr>
      <w:r>
        <w:rPr/>
      </w:r>
    </w:p>
    <w:p>
      <w:pPr>
        <w:pStyle w:val="Normal"/>
        <w:numPr>
          <w:ilvl w:val="0"/>
          <w:numId w:val="4"/>
        </w:numPr>
        <w:spacing w:lineRule="auto" w:line="240" w:before="0" w:after="0"/>
        <w:jc w:val="center"/>
        <w:rPr>
          <w:rFonts w:ascii="Times New Roman" w:hAnsi="Times New Roman" w:eastAsia="Calibri" w:cs="Times New Roman"/>
          <w:b/>
          <w:bCs/>
          <w:kern w:val="2"/>
          <w:sz w:val="24"/>
          <w:szCs w:val="24"/>
          <w:lang w:eastAsia="en-US"/>
        </w:rPr>
      </w:pPr>
      <w:r>
        <w:rPr>
          <w:rFonts w:eastAsia="Calibri" w:cs="Times New Roman" w:ascii="Times New Roman" w:hAnsi="Times New Roman"/>
          <w:b/>
          <w:bCs/>
          <w:kern w:val="2"/>
          <w:sz w:val="24"/>
          <w:szCs w:val="24"/>
          <w:lang w:eastAsia="en-US"/>
        </w:rPr>
        <w:t xml:space="preserve">PIEDĀVĀJUMU </w:t>
      </w:r>
      <w:bookmarkStart w:id="42" w:name="_Toc64201623_Copy_1"/>
      <w:bookmarkStart w:id="43" w:name="_Toc64264072_Copy_1"/>
      <w:bookmarkStart w:id="44" w:name="_Toc65454241_Copy_1"/>
      <w:bookmarkStart w:id="45" w:name="_Toc65862771_Copy_1"/>
      <w:bookmarkStart w:id="46" w:name="_Toc65956610_Copy_1"/>
      <w:bookmarkStart w:id="47" w:name="_Toc65967969_Copy_1"/>
      <w:bookmarkStart w:id="48" w:name="_Toc72766066_Copy_1"/>
      <w:bookmarkStart w:id="49" w:name="_Toc73116766_Copy_1"/>
      <w:bookmarkStart w:id="50" w:name="_Toc79552066_Copy_1"/>
      <w:bookmarkStart w:id="51" w:name="_Toc141341762_Copy_1"/>
      <w:bookmarkStart w:id="52" w:name="_Toc141785293_Copy_1"/>
      <w:bookmarkStart w:id="53" w:name="_Toc45663519_Copy_1"/>
      <w:r>
        <w:rPr>
          <w:rFonts w:eastAsia="Calibri" w:cs="Times New Roman" w:ascii="Times New Roman" w:hAnsi="Times New Roman"/>
          <w:b/>
          <w:bCs/>
          <w:kern w:val="2"/>
          <w:sz w:val="24"/>
          <w:szCs w:val="24"/>
          <w:lang w:eastAsia="en-US"/>
        </w:rPr>
        <w:t>VĒRTĒŠANA</w:t>
      </w:r>
      <w:bookmarkEnd w:id="42"/>
      <w:bookmarkEnd w:id="43"/>
      <w:bookmarkEnd w:id="44"/>
      <w:bookmarkEnd w:id="45"/>
      <w:bookmarkEnd w:id="46"/>
      <w:bookmarkEnd w:id="47"/>
      <w:bookmarkEnd w:id="48"/>
      <w:bookmarkEnd w:id="49"/>
      <w:bookmarkEnd w:id="50"/>
      <w:bookmarkEnd w:id="51"/>
      <w:bookmarkEnd w:id="52"/>
      <w:bookmarkEnd w:id="53"/>
    </w:p>
    <w:p>
      <w:pPr>
        <w:pStyle w:val="ListParagraph"/>
        <w:widowControl/>
        <w:numPr>
          <w:ilvl w:val="1"/>
          <w:numId w:val="4"/>
        </w:numPr>
        <w:suppressAutoHyphens w:val="true"/>
        <w:bidi w:val="0"/>
        <w:spacing w:lineRule="auto" w:line="259"/>
        <w:ind w:hanging="432" w:start="0"/>
        <w:jc w:val="both"/>
        <w:rPr>
          <w:rFonts w:ascii="Times New Roman" w:hAnsi="Times New Roman" w:eastAsia="Calibri" w:cs="Tahoma"/>
          <w:color w:val="auto"/>
          <w:kern w:val="0"/>
          <w:sz w:val="22"/>
          <w:szCs w:val="22"/>
          <w:lang w:val="lv-LV" w:eastAsia="lv-LV" w:bidi="ar-SA"/>
        </w:rPr>
      </w:pPr>
      <w:r>
        <w:rPr>
          <w:rFonts w:eastAsia="Calibri" w:cs="Tahoma" w:ascii="Times New Roman" w:hAnsi="Times New Roman"/>
          <w:color w:val="auto"/>
          <w:kern w:val="0"/>
          <w:sz w:val="22"/>
          <w:szCs w:val="22"/>
          <w:lang w:val="lv-LV" w:eastAsia="lv-LV" w:bidi="ar-SA"/>
        </w:rPr>
        <w:t xml:space="preserve">Pretendentu atlasi, piedāvājumu atbilstības pārbaudi un piedāvājumu vērtēšanu Iepirkumu komisija veic slēgtā sēdē. </w:t>
      </w:r>
    </w:p>
    <w:p>
      <w:pPr>
        <w:pStyle w:val="ListParagraph"/>
        <w:numPr>
          <w:ilvl w:val="1"/>
          <w:numId w:val="4"/>
        </w:numPr>
        <w:tabs>
          <w:tab w:val="clear" w:pos="720"/>
          <w:tab w:val="left" w:pos="180" w:leader="none"/>
        </w:tabs>
        <w:spacing w:before="0" w:after="29"/>
        <w:ind w:hanging="432" w:start="0"/>
        <w:contextualSpacing/>
        <w:jc w:val="both"/>
        <w:rPr>
          <w:rFonts w:ascii="Times New Roman" w:hAnsi="Times New Roman" w:eastAsia="Times New Roman" w:cs="Times New Roman"/>
          <w:color w:val="000000"/>
          <w:u w:val="none"/>
        </w:rPr>
      </w:pPr>
      <w:r>
        <w:rPr>
          <w:rFonts w:eastAsia="Times New Roman" w:cs="Times New Roman" w:ascii="Times New Roman" w:hAnsi="Times New Roman"/>
          <w:color w:val="000000"/>
          <w:u w:val="none"/>
        </w:rPr>
        <w:t>Piedāvājumu vērtēšanu Komisija veic šādos posmos:</w:t>
      </w:r>
    </w:p>
    <w:p>
      <w:pPr>
        <w:pStyle w:val="ListParagraph"/>
        <w:numPr>
          <w:ilvl w:val="2"/>
          <w:numId w:val="4"/>
        </w:numPr>
        <w:tabs>
          <w:tab w:val="clear" w:pos="720"/>
          <w:tab w:val="left" w:pos="180" w:leader="none"/>
        </w:tabs>
        <w:spacing w:before="0" w:after="29"/>
        <w:ind w:hanging="504" w:start="567"/>
        <w:contextualSpacing/>
        <w:jc w:val="both"/>
        <w:rPr>
          <w:rFonts w:ascii="Times New Roman" w:hAnsi="Times New Roman" w:eastAsia="Times New Roman" w:cs="Times New Roman"/>
          <w:color w:val="000000"/>
          <w:u w:val="single" w:color="000000"/>
        </w:rPr>
      </w:pPr>
      <w:r>
        <w:rPr>
          <w:rFonts w:cs="Times New Roman" w:ascii="Times New Roman" w:hAnsi="Times New Roman"/>
          <w:b/>
          <w:bCs/>
        </w:rPr>
        <w:t xml:space="preserve"> </w:t>
      </w:r>
      <w:r>
        <w:rPr>
          <w:rFonts w:cs="Times New Roman" w:ascii="Times New Roman" w:hAnsi="Times New Roman"/>
          <w:b/>
          <w:bCs/>
          <w:u w:val="single"/>
        </w:rPr>
        <w:t>1. posms – Piedāvājumu noformējuma pārbaude</w:t>
      </w:r>
    </w:p>
    <w:p>
      <w:pPr>
        <w:pStyle w:val="BodyText"/>
        <w:spacing w:before="0" w:after="0"/>
        <w:jc w:val="both"/>
        <w:rPr>
          <w:sz w:val="22"/>
          <w:szCs w:val="22"/>
        </w:rPr>
      </w:pPr>
      <w:r>
        <w:rPr>
          <w:sz w:val="22"/>
          <w:szCs w:val="22"/>
        </w:rPr>
        <w:t xml:space="preserve">Komisija pārbauda, vai piedāvājums sagatavots un noformēts atbilstoši Nolikumā norādītajām noformēšanas prasībām.  </w:t>
      </w:r>
    </w:p>
    <w:p>
      <w:pPr>
        <w:pStyle w:val="BodyText"/>
        <w:numPr>
          <w:ilvl w:val="2"/>
          <w:numId w:val="4"/>
        </w:numPr>
        <w:spacing w:before="0" w:after="0"/>
        <w:ind w:hanging="504" w:start="567"/>
        <w:jc w:val="both"/>
        <w:rPr>
          <w:sz w:val="22"/>
          <w:szCs w:val="22"/>
        </w:rPr>
      </w:pPr>
      <w:r>
        <w:rPr>
          <w:b/>
          <w:bCs/>
          <w:sz w:val="22"/>
          <w:szCs w:val="22"/>
        </w:rPr>
        <w:t xml:space="preserve"> </w:t>
      </w:r>
      <w:r>
        <w:rPr>
          <w:b/>
          <w:bCs/>
          <w:sz w:val="22"/>
          <w:szCs w:val="22"/>
          <w:u w:val="single"/>
        </w:rPr>
        <w:t>2. posms – Pretendentu atlase</w:t>
      </w:r>
      <w:r>
        <w:rPr>
          <w:sz w:val="22"/>
          <w:szCs w:val="22"/>
        </w:rPr>
        <w:t xml:space="preserve"> </w:t>
      </w:r>
    </w:p>
    <w:p>
      <w:pPr>
        <w:pStyle w:val="BodyText"/>
        <w:spacing w:before="0" w:after="0"/>
        <w:jc w:val="both"/>
        <w:rPr>
          <w:sz w:val="22"/>
          <w:szCs w:val="22"/>
        </w:rPr>
      </w:pPr>
      <w:r>
        <w:rPr>
          <w:sz w:val="22"/>
          <w:szCs w:val="22"/>
        </w:rPr>
        <w:t xml:space="preserve">Komisija pārbauda, vai </w:t>
      </w:r>
      <w:r>
        <w:rPr>
          <w:lang w:eastAsia="en-US"/>
        </w:rPr>
        <w:t>P</w:t>
      </w:r>
      <w:r>
        <w:rPr>
          <w:sz w:val="22"/>
          <w:szCs w:val="22"/>
        </w:rPr>
        <w:t xml:space="preserve">retendenta iesniegtie atlases dokumenti un publiski pieejamās datu bāzēs iegūtā informācija apliecina Pretendenta atbilstību Nolikumā norādītajām prasībām.  </w:t>
      </w:r>
    </w:p>
    <w:p>
      <w:pPr>
        <w:pStyle w:val="BodyText"/>
        <w:numPr>
          <w:ilvl w:val="2"/>
          <w:numId w:val="4"/>
        </w:numPr>
        <w:suppressAutoHyphens w:val="false"/>
        <w:overflowPunct w:val="false"/>
        <w:spacing w:before="0" w:after="0"/>
        <w:ind w:hanging="504" w:start="567"/>
        <w:jc w:val="both"/>
        <w:textAlignment w:val="auto"/>
        <w:rPr>
          <w:sz w:val="22"/>
          <w:szCs w:val="22"/>
          <w:u w:val="single"/>
        </w:rPr>
      </w:pPr>
      <w:r>
        <w:rPr>
          <w:b/>
          <w:bCs/>
          <w:sz w:val="22"/>
          <w:szCs w:val="22"/>
        </w:rPr>
        <w:t xml:space="preserve"> </w:t>
      </w:r>
      <w:r>
        <w:rPr>
          <w:b/>
          <w:bCs/>
          <w:sz w:val="22"/>
          <w:szCs w:val="22"/>
          <w:u w:val="single"/>
        </w:rPr>
        <w:t>3. posms – Tehniskā piedāvājuma un Finanšu piedāvājumu pārbaude:</w:t>
      </w:r>
    </w:p>
    <w:p>
      <w:pPr>
        <w:pStyle w:val="Normal"/>
        <w:tabs>
          <w:tab w:val="clear" w:pos="720"/>
          <w:tab w:val="left" w:pos="426" w:leader="none"/>
        </w:tabs>
        <w:spacing w:lineRule="auto" w:line="240" w:before="0" w:after="0"/>
        <w:jc w:val="both"/>
        <w:rPr>
          <w:rFonts w:ascii="Times New Roman" w:hAnsi="Times New Roman"/>
        </w:rPr>
      </w:pPr>
      <w:r>
        <w:rPr>
          <w:rFonts w:ascii="Times New Roman" w:hAnsi="Times New Roman"/>
        </w:rPr>
        <w:t xml:space="preserve">Komisija izvērtē atbilstību </w:t>
      </w:r>
      <w:r>
        <w:rPr>
          <w:rFonts w:cs="Times New Roman" w:ascii="Times New Roman" w:hAnsi="Times New Roman"/>
        </w:rPr>
        <w:t>N</w:t>
      </w:r>
      <w:r>
        <w:rPr>
          <w:rFonts w:ascii="Times New Roman" w:hAnsi="Times New Roman"/>
        </w:rPr>
        <w:t xml:space="preserve">olikumā noteiktajām prasībām </w:t>
      </w:r>
      <w:r>
        <w:rPr>
          <w:rFonts w:cs="Times New Roman" w:ascii="Times New Roman" w:hAnsi="Times New Roman"/>
        </w:rPr>
        <w:t xml:space="preserve">un pārbauda, vai iesniegtajā tāmē un finanšu piedāvājumā nav aritmētisko kļūdu. </w:t>
      </w:r>
      <w:r>
        <w:rPr>
          <w:rFonts w:ascii="Times New Roman" w:hAnsi="Times New Roman"/>
        </w:rPr>
        <w:t>Ja tādas tiek konstatētas, tad Komisija šīs kļūdas labo un par konstatētajām kļūdām un labojumiem informē Pretendentu, kura piedāvājumā kļūdas tika konstatētas un labotas. Vērtējot piedāvājumu, Komisija ņem vērā veiktos labojumus.</w:t>
      </w:r>
      <w:r>
        <w:rPr>
          <w:rFonts w:ascii="Times New Roman" w:hAnsi="Times New Roman"/>
          <w:color w:val="000000"/>
        </w:rPr>
        <w:t xml:space="preserve"> </w:t>
      </w:r>
    </w:p>
    <w:p>
      <w:pPr>
        <w:pStyle w:val="ListParagraph"/>
        <w:numPr>
          <w:ilvl w:val="1"/>
          <w:numId w:val="4"/>
        </w:numPr>
        <w:tabs>
          <w:tab w:val="clear" w:pos="720"/>
          <w:tab w:val="left" w:pos="180" w:leader="none"/>
        </w:tabs>
        <w:spacing w:before="0" w:after="29"/>
        <w:ind w:hanging="432" w:start="0"/>
        <w:contextualSpacing/>
        <w:jc w:val="both"/>
        <w:rPr>
          <w:rFonts w:ascii="Times New Roman" w:hAnsi="Times New Roman" w:eastAsia="Times New Roman" w:cs="Times New Roman"/>
          <w:color w:val="000000"/>
          <w:u w:val="none"/>
        </w:rPr>
      </w:pPr>
      <w:r>
        <w:rPr>
          <w:rFonts w:eastAsia="Times New Roman" w:cs="Times New Roman" w:ascii="Times New Roman" w:hAnsi="Times New Roman"/>
          <w:color w:val="000000"/>
          <w:u w:val="none"/>
        </w:rPr>
        <w:t xml:space="preserve">Ja iesniegtajos dokumentos ietvertā informācija par Pretendenta kvalifikāciju ir neskaidra vai nepilnīga, Komisija prasa, lai Pretendents vai kompetenta institūcija izskaidro, papildina un/vai precizē piedāvājuma dokumentos ietverto informāciju. </w:t>
      </w:r>
    </w:p>
    <w:p>
      <w:pPr>
        <w:pStyle w:val="ListParagraph"/>
        <w:numPr>
          <w:ilvl w:val="1"/>
          <w:numId w:val="4"/>
        </w:numPr>
        <w:tabs>
          <w:tab w:val="clear" w:pos="720"/>
          <w:tab w:val="left" w:pos="180" w:leader="none"/>
        </w:tabs>
        <w:spacing w:before="0" w:after="29"/>
        <w:ind w:hanging="432" w:start="0"/>
        <w:contextualSpacing/>
        <w:jc w:val="both"/>
        <w:rPr>
          <w:rFonts w:ascii="Times New Roman" w:hAnsi="Times New Roman" w:eastAsia="Times New Roman" w:cs="Times New Roman"/>
          <w:color w:val="000000"/>
          <w:u w:val="none"/>
        </w:rPr>
      </w:pPr>
      <w:r>
        <w:rPr>
          <w:rFonts w:eastAsia="Times New Roman" w:cs="Times New Roman" w:ascii="Times New Roman" w:hAnsi="Times New Roman"/>
          <w:color w:val="000000"/>
          <w:u w:val="none"/>
        </w:rPr>
        <w:t xml:space="preserve">Ja piedāvājumu vērtēšanas laikā Komisija konstatē, ka kāds no Pretendentiem iesniedzis nepamatoti lētu piedāvājumu, Komisija var pieprasīt Pretendentam detalizētu skaidrojumu par šo piedāvājumu, tajā skaitā par īpašiem nosacījumiem, tehnoloģijām vai cita veida nosacījumiem, kas ļauj piedāvāt šādu cenu. Ja Komisija konstatē, ka Pretendents iesniedzis nepamatoti lētu piedāvājumu, to izslēdz no turpmākas dalības iepirkumā PIL 53.panta noteiktajā kārtībā. </w:t>
      </w:r>
    </w:p>
    <w:p>
      <w:pPr>
        <w:pStyle w:val="ListParagraph"/>
        <w:numPr>
          <w:ilvl w:val="1"/>
          <w:numId w:val="4"/>
        </w:numPr>
        <w:tabs>
          <w:tab w:val="clear" w:pos="720"/>
          <w:tab w:val="left" w:pos="180" w:leader="none"/>
        </w:tabs>
        <w:spacing w:before="0" w:after="29"/>
        <w:ind w:hanging="432" w:start="0"/>
        <w:contextualSpacing/>
        <w:jc w:val="both"/>
        <w:rPr>
          <w:rFonts w:ascii="Times New Roman" w:hAnsi="Times New Roman" w:eastAsia="Times New Roman" w:cs="Times New Roman"/>
          <w:color w:val="000000"/>
          <w:u w:val="none"/>
        </w:rPr>
      </w:pPr>
      <w:r>
        <w:rPr>
          <w:rFonts w:eastAsia="Times New Roman" w:cs="Times New Roman" w:ascii="Times New Roman" w:hAnsi="Times New Roman"/>
          <w:color w:val="000000"/>
          <w:sz w:val="23"/>
          <w:u w:val="none"/>
        </w:rPr>
        <w:t xml:space="preserve">Iepirkuma komisija starp Nolikuma prasībām atbilstošajiem piedāvājumiem izvēlas piedāvājumu ar viszemāko cenu. </w:t>
      </w:r>
    </w:p>
    <w:p>
      <w:pPr>
        <w:pStyle w:val="ListParagraph"/>
        <w:numPr>
          <w:ilvl w:val="1"/>
          <w:numId w:val="4"/>
        </w:numPr>
        <w:tabs>
          <w:tab w:val="clear" w:pos="720"/>
          <w:tab w:val="left" w:pos="180" w:leader="none"/>
        </w:tabs>
        <w:spacing w:before="0" w:after="29"/>
        <w:ind w:hanging="432" w:start="0"/>
        <w:contextualSpacing/>
        <w:jc w:val="both"/>
        <w:rPr>
          <w:rFonts w:ascii="Times New Roman" w:hAnsi="Times New Roman" w:eastAsia="Times New Roman" w:cs="Times New Roman"/>
          <w:color w:val="000000"/>
          <w:u w:val="none"/>
        </w:rPr>
      </w:pPr>
      <w:r>
        <w:rPr>
          <w:rFonts w:eastAsia="Times New Roman" w:cs="Times New Roman" w:ascii="Times New Roman" w:hAnsi="Times New Roman"/>
          <w:color w:val="000000"/>
          <w:u w:val="none"/>
        </w:rPr>
        <w:t xml:space="preserve">Ja pirms lēmuma par iepirkuma līguma slēgšanas tiesību piešķiršanu, tiks konstatēts, ka vairāku Pretendentu piedāvājumu līgumcena ir vienāda, tad </w:t>
      </w:r>
      <w:bookmarkStart w:id="54" w:name="_Hlk128736641"/>
      <w:r>
        <w:rPr>
          <w:rFonts w:eastAsia="Times New Roman" w:cs="Times New Roman" w:ascii="Times New Roman" w:hAnsi="Times New Roman"/>
          <w:color w:val="000000"/>
          <w:u w:val="none"/>
        </w:rPr>
        <w:t>Pasūtītājs dos priekšroku tam Pretendentam, kurš norādīji</w:t>
      </w:r>
      <w:bookmarkEnd w:id="54"/>
      <w:r>
        <w:rPr>
          <w:rFonts w:eastAsia="Times New Roman" w:cs="Times New Roman" w:ascii="Times New Roman" w:hAnsi="Times New Roman"/>
          <w:color w:val="000000"/>
          <w:u w:val="none"/>
        </w:rPr>
        <w:t>s zemāku līgumcenu. Ja Pretendentu līgumcena būs vienāda, tad Pasūtītājs dos priekšroku tam Pretendentam, kurš norādījis ātrāku reaģēšanas laiku defektu un bojājumu novēršanai. Savukārt, ja arī šis kritērijs būs vienāds, tad uzvarētājs tiks noteikts veicot izlozi. Par izlozes norisi (datumu un laiku) katrs izlozes dalībnieks tiks informēts 3 (trīs) darba dienas iepriekš, nosūtot tam elektroniski vēstuli uz norādīto e-pasta adresi. Izlozes laiks un datums pēc Pretendenta lūguma netiek mainīts. Pretendentam ir tiesības, bet ne pienākums piedalīties izlozē. Izlozes process tiek dokumentēts.</w:t>
      </w:r>
    </w:p>
    <w:p>
      <w:pPr>
        <w:pStyle w:val="Normal"/>
        <w:spacing w:lineRule="auto" w:line="240" w:before="0" w:after="0"/>
        <w:jc w:val="both"/>
        <w:rPr>
          <w:rFonts w:ascii="Times New Roman" w:hAnsi="Times New Roman" w:cs="Times New Roman"/>
          <w:sz w:val="24"/>
          <w:szCs w:val="24"/>
          <w:lang w:eastAsia="en-US"/>
        </w:rPr>
      </w:pPr>
      <w:r>
        <w:rPr>
          <w:rFonts w:cs="Times New Roman" w:ascii="Times New Roman" w:hAnsi="Times New Roman"/>
          <w:sz w:val="24"/>
          <w:szCs w:val="24"/>
          <w:lang w:eastAsia="en-US"/>
        </w:rPr>
      </w:r>
    </w:p>
    <w:p>
      <w:pPr>
        <w:pStyle w:val="Normal"/>
        <w:numPr>
          <w:ilvl w:val="0"/>
          <w:numId w:val="4"/>
        </w:numPr>
        <w:spacing w:lineRule="auto" w:line="240" w:before="0" w:after="0"/>
        <w:jc w:val="center"/>
        <w:rPr>
          <w:rFonts w:ascii="Times New Roman" w:hAnsi="Times New Roman" w:eastAsia="Calibri" w:cs="Times New Roman"/>
          <w:b/>
          <w:bCs/>
          <w:kern w:val="2"/>
          <w:sz w:val="24"/>
          <w:szCs w:val="24"/>
          <w:lang w:eastAsia="en-US"/>
        </w:rPr>
      </w:pPr>
      <w:r>
        <w:rPr>
          <w:rFonts w:eastAsia="Calibri" w:cs="Times New Roman" w:ascii="Times New Roman" w:hAnsi="Times New Roman"/>
          <w:b/>
          <w:bCs/>
          <w:kern w:val="2"/>
          <w:sz w:val="24"/>
          <w:szCs w:val="24"/>
          <w:lang w:eastAsia="en-US"/>
        </w:rPr>
        <w:t xml:space="preserve">LĒMUMA PIEŅEMŠANA UN PAZIŅOŠANA </w:t>
      </w:r>
    </w:p>
    <w:p>
      <w:pPr>
        <w:pStyle w:val="ListParagraph"/>
        <w:numPr>
          <w:ilvl w:val="1"/>
          <w:numId w:val="4"/>
        </w:numPr>
        <w:spacing w:lineRule="auto" w:line="259"/>
        <w:ind w:hanging="432" w:start="0"/>
        <w:jc w:val="both"/>
        <w:rPr>
          <w:rFonts w:ascii="Times New Roman" w:hAnsi="Times New Roman" w:eastAsia="Calibri" w:cs="Times New Roman"/>
          <w:bCs/>
          <w:kern w:val="2"/>
          <w:lang w:eastAsia="en-US"/>
        </w:rPr>
      </w:pPr>
      <w:r>
        <w:rPr>
          <w:rFonts w:eastAsia="Calibri" w:cs="Times New Roman" w:ascii="Times New Roman" w:hAnsi="Times New Roman"/>
          <w:bCs/>
          <w:kern w:val="2"/>
          <w:lang w:eastAsia="en-US"/>
        </w:rPr>
        <w:t xml:space="preserve">Komisija par uzvarētāju iepirkumā atzīst Pretendentu, kurš izraudzīts atbilstoši iepirkuma Nolikumā noteiktajām prasībām un kritērijiem un nav izslēdzams no dalības iepirkumā saskaņā ar PIL 9.panta astoto daļu. </w:t>
      </w:r>
    </w:p>
    <w:p>
      <w:pPr>
        <w:pStyle w:val="ListParagraph"/>
        <w:numPr>
          <w:ilvl w:val="1"/>
          <w:numId w:val="4"/>
        </w:numPr>
        <w:spacing w:lineRule="auto" w:line="259"/>
        <w:ind w:hanging="432" w:start="0"/>
        <w:jc w:val="both"/>
        <w:rPr>
          <w:rFonts w:ascii="Times New Roman" w:hAnsi="Times New Roman" w:eastAsia="Calibri" w:cs="Times New Roman"/>
          <w:bCs/>
          <w:kern w:val="2"/>
          <w:lang w:eastAsia="en-US"/>
        </w:rPr>
      </w:pPr>
      <w:r>
        <w:rPr>
          <w:rFonts w:eastAsia="Calibri" w:cs="Times New Roman" w:ascii="Times New Roman" w:hAnsi="Times New Roman"/>
          <w:bCs/>
          <w:kern w:val="2"/>
          <w:lang w:eastAsia="en-US"/>
        </w:rPr>
        <w:t xml:space="preserve">Komisija triju darbdienu laikā pēc lēmuma pieņemšanas vienlaikus informē visus Pretendentus par pieņemto lēmumu attiecībā uz iepirkuma līguma slēgšanu. </w:t>
      </w:r>
    </w:p>
    <w:p>
      <w:pPr>
        <w:pStyle w:val="ListParagraph"/>
        <w:numPr>
          <w:ilvl w:val="1"/>
          <w:numId w:val="4"/>
        </w:numPr>
        <w:spacing w:lineRule="auto" w:line="259"/>
        <w:ind w:hanging="432" w:start="0"/>
        <w:jc w:val="both"/>
        <w:rPr>
          <w:rFonts w:ascii="Times New Roman" w:hAnsi="Times New Roman" w:eastAsia="Calibri" w:cs="Times New Roman"/>
          <w:bCs/>
          <w:kern w:val="2"/>
          <w:lang w:eastAsia="en-US"/>
        </w:rPr>
      </w:pPr>
      <w:r>
        <w:rPr>
          <w:rFonts w:eastAsia="Calibri" w:cs="Times New Roman" w:ascii="Times New Roman" w:hAnsi="Times New Roman"/>
          <w:bCs/>
          <w:kern w:val="2"/>
          <w:lang w:eastAsia="en-US"/>
        </w:rPr>
        <w:t xml:space="preserve">Lēmumā, ar kuru tiek noteikts uzvarētājs, papildus norāda visus noraidītos Pretendentus un to noraidīšanas iemeslus, visu Pretendentu piedāvātās līgumcenas un par uzvarētāju noteiktā Pretendenta salīdzinošās priekšrocības, ņemot vērā PIL 14.panta otrās daļas noteikumus. </w:t>
      </w:r>
    </w:p>
    <w:p>
      <w:pPr>
        <w:pStyle w:val="ListParagraph"/>
        <w:numPr>
          <w:ilvl w:val="1"/>
          <w:numId w:val="4"/>
        </w:numPr>
        <w:spacing w:lineRule="auto" w:line="259"/>
        <w:ind w:hanging="432" w:start="0"/>
        <w:jc w:val="both"/>
        <w:rPr>
          <w:rFonts w:ascii="Times New Roman" w:hAnsi="Times New Roman" w:eastAsia="Calibri" w:cs="Times New Roman"/>
          <w:bCs/>
          <w:kern w:val="2"/>
          <w:lang w:eastAsia="en-US"/>
        </w:rPr>
      </w:pPr>
      <w:r>
        <w:rPr>
          <w:rFonts w:eastAsia="Calibri" w:cs="Times New Roman" w:ascii="Times New Roman" w:hAnsi="Times New Roman"/>
          <w:bCs/>
          <w:kern w:val="2"/>
          <w:lang w:eastAsia="en-US"/>
        </w:rPr>
        <w:t xml:space="preserve">Komisija nav tiesīga atklāt informāciju, kuru tam kā komercnoslēpumu vai konfidenciālu informāciju nodevuši Pretendenti. </w:t>
      </w:r>
    </w:p>
    <w:p>
      <w:pPr>
        <w:pStyle w:val="ListParagraph"/>
        <w:numPr>
          <w:ilvl w:val="1"/>
          <w:numId w:val="4"/>
        </w:numPr>
        <w:spacing w:lineRule="auto" w:line="259"/>
        <w:ind w:hanging="432" w:start="0"/>
        <w:jc w:val="both"/>
        <w:rPr>
          <w:rFonts w:ascii="Times New Roman" w:hAnsi="Times New Roman" w:eastAsia="Calibri" w:cs="Times New Roman"/>
          <w:bCs/>
          <w:kern w:val="2"/>
          <w:lang w:eastAsia="en-US"/>
        </w:rPr>
      </w:pPr>
      <w:r>
        <w:rPr>
          <w:rFonts w:eastAsia="Calibri" w:cs="Times New Roman" w:ascii="Times New Roman" w:hAnsi="Times New Roman"/>
          <w:bCs/>
          <w:kern w:val="2"/>
          <w:lang w:eastAsia="en-US"/>
        </w:rPr>
        <w:t>Ja iesniegti Nolikumā noteiktajām prasībām neatbilstoši piedāvājumi vai vispār nav iesniegti piedāvājumi, Komisija pieņem lēmumu izbeigt iepirkumu bez rezultāta.</w:t>
      </w:r>
    </w:p>
    <w:p>
      <w:pPr>
        <w:pStyle w:val="Normal"/>
        <w:spacing w:lineRule="auto" w:line="240" w:before="0" w:after="0"/>
        <w:jc w:val="both"/>
        <w:rPr>
          <w:rFonts w:ascii="Times New Roman" w:hAnsi="Times New Roman" w:eastAsia="Calibri" w:cs="Times New Roman"/>
          <w:bCs/>
          <w:sz w:val="24"/>
          <w:szCs w:val="24"/>
          <w:lang w:eastAsia="en-US"/>
        </w:rPr>
      </w:pPr>
      <w:r>
        <w:rPr>
          <w:rFonts w:eastAsia="Calibri" w:cs="Times New Roman" w:ascii="Times New Roman" w:hAnsi="Times New Roman"/>
          <w:bCs/>
          <w:sz w:val="24"/>
          <w:szCs w:val="24"/>
          <w:lang w:eastAsia="en-US"/>
        </w:rPr>
      </w:r>
    </w:p>
    <w:p>
      <w:pPr>
        <w:pStyle w:val="Normal"/>
        <w:spacing w:lineRule="auto" w:line="240" w:before="0" w:after="0"/>
        <w:jc w:val="both"/>
        <w:rPr>
          <w:rFonts w:ascii="Times New Roman" w:hAnsi="Times New Roman" w:eastAsia="Calibri" w:cs="Times New Roman"/>
          <w:bCs/>
          <w:sz w:val="24"/>
          <w:szCs w:val="24"/>
          <w:lang w:eastAsia="en-US"/>
        </w:rPr>
      </w:pPr>
      <w:r>
        <w:rPr>
          <w:rFonts w:eastAsia="Calibri" w:cs="Times New Roman" w:ascii="Times New Roman" w:hAnsi="Times New Roman"/>
          <w:bCs/>
          <w:sz w:val="24"/>
          <w:szCs w:val="24"/>
          <w:lang w:eastAsia="en-US"/>
        </w:rPr>
      </w:r>
    </w:p>
    <w:p>
      <w:pPr>
        <w:pStyle w:val="Normal"/>
        <w:numPr>
          <w:ilvl w:val="0"/>
          <w:numId w:val="4"/>
        </w:numPr>
        <w:spacing w:lineRule="auto" w:line="240" w:before="0" w:after="0"/>
        <w:jc w:val="center"/>
        <w:rPr>
          <w:rFonts w:ascii="Times New Roman" w:hAnsi="Times New Roman" w:eastAsia="Calibri" w:cs="Times New Roman"/>
          <w:b/>
          <w:bCs/>
          <w:kern w:val="2"/>
          <w:sz w:val="24"/>
          <w:szCs w:val="24"/>
          <w:lang w:eastAsia="en-US"/>
        </w:rPr>
      </w:pPr>
      <w:r>
        <w:rPr>
          <w:rFonts w:eastAsia="Calibri" w:cs="Times New Roman" w:ascii="Times New Roman" w:hAnsi="Times New Roman"/>
          <w:b/>
          <w:bCs/>
          <w:kern w:val="2"/>
          <w:sz w:val="24"/>
          <w:szCs w:val="24"/>
          <w:lang w:eastAsia="en-US"/>
        </w:rPr>
        <w:t>LĪGUMA SLĒGŠANA</w:t>
      </w:r>
    </w:p>
    <w:p>
      <w:pPr>
        <w:pStyle w:val="ListParagraph"/>
        <w:numPr>
          <w:ilvl w:val="1"/>
          <w:numId w:val="4"/>
        </w:numPr>
        <w:spacing w:lineRule="auto" w:line="259"/>
        <w:ind w:hanging="432" w:start="0"/>
        <w:jc w:val="both"/>
        <w:rPr>
          <w:rFonts w:ascii="Times New Roman" w:hAnsi="Times New Roman" w:eastAsia="Calibri" w:cs="Times New Roman"/>
          <w:bCs/>
          <w:kern w:val="2"/>
          <w:lang w:eastAsia="en-US"/>
        </w:rPr>
      </w:pPr>
      <w:r>
        <w:rPr>
          <w:rFonts w:eastAsia="Calibri" w:cs="Times New Roman" w:ascii="Times New Roman" w:hAnsi="Times New Roman"/>
          <w:bCs/>
          <w:kern w:val="2"/>
          <w:lang w:eastAsia="en-US"/>
        </w:rPr>
        <w:t xml:space="preserve">Pasūtītājs slēdz iepirkuma līgumu saskaņā ar PIL 60.panta pirmās, otrās, trešās, ceturtās un piektās daļas prasībām ar Komisijas izraudzīto </w:t>
      </w:r>
      <w:r>
        <w:rPr>
          <w:rFonts w:eastAsia="Times New Roman" w:cs="Times New Roman" w:ascii="Times New Roman" w:hAnsi="Times New Roman"/>
          <w:lang w:eastAsia="en-US"/>
        </w:rPr>
        <w:t>P</w:t>
      </w:r>
      <w:r>
        <w:rPr>
          <w:rFonts w:eastAsia="Calibri" w:cs="Times New Roman" w:ascii="Times New Roman" w:hAnsi="Times New Roman"/>
          <w:bCs/>
          <w:kern w:val="2"/>
          <w:lang w:eastAsia="en-US"/>
        </w:rPr>
        <w:t xml:space="preserve">retendentu. </w:t>
      </w:r>
    </w:p>
    <w:p>
      <w:pPr>
        <w:pStyle w:val="ListParagraph"/>
        <w:numPr>
          <w:ilvl w:val="1"/>
          <w:numId w:val="4"/>
        </w:numPr>
        <w:spacing w:lineRule="auto" w:line="259"/>
        <w:ind w:hanging="432" w:start="0"/>
        <w:jc w:val="both"/>
        <w:rPr>
          <w:rFonts w:ascii="Times New Roman" w:hAnsi="Times New Roman" w:eastAsia="Calibri" w:cs="Times New Roman"/>
          <w:bCs/>
          <w:kern w:val="2"/>
          <w:lang w:eastAsia="en-US"/>
        </w:rPr>
      </w:pPr>
      <w:r>
        <w:rPr>
          <w:rFonts w:eastAsia="Calibri" w:cs="Times New Roman" w:ascii="Times New Roman" w:hAnsi="Times New Roman"/>
          <w:bCs/>
          <w:kern w:val="2"/>
          <w:lang w:eastAsia="en-US"/>
        </w:rPr>
        <w:t xml:space="preserve">Pasūtītājs ir tiesīgs pārtraukt iepirkumu un neslēgt iepirkuma līgumu, ja tam ir objektīvs pamatojums. </w:t>
      </w:r>
    </w:p>
    <w:p>
      <w:pPr>
        <w:pStyle w:val="ListParagraph"/>
        <w:numPr>
          <w:ilvl w:val="1"/>
          <w:numId w:val="4"/>
        </w:numPr>
        <w:spacing w:lineRule="auto" w:line="259"/>
        <w:ind w:hanging="432" w:start="0"/>
        <w:jc w:val="both"/>
        <w:rPr>
          <w:rFonts w:ascii="Times New Roman" w:hAnsi="Times New Roman" w:eastAsia="Calibri" w:cs="Times New Roman"/>
          <w:bCs/>
          <w:kern w:val="2"/>
          <w:lang w:eastAsia="en-US"/>
        </w:rPr>
      </w:pPr>
      <w:bookmarkStart w:id="55" w:name="_Hlk103272783"/>
      <w:r>
        <w:rPr>
          <w:rFonts w:eastAsia="Calibri" w:cs="Times New Roman" w:ascii="Times New Roman" w:hAnsi="Times New Roman"/>
          <w:bCs/>
          <w:kern w:val="2"/>
          <w:lang w:eastAsia="en-US"/>
        </w:rPr>
        <w:t xml:space="preserve">Pretendentam, kuram piešķirtas līguma slēgšanas tiesības, uz norādīto e-pasta adresi Pasūtītājs nosūta līgumu saskaņošanai un abas puses vienojas par līguma parakstīšanu. Pretendentam līgums jāsaskaņo ne vēlāk kā 5 (piecu) darba dienu laikā no Pasūtītāja nosūtītā uzaicinājuma to saskaņot, vai jāvienojas par citu termiņu. </w:t>
      </w:r>
      <w:bookmarkEnd w:id="55"/>
    </w:p>
    <w:p>
      <w:pPr>
        <w:pStyle w:val="ListParagraph"/>
        <w:numPr>
          <w:ilvl w:val="1"/>
          <w:numId w:val="4"/>
        </w:numPr>
        <w:spacing w:lineRule="auto" w:line="259"/>
        <w:ind w:hanging="432" w:start="0"/>
        <w:jc w:val="both"/>
        <w:rPr>
          <w:rFonts w:ascii="Times New Roman" w:hAnsi="Times New Roman" w:eastAsia="Calibri" w:cs="Times New Roman"/>
          <w:bCs/>
          <w:kern w:val="2"/>
          <w:lang w:eastAsia="en-US"/>
        </w:rPr>
      </w:pPr>
      <w:r>
        <w:rPr>
          <w:rFonts w:eastAsia="Calibri" w:cs="Times New Roman" w:ascii="Times New Roman" w:hAnsi="Times New Roman"/>
          <w:bCs/>
          <w:kern w:val="2"/>
          <w:lang w:eastAsia="en-US"/>
        </w:rPr>
        <w:t xml:space="preserve">Ja Pretendents, kuram piešķirtas iepirkuma līguma slēgšanas tiesības, atsakās slēgt līgumu ar Pasūtītāju, Komisija ir tiesīga pieņemt lēmumu līguma slēgšanas tiesības piešķirt nākamajam Pretendentam, kurš iesniedzis prasībām atbilstošu piedāvājumu, vai pārtraukt iepirkumu, neizvēloties nevienu piedāvājumu. </w:t>
      </w:r>
      <w:bookmarkStart w:id="56" w:name="_Hlk43930609"/>
    </w:p>
    <w:p>
      <w:pPr>
        <w:pStyle w:val="ListParagraph"/>
        <w:numPr>
          <w:ilvl w:val="1"/>
          <w:numId w:val="4"/>
        </w:numPr>
        <w:spacing w:lineRule="auto" w:line="259"/>
        <w:ind w:hanging="432" w:start="0"/>
        <w:jc w:val="both"/>
        <w:rPr>
          <w:rFonts w:ascii="Times New Roman" w:hAnsi="Times New Roman" w:eastAsia="Calibri" w:cs="Times New Roman"/>
          <w:bCs/>
          <w:kern w:val="2"/>
          <w:lang w:eastAsia="en-US"/>
        </w:rPr>
      </w:pPr>
      <w:r>
        <w:rPr>
          <w:rFonts w:eastAsia="Calibri" w:cs="Times New Roman" w:ascii="Times New Roman" w:hAnsi="Times New Roman"/>
          <w:bCs/>
          <w:kern w:val="2"/>
          <w:lang w:eastAsia="en-US"/>
        </w:rPr>
        <w:t>Ja pieņemts lēmums līguma slēgšanas tiesības piešķirt nākamajam Pretendentam, kurš piedāvājis saimnieciski visizdevīgāko piedāvājumu, bet tas atsakās slēgt iepirkuma līgumu, Komisija pieņem lēmumu pārtraukt iepirkumu, neizvēloties nevienu piedāvājumu</w:t>
      </w:r>
      <w:bookmarkEnd w:id="56"/>
      <w:r>
        <w:rPr>
          <w:rFonts w:eastAsia="Calibri" w:cs="Times New Roman" w:ascii="Times New Roman" w:hAnsi="Times New Roman"/>
          <w:bCs/>
          <w:kern w:val="2"/>
          <w:lang w:eastAsia="en-US"/>
        </w:rPr>
        <w:t>.</w:t>
      </w:r>
    </w:p>
    <w:p>
      <w:pPr>
        <w:pStyle w:val="ListParagraph"/>
        <w:numPr>
          <w:ilvl w:val="1"/>
          <w:numId w:val="4"/>
        </w:numPr>
        <w:spacing w:lineRule="auto" w:line="259"/>
        <w:ind w:hanging="432" w:start="0"/>
        <w:jc w:val="both"/>
        <w:rPr>
          <w:rFonts w:ascii="Times New Roman" w:hAnsi="Times New Roman" w:eastAsia="Calibri" w:cs="Times New Roman"/>
          <w:bCs/>
          <w:kern w:val="2"/>
          <w:lang w:eastAsia="en-US"/>
        </w:rPr>
      </w:pPr>
      <w:r>
        <w:rPr>
          <w:rFonts w:eastAsia="Calibri" w:cs="Times New Roman" w:ascii="Times New Roman" w:hAnsi="Times New Roman"/>
          <w:bCs/>
          <w:kern w:val="2"/>
          <w:lang w:eastAsia="en-US"/>
        </w:rPr>
        <w:t xml:space="preserve">Līgums tiks slēgts saskaņā ar pievienoto līgumprojektu (4.pielikums). Pretendents par līgumprojektu jautājumus uzdod pirms piedāvājuma iesniegšanas. Slēdzot līgumu ar jau uzvarējušo </w:t>
      </w:r>
      <w:r>
        <w:rPr>
          <w:rFonts w:eastAsia="Times New Roman" w:cs="Times New Roman" w:ascii="Times New Roman" w:hAnsi="Times New Roman"/>
          <w:lang w:eastAsia="en-US"/>
        </w:rPr>
        <w:t>P</w:t>
      </w:r>
      <w:r>
        <w:rPr>
          <w:rFonts w:eastAsia="Calibri" w:cs="Times New Roman" w:ascii="Times New Roman" w:hAnsi="Times New Roman"/>
          <w:bCs/>
          <w:kern w:val="2"/>
          <w:lang w:eastAsia="en-US"/>
        </w:rPr>
        <w:t xml:space="preserve">retendentu, iebildumi par līguma nosacījumiem netiks ņemti vērā.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numPr>
          <w:ilvl w:val="0"/>
          <w:numId w:val="4"/>
        </w:numPr>
        <w:spacing w:lineRule="auto" w:line="240" w:before="0" w:after="0"/>
        <w:jc w:val="center"/>
        <w:rPr>
          <w:rFonts w:ascii="Times New Roman" w:hAnsi="Times New Roman" w:eastAsia="Calibri" w:cs="Times New Roman"/>
          <w:b/>
          <w:bCs/>
          <w:kern w:val="2"/>
          <w:sz w:val="24"/>
          <w:szCs w:val="24"/>
          <w:lang w:eastAsia="en-US"/>
        </w:rPr>
      </w:pPr>
      <w:r>
        <w:rPr>
          <w:rFonts w:eastAsia="Calibri" w:cs="Times New Roman" w:ascii="Times New Roman" w:hAnsi="Times New Roman"/>
          <w:b/>
          <w:bCs/>
          <w:kern w:val="2"/>
          <w:sz w:val="24"/>
          <w:szCs w:val="24"/>
          <w:lang w:eastAsia="en-US"/>
        </w:rPr>
        <w:t>IEPIRKUMA KOMISIJAS TIESĪBAS UN PIENĀKUMI</w:t>
      </w:r>
    </w:p>
    <w:p>
      <w:pPr>
        <w:pStyle w:val="ListParagraph"/>
        <w:numPr>
          <w:ilvl w:val="1"/>
          <w:numId w:val="4"/>
        </w:numPr>
        <w:spacing w:lineRule="auto" w:line="259"/>
        <w:ind w:hanging="432" w:start="0"/>
        <w:jc w:val="both"/>
        <w:rPr>
          <w:rFonts w:ascii="Times New Roman" w:hAnsi="Times New Roman" w:eastAsia="Calibri" w:cs="Times New Roman"/>
          <w:bCs/>
          <w:kern w:val="2"/>
          <w:lang w:eastAsia="en-US"/>
        </w:rPr>
      </w:pPr>
      <w:r>
        <w:rPr>
          <w:rFonts w:eastAsia="Calibri" w:cs="Times New Roman" w:ascii="Times New Roman" w:hAnsi="Times New Roman"/>
          <w:bCs/>
          <w:kern w:val="2"/>
          <w:lang w:eastAsia="en-US"/>
        </w:rPr>
        <w:t>Komisijai ir pienākums pārbaudīt un vērtēt saņemtos piedāvājumus saskaņā ar PIL un Nolikuma prasībām.</w:t>
      </w:r>
    </w:p>
    <w:p>
      <w:pPr>
        <w:pStyle w:val="ListParagraph"/>
        <w:numPr>
          <w:ilvl w:val="1"/>
          <w:numId w:val="4"/>
        </w:numPr>
        <w:spacing w:lineRule="auto" w:line="259"/>
        <w:ind w:hanging="432" w:start="0"/>
        <w:jc w:val="both"/>
        <w:rPr>
          <w:rFonts w:ascii="Times New Roman" w:hAnsi="Times New Roman" w:eastAsia="Calibri" w:cs="Times New Roman"/>
          <w:bCs/>
          <w:kern w:val="2"/>
          <w:lang w:eastAsia="en-US"/>
        </w:rPr>
      </w:pPr>
      <w:r>
        <w:rPr>
          <w:rFonts w:eastAsia="Calibri" w:cs="Times New Roman" w:ascii="Times New Roman" w:hAnsi="Times New Roman"/>
          <w:bCs/>
          <w:kern w:val="2"/>
          <w:lang w:eastAsia="en-US"/>
        </w:rPr>
        <w:t xml:space="preserve">Komisijai ir pienākums sniegt </w:t>
      </w:r>
      <w:r>
        <w:rPr>
          <w:rFonts w:eastAsia="Times New Roman" w:cs="Times New Roman" w:ascii="Times New Roman" w:hAnsi="Times New Roman"/>
          <w:lang w:eastAsia="en-US"/>
        </w:rPr>
        <w:t>P</w:t>
      </w:r>
      <w:r>
        <w:rPr>
          <w:rFonts w:eastAsia="Calibri" w:cs="Times New Roman" w:ascii="Times New Roman" w:hAnsi="Times New Roman"/>
          <w:bCs/>
          <w:kern w:val="2"/>
          <w:lang w:eastAsia="en-US"/>
        </w:rPr>
        <w:t xml:space="preserve">retendentam papildus informāciju attiecīga pieprasījuma saņemšanas gadījumā, kā arī informēt visus interesentus par sniegto papildu informāciju (ievietojot to Pasūtītāja mājas lapā) un vienlaicīgi informēt visus </w:t>
      </w:r>
      <w:r>
        <w:rPr>
          <w:rFonts w:eastAsia="Times New Roman" w:cs="Times New Roman" w:ascii="Times New Roman" w:hAnsi="Times New Roman"/>
          <w:lang w:eastAsia="en-US"/>
        </w:rPr>
        <w:t>P</w:t>
      </w:r>
      <w:r>
        <w:rPr>
          <w:rFonts w:eastAsia="Calibri" w:cs="Times New Roman" w:ascii="Times New Roman" w:hAnsi="Times New Roman"/>
          <w:bCs/>
          <w:kern w:val="2"/>
          <w:lang w:eastAsia="en-US"/>
        </w:rPr>
        <w:t>retendentus par Konkursa rezultātiem pēc lēmuma pieņemšanas.</w:t>
      </w:r>
    </w:p>
    <w:p>
      <w:pPr>
        <w:pStyle w:val="ListParagraph"/>
        <w:numPr>
          <w:ilvl w:val="1"/>
          <w:numId w:val="4"/>
        </w:numPr>
        <w:spacing w:lineRule="auto" w:line="259"/>
        <w:ind w:hanging="432" w:start="0"/>
        <w:jc w:val="both"/>
        <w:rPr>
          <w:rFonts w:ascii="Times New Roman" w:hAnsi="Times New Roman" w:eastAsia="Calibri" w:cs="Times New Roman"/>
          <w:bCs/>
          <w:kern w:val="2"/>
          <w:lang w:eastAsia="en-US"/>
        </w:rPr>
      </w:pPr>
      <w:r>
        <w:rPr>
          <w:rFonts w:eastAsia="Calibri" w:cs="Times New Roman" w:ascii="Times New Roman" w:hAnsi="Times New Roman"/>
          <w:bCs/>
          <w:kern w:val="2"/>
          <w:lang w:eastAsia="en-US"/>
        </w:rPr>
        <w:t xml:space="preserve">Komisijai ir tiesības pārbaudīt pretendenta iesniegto informāciju publiski pieejamās datu bāzēs vai kompetentās institūcijās, kā arī pieprasīt </w:t>
      </w:r>
      <w:r>
        <w:rPr>
          <w:rFonts w:eastAsia="Times New Roman" w:cs="Times New Roman" w:ascii="Times New Roman" w:hAnsi="Times New Roman"/>
          <w:lang w:eastAsia="en-US"/>
        </w:rPr>
        <w:t>P</w:t>
      </w:r>
      <w:r>
        <w:rPr>
          <w:rFonts w:eastAsia="Calibri" w:cs="Times New Roman" w:ascii="Times New Roman" w:hAnsi="Times New Roman"/>
          <w:bCs/>
          <w:kern w:val="2"/>
          <w:lang w:eastAsia="en-US"/>
        </w:rPr>
        <w:t xml:space="preserve">retendentam precizēt iesniegto informāciju, ja tas nepieciešams </w:t>
      </w:r>
      <w:r>
        <w:rPr>
          <w:rFonts w:eastAsia="Times New Roman" w:cs="Times New Roman" w:ascii="Times New Roman" w:hAnsi="Times New Roman"/>
          <w:lang w:eastAsia="en-US"/>
        </w:rPr>
        <w:t>P</w:t>
      </w:r>
      <w:r>
        <w:rPr>
          <w:rFonts w:eastAsia="Calibri" w:cs="Times New Roman" w:ascii="Times New Roman" w:hAnsi="Times New Roman"/>
          <w:bCs/>
          <w:kern w:val="2"/>
          <w:lang w:eastAsia="en-US"/>
        </w:rPr>
        <w:t>retendentu atlases veikšanai vai piedāvājumu vērtēšanai.</w:t>
      </w:r>
    </w:p>
    <w:p>
      <w:pPr>
        <w:pStyle w:val="ListParagraph"/>
        <w:numPr>
          <w:ilvl w:val="1"/>
          <w:numId w:val="4"/>
        </w:numPr>
        <w:spacing w:lineRule="auto" w:line="259"/>
        <w:ind w:hanging="432" w:start="0"/>
        <w:jc w:val="both"/>
        <w:rPr>
          <w:rFonts w:ascii="Times New Roman" w:hAnsi="Times New Roman" w:eastAsia="Calibri" w:cs="Times New Roman"/>
          <w:bCs/>
          <w:kern w:val="2"/>
          <w:lang w:eastAsia="en-US"/>
        </w:rPr>
      </w:pPr>
      <w:r>
        <w:rPr>
          <w:rFonts w:eastAsia="Calibri" w:cs="Times New Roman" w:ascii="Times New Roman" w:hAnsi="Times New Roman"/>
          <w:bCs/>
          <w:kern w:val="2"/>
          <w:lang w:eastAsia="en-US"/>
        </w:rPr>
        <w:t xml:space="preserve">Komija piedāvājumu vērtēšanas laikā ir tiesīga pieprasīt, lai </w:t>
      </w:r>
      <w:r>
        <w:rPr>
          <w:rFonts w:eastAsia="Times New Roman" w:cs="Times New Roman" w:ascii="Times New Roman" w:hAnsi="Times New Roman"/>
          <w:lang w:eastAsia="en-US"/>
        </w:rPr>
        <w:t>P</w:t>
      </w:r>
      <w:r>
        <w:rPr>
          <w:rFonts w:eastAsia="Calibri" w:cs="Times New Roman" w:ascii="Times New Roman" w:hAnsi="Times New Roman"/>
          <w:bCs/>
          <w:kern w:val="2"/>
          <w:lang w:eastAsia="en-US"/>
        </w:rPr>
        <w:t>retendents uzrāda dokumenta oriģinālu vai iesniedz apliecinātu dokumenta kopiju, ja tai rodas šaubas par dokumenta autentiskumu.</w:t>
      </w:r>
    </w:p>
    <w:p>
      <w:pPr>
        <w:pStyle w:val="ListParagraph"/>
        <w:numPr>
          <w:ilvl w:val="1"/>
          <w:numId w:val="4"/>
        </w:numPr>
        <w:spacing w:lineRule="auto" w:line="259"/>
        <w:ind w:hanging="432" w:start="0"/>
        <w:jc w:val="both"/>
        <w:rPr>
          <w:rFonts w:ascii="Times New Roman" w:hAnsi="Times New Roman" w:eastAsia="Calibri" w:cs="Times New Roman"/>
          <w:bCs/>
          <w:kern w:val="2"/>
          <w:lang w:eastAsia="en-US"/>
        </w:rPr>
      </w:pPr>
      <w:r>
        <w:rPr>
          <w:rFonts w:eastAsia="Calibri" w:cs="Times New Roman" w:ascii="Times New Roman" w:hAnsi="Times New Roman"/>
          <w:bCs/>
          <w:kern w:val="2"/>
          <w:lang w:eastAsia="en-US"/>
        </w:rPr>
        <w:t xml:space="preserve">Komisija </w:t>
      </w:r>
      <w:r>
        <w:rPr>
          <w:rFonts w:eastAsia="Times New Roman" w:cs="Times New Roman" w:ascii="Times New Roman" w:hAnsi="Times New Roman"/>
          <w:lang w:eastAsia="en-US"/>
        </w:rPr>
        <w:t>P</w:t>
      </w:r>
      <w:r>
        <w:rPr>
          <w:rFonts w:eastAsia="Calibri" w:cs="Times New Roman" w:ascii="Times New Roman" w:hAnsi="Times New Roman"/>
          <w:bCs/>
          <w:kern w:val="2"/>
          <w:lang w:eastAsia="en-US"/>
        </w:rPr>
        <w:t>retendentu atlasē un piedāvājumu vērtēšanā ir tiesīga pieaicināt ekspertus.</w:t>
      </w:r>
    </w:p>
    <w:p>
      <w:pPr>
        <w:pStyle w:val="ListParagraph"/>
        <w:numPr>
          <w:ilvl w:val="1"/>
          <w:numId w:val="4"/>
        </w:numPr>
        <w:spacing w:lineRule="auto" w:line="259"/>
        <w:ind w:hanging="432" w:start="0"/>
        <w:jc w:val="both"/>
        <w:rPr>
          <w:rFonts w:ascii="Times New Roman" w:hAnsi="Times New Roman" w:eastAsia="Calibri" w:cs="Times New Roman"/>
          <w:bCs/>
          <w:kern w:val="2"/>
          <w:lang w:eastAsia="en-US"/>
        </w:rPr>
      </w:pPr>
      <w:r>
        <w:rPr>
          <w:rFonts w:eastAsia="Calibri" w:cs="Times New Roman" w:ascii="Times New Roman" w:hAnsi="Times New Roman"/>
          <w:bCs/>
          <w:kern w:val="2"/>
          <w:lang w:eastAsia="en-US"/>
        </w:rPr>
        <w:t>Komisijai ir tiesības izdarīt grozījumus Nolikumā, nosūtot par to paziņojumu Iepirkumu uzraudzības birojam, kas tiek publicēts PIL noteiktajā kārtībā.</w:t>
      </w:r>
    </w:p>
    <w:p>
      <w:pPr>
        <w:pStyle w:val="Normal"/>
        <w:numPr>
          <w:ilvl w:val="0"/>
          <w:numId w:val="4"/>
        </w:numPr>
        <w:spacing w:lineRule="auto" w:line="240" w:before="0" w:after="0"/>
        <w:jc w:val="center"/>
        <w:rPr>
          <w:rFonts w:ascii="Times New Roman" w:hAnsi="Times New Roman" w:eastAsia="Calibri" w:cs="Times New Roman"/>
          <w:b/>
          <w:bCs/>
          <w:kern w:val="2"/>
          <w:sz w:val="24"/>
          <w:szCs w:val="24"/>
          <w:lang w:eastAsia="en-US"/>
        </w:rPr>
      </w:pPr>
      <w:bookmarkStart w:id="57" w:name="_Toc64201433"/>
      <w:bookmarkStart w:id="58" w:name="_Toc64201628"/>
      <w:bookmarkStart w:id="59" w:name="_Toc64264077"/>
      <w:bookmarkStart w:id="60" w:name="_Toc65454246"/>
      <w:bookmarkStart w:id="61" w:name="_Toc65862776"/>
      <w:bookmarkStart w:id="62" w:name="_Toc65956615"/>
      <w:bookmarkStart w:id="63" w:name="_Toc65967974"/>
      <w:bookmarkStart w:id="64" w:name="_Toc72766071"/>
      <w:bookmarkStart w:id="65" w:name="_Toc73116771"/>
      <w:bookmarkStart w:id="66" w:name="_Toc79552071"/>
      <w:bookmarkStart w:id="67" w:name="_Toc141341767"/>
      <w:bookmarkStart w:id="68" w:name="_Toc141785298"/>
      <w:bookmarkStart w:id="69" w:name="_Toc377540482"/>
      <w:bookmarkStart w:id="70" w:name="_Toc354218004"/>
      <w:bookmarkStart w:id="71" w:name="_Toc64201285"/>
      <w:r>
        <w:rPr>
          <w:rFonts w:eastAsia="Calibri" w:cs="Times New Roman" w:ascii="Times New Roman" w:hAnsi="Times New Roman"/>
          <w:b/>
          <w:bCs/>
          <w:kern w:val="2"/>
          <w:sz w:val="24"/>
          <w:szCs w:val="24"/>
          <w:lang w:eastAsia="en-US"/>
        </w:rPr>
        <w:t>P</w:t>
      </w:r>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r>
        <w:rPr>
          <w:rFonts w:eastAsia="Calibri" w:cs="Times New Roman" w:ascii="Times New Roman" w:hAnsi="Times New Roman"/>
          <w:b/>
          <w:bCs/>
          <w:kern w:val="2"/>
          <w:sz w:val="24"/>
          <w:szCs w:val="24"/>
          <w:lang w:eastAsia="en-US"/>
        </w:rPr>
        <w:t>RETENDENTA TIESĪBAS UN PIENĀKUMI</w:t>
      </w:r>
    </w:p>
    <w:p>
      <w:pPr>
        <w:pStyle w:val="ListParagraph"/>
        <w:numPr>
          <w:ilvl w:val="1"/>
          <w:numId w:val="4"/>
        </w:numPr>
        <w:tabs>
          <w:tab w:val="clear" w:pos="720"/>
          <w:tab w:val="left" w:pos="180" w:leader="none"/>
        </w:tabs>
        <w:spacing w:lineRule="auto" w:line="259"/>
        <w:ind w:hanging="574" w:start="142"/>
        <w:jc w:val="both"/>
        <w:rPr>
          <w:rFonts w:ascii="Times New Roman" w:hAnsi="Times New Roman" w:eastAsia="Calibri" w:cs="Times New Roman"/>
          <w:bCs/>
          <w:kern w:val="2"/>
          <w:lang w:eastAsia="en-US"/>
        </w:rPr>
      </w:pPr>
      <w:r>
        <w:rPr>
          <w:rFonts w:eastAsia="Calibri" w:cs="Times New Roman" w:ascii="Times New Roman" w:hAnsi="Times New Roman"/>
          <w:bCs/>
          <w:kern w:val="2"/>
          <w:lang w:eastAsia="en-US"/>
        </w:rPr>
        <w:t>Pretendentam ir pienākums pirms piedāvājuma sagatavošanas rūpīgi iepazīties ar visiem Nolikuma un tā pielikumu nosacījumiem, sagatavot piedāvājumu, tajā ietverot visu prasīto informāciju, kas nepieciešama Nolikuma prasību pārbaudei.</w:t>
      </w:r>
    </w:p>
    <w:p>
      <w:pPr>
        <w:pStyle w:val="ListParagraph"/>
        <w:numPr>
          <w:ilvl w:val="1"/>
          <w:numId w:val="4"/>
        </w:numPr>
        <w:tabs>
          <w:tab w:val="clear" w:pos="720"/>
          <w:tab w:val="left" w:pos="180" w:leader="none"/>
        </w:tabs>
        <w:spacing w:lineRule="auto" w:line="259"/>
        <w:ind w:hanging="574" w:start="142"/>
        <w:jc w:val="both"/>
        <w:rPr>
          <w:rFonts w:ascii="Times New Roman" w:hAnsi="Times New Roman" w:eastAsia="Calibri" w:cs="Times New Roman"/>
          <w:bCs/>
          <w:kern w:val="2"/>
          <w:lang w:eastAsia="en-US"/>
        </w:rPr>
      </w:pPr>
      <w:r>
        <w:rPr>
          <w:rFonts w:eastAsia="Calibri" w:cs="Times New Roman" w:ascii="Times New Roman" w:hAnsi="Times New Roman"/>
          <w:bCs/>
          <w:kern w:val="2"/>
          <w:lang w:eastAsia="en-US"/>
        </w:rPr>
        <w:t>Pretendentam ir tiesības, ievērojot PIL noteikto kārtību, iesniegt Pasūtītājam papildu informācijas pieprasījumus un iesniegumus, kā arī saņemt uz tiem atbildes PIL noteiktajos termiņos.</w:t>
      </w:r>
    </w:p>
    <w:p>
      <w:pPr>
        <w:pStyle w:val="ListParagraph"/>
        <w:numPr>
          <w:ilvl w:val="1"/>
          <w:numId w:val="4"/>
        </w:numPr>
        <w:tabs>
          <w:tab w:val="clear" w:pos="720"/>
          <w:tab w:val="left" w:pos="180" w:leader="none"/>
        </w:tabs>
        <w:spacing w:lineRule="auto" w:line="259"/>
        <w:ind w:hanging="574" w:start="142"/>
        <w:jc w:val="both"/>
        <w:rPr>
          <w:rFonts w:ascii="Times New Roman" w:hAnsi="Times New Roman" w:eastAsia="Calibri" w:cs="Times New Roman"/>
          <w:bCs/>
          <w:kern w:val="2"/>
          <w:lang w:eastAsia="en-US"/>
        </w:rPr>
      </w:pPr>
      <w:r>
        <w:rPr>
          <w:rFonts w:eastAsia="Calibri" w:cs="Times New Roman" w:ascii="Times New Roman" w:hAnsi="Times New Roman"/>
          <w:bCs/>
          <w:kern w:val="2"/>
          <w:lang w:eastAsia="en-US"/>
        </w:rPr>
        <w:t>Pretendentam ir tiesības mainīt un papildināt iesniegto piedāvājumu līdz piedāvājumu iesniegšanas termiņa beigām.</w:t>
      </w:r>
    </w:p>
    <w:p>
      <w:pPr>
        <w:pStyle w:val="ListParagraph"/>
        <w:numPr>
          <w:ilvl w:val="1"/>
          <w:numId w:val="4"/>
        </w:numPr>
        <w:tabs>
          <w:tab w:val="clear" w:pos="720"/>
          <w:tab w:val="left" w:pos="180" w:leader="none"/>
        </w:tabs>
        <w:spacing w:lineRule="auto" w:line="259"/>
        <w:ind w:hanging="574" w:start="142"/>
        <w:jc w:val="both"/>
        <w:rPr>
          <w:rFonts w:ascii="Times New Roman" w:hAnsi="Times New Roman" w:eastAsia="Calibri" w:cs="Times New Roman"/>
          <w:bCs/>
          <w:kern w:val="2"/>
          <w:lang w:eastAsia="en-US"/>
        </w:rPr>
      </w:pPr>
      <w:r>
        <w:rPr>
          <w:rFonts w:eastAsia="Calibri" w:cs="Times New Roman" w:ascii="Times New Roman" w:hAnsi="Times New Roman"/>
          <w:bCs/>
          <w:kern w:val="2"/>
          <w:lang w:eastAsia="en-US"/>
        </w:rPr>
        <w:t>Pretendentam ir pienākums Komisijas noteiktajā termiņā sniegt papildu informāciju vai paskaidrojumus par piedāvājumu, kā arī iesniegt PIL un Nolikumā noteiktos dokumentus, ja tas noteikts Nolikumā vai Komisija to pieprasa.</w:t>
      </w:r>
    </w:p>
    <w:p>
      <w:pPr>
        <w:pStyle w:val="ListParagraph"/>
        <w:numPr>
          <w:ilvl w:val="1"/>
          <w:numId w:val="4"/>
        </w:numPr>
        <w:tabs>
          <w:tab w:val="clear" w:pos="720"/>
          <w:tab w:val="left" w:pos="180" w:leader="none"/>
        </w:tabs>
        <w:spacing w:lineRule="auto" w:line="259"/>
        <w:ind w:hanging="574" w:start="142"/>
        <w:jc w:val="both"/>
        <w:rPr>
          <w:rFonts w:ascii="Times New Roman" w:hAnsi="Times New Roman" w:eastAsia="Calibri" w:cs="Times New Roman"/>
          <w:bCs/>
          <w:kern w:val="2"/>
          <w:lang w:eastAsia="en-US"/>
        </w:rPr>
      </w:pPr>
      <w:r>
        <w:rPr>
          <w:rFonts w:eastAsia="Calibri" w:cs="Times New Roman" w:ascii="Times New Roman" w:hAnsi="Times New Roman"/>
          <w:bCs/>
          <w:kern w:val="2"/>
          <w:lang w:eastAsia="en-US"/>
        </w:rPr>
        <w:t xml:space="preserve">Pretendentam ir pienākums iesniegt apliecinājumu par piedāvājuma nodrošinājuma derīguma termiņa pagarinājumu 5 (piecu) darba dienu laikā pēc Komisijas rakstiska pieprasījuma, ja Komisija pieņem lēmumu par Konkursa termiņa pagarinājumu un </w:t>
      </w:r>
      <w:r>
        <w:rPr>
          <w:rFonts w:eastAsia="Times New Roman" w:cs="Times New Roman" w:ascii="Times New Roman" w:hAnsi="Times New Roman"/>
          <w:lang w:eastAsia="en-US"/>
        </w:rPr>
        <w:t>P</w:t>
      </w:r>
      <w:r>
        <w:rPr>
          <w:rFonts w:eastAsia="Calibri" w:cs="Times New Roman" w:ascii="Times New Roman" w:hAnsi="Times New Roman"/>
          <w:bCs/>
          <w:kern w:val="2"/>
          <w:lang w:eastAsia="en-US"/>
        </w:rPr>
        <w:t>retendents vēlas turpināt dalību Konkursā.</w:t>
      </w:r>
    </w:p>
    <w:p>
      <w:pPr>
        <w:pStyle w:val="ListParagraph"/>
        <w:numPr>
          <w:ilvl w:val="1"/>
          <w:numId w:val="4"/>
        </w:numPr>
        <w:tabs>
          <w:tab w:val="clear" w:pos="720"/>
          <w:tab w:val="left" w:pos="180" w:leader="none"/>
        </w:tabs>
        <w:spacing w:lineRule="auto" w:line="259"/>
        <w:ind w:hanging="574" w:start="142"/>
        <w:jc w:val="both"/>
        <w:rPr>
          <w:rFonts w:ascii="Times New Roman" w:hAnsi="Times New Roman" w:eastAsia="Calibri" w:cs="Times New Roman"/>
          <w:bCs/>
          <w:kern w:val="2"/>
          <w:lang w:eastAsia="en-US"/>
        </w:rPr>
      </w:pPr>
      <w:r>
        <w:rPr>
          <w:rFonts w:eastAsia="Calibri" w:cs="Times New Roman" w:ascii="Times New Roman" w:hAnsi="Times New Roman"/>
          <w:bCs/>
          <w:kern w:val="2"/>
          <w:lang w:eastAsia="en-US"/>
        </w:rPr>
        <w:t>Pretendentam ir tiesības iesniegt iesniegumu par Nolikumā iekļautajām prasībām vai pārsūdzēt Komisijas pieņemto lēmumu PIL noteiktajā kārtībā.</w:t>
      </w:r>
    </w:p>
    <w:p>
      <w:pPr>
        <w:pStyle w:val="ListParagraph"/>
        <w:spacing w:lineRule="auto" w:line="259"/>
        <w:ind w:start="0"/>
        <w:jc w:val="both"/>
        <w:rPr>
          <w:rFonts w:ascii="Times New Roman" w:hAnsi="Times New Roman" w:eastAsia="Calibri" w:cs="Times New Roman"/>
          <w:bCs/>
          <w:kern w:val="2"/>
          <w:lang w:eastAsia="en-US"/>
        </w:rPr>
      </w:pPr>
      <w:r>
        <w:rPr>
          <w:rFonts w:eastAsia="Calibri" w:cs="Times New Roman" w:ascii="Times New Roman" w:hAnsi="Times New Roman"/>
          <w:bCs/>
          <w:kern w:val="2"/>
          <w:lang w:eastAsia="en-US"/>
        </w:rPr>
      </w:r>
      <w:bookmarkStart w:id="72" w:name="_Hlk152756206"/>
      <w:bookmarkStart w:id="73" w:name="_Hlk152756206"/>
      <w:bookmarkEnd w:id="73"/>
    </w:p>
    <w:p>
      <w:pPr>
        <w:pStyle w:val="Normal"/>
        <w:spacing w:lineRule="auto" w:line="240" w:before="0" w:after="0"/>
        <w:ind w:end="-142"/>
        <w:jc w:val="both"/>
        <w:rPr>
          <w:rFonts w:ascii="Times New Roman" w:hAnsi="Times New Roman" w:cs="Times New Roman"/>
          <w:sz w:val="24"/>
          <w:szCs w:val="24"/>
          <w:shd w:fill="FFFFFF" w:val="clear"/>
        </w:rPr>
      </w:pPr>
      <w:r>
        <w:rPr>
          <w:rFonts w:cs="Times New Roman" w:ascii="Times New Roman" w:hAnsi="Times New Roman"/>
          <w:sz w:val="24"/>
          <w:szCs w:val="24"/>
          <w:shd w:fill="FFFFFF" w:val="clear"/>
        </w:rPr>
      </w:r>
    </w:p>
    <w:p>
      <w:pPr>
        <w:pStyle w:val="Normal"/>
        <w:tabs>
          <w:tab w:val="clear" w:pos="720"/>
          <w:tab w:val="left" w:pos="426" w:leader="none"/>
        </w:tabs>
        <w:spacing w:lineRule="auto" w:line="240" w:before="0" w:after="0"/>
        <w:jc w:val="center"/>
        <w:rPr>
          <w:rFonts w:ascii="Times New Roman" w:hAnsi="Times New Roman"/>
          <w:b/>
          <w:bCs/>
          <w:sz w:val="24"/>
          <w:szCs w:val="24"/>
        </w:rPr>
      </w:pPr>
      <w:r>
        <w:rPr>
          <w:rFonts w:ascii="Times New Roman" w:hAnsi="Times New Roman"/>
          <w:b/>
          <w:bCs/>
          <w:sz w:val="24"/>
          <w:szCs w:val="24"/>
        </w:rPr>
        <w:t>11.PIELIKUMI</w:t>
      </w:r>
    </w:p>
    <w:p>
      <w:pPr>
        <w:pStyle w:val="Normal"/>
        <w:tabs>
          <w:tab w:val="clear" w:pos="720"/>
          <w:tab w:val="left" w:pos="426" w:leader="none"/>
        </w:tabs>
        <w:spacing w:lineRule="auto" w:line="240" w:before="0" w:after="0"/>
        <w:rPr>
          <w:rFonts w:ascii="Times New Roman" w:hAnsi="Times New Roman"/>
        </w:rPr>
      </w:pPr>
      <w:r>
        <w:rPr>
          <w:rFonts w:ascii="Times New Roman" w:hAnsi="Times New Roman"/>
        </w:rPr>
        <w:t xml:space="preserve">1. pielikums. Pieteikums. </w:t>
      </w:r>
    </w:p>
    <w:p>
      <w:pPr>
        <w:pStyle w:val="Normal"/>
        <w:tabs>
          <w:tab w:val="clear" w:pos="720"/>
          <w:tab w:val="left" w:pos="426" w:leader="none"/>
        </w:tabs>
        <w:spacing w:lineRule="auto" w:line="240" w:before="0" w:after="0"/>
        <w:rPr>
          <w:rFonts w:ascii="Times New Roman" w:hAnsi="Times New Roman"/>
        </w:rPr>
      </w:pPr>
      <w:r>
        <w:rPr>
          <w:rFonts w:ascii="Times New Roman" w:hAnsi="Times New Roman"/>
        </w:rPr>
        <w:t>2. pielikums. Tehniskā specifikācija (</w:t>
      </w:r>
      <w:r>
        <w:rPr>
          <w:rFonts w:ascii="Times New Roman" w:hAnsi="Times New Roman"/>
          <w:i/>
        </w:rPr>
        <w:t>darba uzdevums</w:t>
      </w:r>
      <w:r>
        <w:rPr>
          <w:rFonts w:ascii="Times New Roman" w:hAnsi="Times New Roman"/>
        </w:rPr>
        <w:t>).</w:t>
      </w:r>
    </w:p>
    <w:p>
      <w:pPr>
        <w:pStyle w:val="Normal"/>
        <w:tabs>
          <w:tab w:val="clear" w:pos="720"/>
          <w:tab w:val="left" w:pos="426" w:leader="none"/>
        </w:tabs>
        <w:spacing w:lineRule="auto" w:line="240" w:before="0" w:after="0"/>
        <w:rPr>
          <w:rFonts w:ascii="Times New Roman" w:hAnsi="Times New Roman"/>
        </w:rPr>
      </w:pPr>
      <w:r>
        <w:rPr>
          <w:rFonts w:ascii="Times New Roman" w:hAnsi="Times New Roman"/>
        </w:rPr>
        <w:t>2.1.pielikums Tehniskās specifikācija (tāme).</w:t>
      </w:r>
    </w:p>
    <w:p>
      <w:pPr>
        <w:pStyle w:val="Normal"/>
        <w:tabs>
          <w:tab w:val="clear" w:pos="720"/>
          <w:tab w:val="left" w:pos="426" w:leader="none"/>
        </w:tabs>
        <w:spacing w:lineRule="auto" w:line="240" w:before="0" w:after="0"/>
        <w:rPr>
          <w:rFonts w:ascii="Times New Roman" w:hAnsi="Times New Roman"/>
        </w:rPr>
      </w:pPr>
      <w:r>
        <w:rPr>
          <w:rFonts w:ascii="Times New Roman" w:hAnsi="Times New Roman"/>
        </w:rPr>
        <w:t>3. pielikums. Finanšu piedāvājums.</w:t>
      </w:r>
    </w:p>
    <w:p>
      <w:pPr>
        <w:pStyle w:val="Normal"/>
        <w:tabs>
          <w:tab w:val="clear" w:pos="720"/>
          <w:tab w:val="left" w:pos="426" w:leader="none"/>
        </w:tabs>
        <w:spacing w:lineRule="auto" w:line="240" w:before="0" w:after="0"/>
        <w:rPr>
          <w:rFonts w:ascii="Times New Roman" w:hAnsi="Times New Roman"/>
        </w:rPr>
      </w:pPr>
      <w:r>
        <w:rPr>
          <w:rFonts w:ascii="Times New Roman" w:hAnsi="Times New Roman"/>
        </w:rPr>
        <w:t>4. pielikums. Līgumprojekts.</w:t>
      </w:r>
    </w:p>
    <w:p>
      <w:pPr>
        <w:pStyle w:val="Normal"/>
        <w:tabs>
          <w:tab w:val="clear" w:pos="720"/>
          <w:tab w:val="left" w:pos="426" w:leader="none"/>
        </w:tabs>
        <w:spacing w:lineRule="auto" w:line="240" w:before="0" w:after="0"/>
        <w:rPr>
          <w:rFonts w:ascii="Times New Roman" w:hAnsi="Times New Roman"/>
        </w:rPr>
      </w:pPr>
      <w:r>
        <w:rPr>
          <w:rFonts w:ascii="Times New Roman" w:hAnsi="Times New Roman"/>
        </w:rPr>
        <w:t xml:space="preserve">5. pielikums. Informācija par apakšuzņēmējiem </w:t>
      </w:r>
      <w:r>
        <w:rPr>
          <w:rFonts w:eastAsia="Calibri" w:cs="Times New Roman" w:ascii="Times New Roman" w:hAnsi="Times New Roman"/>
          <w:i/>
          <w:iCs/>
          <w:color w:val="000000"/>
          <w:lang w:bidi="lv-LV"/>
        </w:rPr>
        <w:t>(iesniedz, ja attiecināms).</w:t>
      </w:r>
    </w:p>
    <w:p>
      <w:pPr>
        <w:pStyle w:val="Normal"/>
        <w:tabs>
          <w:tab w:val="clear" w:pos="720"/>
          <w:tab w:val="left" w:pos="426" w:leader="none"/>
        </w:tabs>
        <w:spacing w:lineRule="auto" w:line="240" w:before="0" w:after="0"/>
        <w:rPr>
          <w:rFonts w:ascii="Times New Roman" w:hAnsi="Times New Roman"/>
        </w:rPr>
      </w:pPr>
      <w:r>
        <w:rPr>
          <w:rFonts w:ascii="Times New Roman" w:hAnsi="Times New Roman"/>
        </w:rPr>
        <w:t>6. pielikums. Apliecinājums par neatkarīgi izstrādātu piedāvājumu.</w:t>
      </w:r>
    </w:p>
    <w:p>
      <w:pPr>
        <w:pStyle w:val="Normal"/>
        <w:tabs>
          <w:tab w:val="clear" w:pos="720"/>
          <w:tab w:val="left" w:pos="426" w:leader="none"/>
        </w:tabs>
        <w:spacing w:lineRule="auto" w:line="240" w:before="0" w:after="0"/>
        <w:rPr>
          <w:rFonts w:ascii="Times New Roman" w:hAnsi="Times New Roman"/>
        </w:rPr>
      </w:pPr>
      <w:r>
        <w:rPr>
          <w:rFonts w:ascii="Times New Roman" w:hAnsi="Times New Roman"/>
        </w:rPr>
        <w:t>7. pielikums. O</w:t>
      </w:r>
      <w:r>
        <w:rPr>
          <w:rFonts w:eastAsia="Calibri" w:cs="Times New Roman" w:ascii="Times New Roman" w:hAnsi="Times New Roman"/>
          <w:b w:val="false"/>
          <w:bCs w:val="false"/>
          <w:kern w:val="2"/>
          <w:u w:val="none"/>
          <w:lang w:eastAsia="en-US"/>
        </w:rPr>
        <w:t>bjektu apsekošanas veidlapa.</w:t>
      </w:r>
    </w:p>
    <w:p>
      <w:pPr>
        <w:pStyle w:val="Normal"/>
        <w:tabs>
          <w:tab w:val="clear" w:pos="720"/>
          <w:tab w:val="left" w:pos="426" w:leader="none"/>
        </w:tabs>
        <w:spacing w:lineRule="auto" w:line="240" w:before="0" w:after="0"/>
        <w:rPr>
          <w:rFonts w:ascii="Times New Roman" w:hAnsi="Times New Roman"/>
        </w:rPr>
      </w:pPr>
      <w:r>
        <w:rPr>
          <w:rFonts w:eastAsia="Calibri" w:cs="Times New Roman" w:ascii="Times New Roman" w:hAnsi="Times New Roman"/>
          <w:b w:val="false"/>
          <w:bCs w:val="false"/>
          <w:kern w:val="2"/>
          <w:u w:val="none"/>
          <w:lang w:eastAsia="en-US"/>
        </w:rPr>
        <w:t>8. pielikums.  Apliecinājums par interešu konflikta neesamību.</w:t>
      </w:r>
    </w:p>
    <w:p>
      <w:pPr>
        <w:pStyle w:val="Normal"/>
        <w:tabs>
          <w:tab w:val="clear" w:pos="720"/>
          <w:tab w:val="left" w:pos="426" w:leader="none"/>
        </w:tabs>
        <w:spacing w:lineRule="auto" w:line="240" w:before="0" w:after="0"/>
        <w:rPr>
          <w:rFonts w:ascii="Times New Roman" w:hAnsi="Times New Roman"/>
          <w:sz w:val="24"/>
          <w:szCs w:val="24"/>
        </w:rPr>
      </w:pPr>
      <w:r>
        <w:rPr>
          <w:rFonts w:ascii="Times New Roman" w:hAnsi="Times New Roman"/>
          <w:sz w:val="24"/>
          <w:szCs w:val="24"/>
        </w:rPr>
      </w:r>
    </w:p>
    <w:sectPr>
      <w:footerReference w:type="even" r:id="rId9"/>
      <w:footerReference w:type="default" r:id="rId10"/>
      <w:footerReference w:type="first" r:id="rId11"/>
      <w:footnotePr>
        <w:numFmt w:val="decimal"/>
      </w:footnotePr>
      <w:type w:val="nextPage"/>
      <w:pgSz w:w="12240" w:h="15840"/>
      <w:pgMar w:left="1725" w:right="850" w:gutter="0" w:header="0" w:top="1134" w:footer="720" w:bottom="1134"/>
      <w:pgNumType w:start="1"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Calibri">
    <w:charset w:val="cc" w:characterSet="windows-1251"/>
    <w:family w:val="roman"/>
    <w:pitch w:val="variable"/>
  </w:font>
  <w:font w:name="Times New Roman Bold">
    <w:charset w:val="cc" w:characterSet="windows-1251"/>
    <w:family w:val="roman"/>
    <w:pitch w:val="variable"/>
  </w:font>
  <w:font w:name="Times New Roman">
    <w:charset w:val="cc" w:characterSet="windows-1251"/>
    <w:family w:val="roman"/>
    <w:pitch w:val="variable"/>
  </w:font>
  <w:font w:name="Calibri Light">
    <w:charset w:val="cc" w:characterSet="windows-1251"/>
    <w:family w:val="roman"/>
    <w:pitch w:val="variable"/>
  </w:font>
  <w:font w:name="Arial">
    <w:charset w:val="cc" w:characterSet="windows-1251"/>
    <w:family w:val="roman"/>
    <w:pitch w:val="variable"/>
  </w:font>
  <w:font w:name="Segoe UI">
    <w:charset w:val="cc" w:characterSet="windows-1251"/>
    <w:family w:val="roman"/>
    <w:pitch w:val="variable"/>
  </w:font>
  <w:font w:name="OpenSymbol">
    <w:altName w:val="Arial Unicode MS"/>
    <w:charset w:val="cc" w:characterSet="windows-1251"/>
    <w:family w:val="roman"/>
    <w:pitch w:val="variable"/>
  </w:font>
  <w:font w:name="Liberation Sans">
    <w:altName w:val="Arial"/>
    <w:charset w:val="cc" w:characterSet="windows-1251"/>
    <w:family w:val="roman"/>
    <w:pitch w:val="variable"/>
  </w:font>
  <w:font w:name="Times New Roman">
    <w:charset w:val="01"/>
    <w:family w:val="roman"/>
    <w:pitch w:val="variable"/>
  </w:font>
  <w:font w:name="Courier New">
    <w:charset w:val="01"/>
    <w:family w:val="modern"/>
    <w:pitch w:val="fixed"/>
  </w:font>
  <w:font w:name="Noto Sans Symbols">
    <w:charset w:val="01"/>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rPr>
          <w:rFonts w:ascii="Times New Roman" w:hAnsi="Times New Roman" w:cs="Times New Roman"/>
        </w:rPr>
      </w:pPr>
      <w:r>
        <w:rPr>
          <w:rStyle w:val="Vresrakstzmes"/>
        </w:rPr>
        <w:footnoteRef/>
      </w:r>
      <w:r>
        <w:rPr/>
        <w:t xml:space="preserve"> </w:t>
      </w:r>
      <w:r>
        <w:rPr>
          <w:rFonts w:cs="Times New Roman" w:ascii="Times New Roman" w:hAnsi="Times New Roman"/>
        </w:rPr>
        <w:t xml:space="preserve">Pamatojums iepirkuma nedalīšanai daļās: iegādājamā prece nav sadalāma komponentēs. </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360" w:hanging="360"/>
      </w:pPr>
      <w:rPr>
        <w:b w:val="false"/>
        <w:lang w:val="x-none"/>
      </w:rPr>
    </w:lvl>
    <w:lvl w:ilvl="1">
      <w:start w:val="1"/>
      <w:numFmt w:val="decimal"/>
      <w:lvlText w:val="%1.%2."/>
      <w:lvlJc w:val="start"/>
      <w:pPr>
        <w:tabs>
          <w:tab w:val="num" w:pos="0"/>
        </w:tabs>
        <w:ind w:start="432" w:hanging="432"/>
      </w:pPr>
      <w:rPr>
        <w:b w:val="false"/>
        <w:color w:val="auto"/>
      </w:rPr>
    </w:lvl>
    <w:lvl w:ilvl="2">
      <w:start w:val="1"/>
      <w:numFmt w:val="decimal"/>
      <w:lvlText w:val="%1.%2.%3."/>
      <w:lvlJc w:val="start"/>
      <w:pPr>
        <w:tabs>
          <w:tab w:val="num" w:pos="0"/>
        </w:tabs>
        <w:ind w:start="3056" w:hanging="504"/>
      </w:pPr>
      <w:rPr>
        <w:sz w:val="24"/>
        <w:i w:val="false"/>
        <w:b w:val="false"/>
        <w:szCs w:val="24"/>
        <w:color w:val="auto"/>
      </w:rPr>
    </w:lvl>
    <w:lvl w:ilvl="3">
      <w:start w:val="1"/>
      <w:numFmt w:val="decimal"/>
      <w:lvlText w:val="%1.%2.%3.%4."/>
      <w:lvlJc w:val="start"/>
      <w:pPr>
        <w:tabs>
          <w:tab w:val="num" w:pos="0"/>
        </w:tabs>
        <w:ind w:start="1728" w:hanging="648"/>
      </w:pPr>
      <w:rPr>
        <w:b w:val="false"/>
      </w:rPr>
    </w:lvl>
    <w:lvl w:ilvl="4">
      <w:start w:val="1"/>
      <w:numFmt w:val="decimal"/>
      <w:lvlText w:val="%1.%2.%3.%4.%5."/>
      <w:lvlJc w:val="start"/>
      <w:pPr>
        <w:tabs>
          <w:tab w:val="num" w:pos="0"/>
        </w:tabs>
        <w:ind w:start="2232" w:hanging="792"/>
      </w:pPr>
      <w:rPr/>
    </w:lvl>
    <w:lvl w:ilvl="5">
      <w:start w:val="1"/>
      <w:numFmt w:val="decimal"/>
      <w:lvlText w:val="%1.%2.%3.%4.%5.%6."/>
      <w:lvlJc w:val="start"/>
      <w:pPr>
        <w:tabs>
          <w:tab w:val="num" w:pos="0"/>
        </w:tabs>
        <w:ind w:start="2736" w:hanging="936"/>
      </w:pPr>
      <w:rPr/>
    </w:lvl>
    <w:lvl w:ilvl="6">
      <w:start w:val="1"/>
      <w:numFmt w:val="decimal"/>
      <w:lvlText w:val="%1.%2.%3.%4.%5.%6.%7."/>
      <w:lvlJc w:val="start"/>
      <w:pPr>
        <w:tabs>
          <w:tab w:val="num" w:pos="0"/>
        </w:tabs>
        <w:ind w:start="3240" w:hanging="1080"/>
      </w:pPr>
      <w:rPr/>
    </w:lvl>
    <w:lvl w:ilvl="7">
      <w:start w:val="1"/>
      <w:numFmt w:val="decimal"/>
      <w:lvlText w:val="%1.%2.%3.%4.%5.%6.%7.%8."/>
      <w:lvlJc w:val="start"/>
      <w:pPr>
        <w:tabs>
          <w:tab w:val="num" w:pos="0"/>
        </w:tabs>
        <w:ind w:start="3744" w:hanging="1224"/>
      </w:pPr>
      <w:rPr/>
    </w:lvl>
    <w:lvl w:ilvl="8">
      <w:start w:val="1"/>
      <w:numFmt w:val="decimal"/>
      <w:lvlText w:val="%1.%2.%3.%4.%5.%6.%7.%8.%9."/>
      <w:lvlJc w:val="start"/>
      <w:pPr>
        <w:tabs>
          <w:tab w:val="num" w:pos="0"/>
        </w:tabs>
        <w:ind w:start="4320" w:hanging="1440"/>
      </w:pPr>
      <w:rPr/>
    </w:lvl>
  </w:abstractNum>
  <w:abstractNum w:abstractNumId="2">
    <w:lvl w:ilvl="0">
      <w:start w:val="1"/>
      <w:numFmt w:val="bullet"/>
      <w:lvlText w:val="-"/>
      <w:lvlJc w:val="start"/>
      <w:pPr>
        <w:tabs>
          <w:tab w:val="num" w:pos="0"/>
        </w:tabs>
        <w:ind w:start="786" w:hanging="360"/>
      </w:pPr>
      <w:rPr>
        <w:rFonts w:ascii="Times New Roman" w:hAnsi="Times New Roman" w:cs="Times New Roman" w:hint="default"/>
        <w:vertAlign w:val="baseline"/>
        <w:position w:val="0"/>
        <w:sz w:val="22"/>
        <w:sz w:val="22"/>
      </w:rPr>
    </w:lvl>
    <w:lvl w:ilvl="1">
      <w:start w:val="1"/>
      <w:numFmt w:val="bullet"/>
      <w:lvlText w:val="o"/>
      <w:lvlJc w:val="start"/>
      <w:pPr>
        <w:tabs>
          <w:tab w:val="num" w:pos="0"/>
        </w:tabs>
        <w:ind w:start="1506" w:hanging="360"/>
      </w:pPr>
      <w:rPr>
        <w:rFonts w:ascii="Courier New" w:hAnsi="Courier New" w:cs="Courier New" w:hint="default"/>
        <w:vertAlign w:val="baseline"/>
        <w:position w:val="0"/>
        <w:sz w:val="22"/>
        <w:sz w:val="22"/>
      </w:rPr>
    </w:lvl>
    <w:lvl w:ilvl="2">
      <w:start w:val="1"/>
      <w:numFmt w:val="bullet"/>
      <w:lvlText w:val="▪"/>
      <w:lvlJc w:val="start"/>
      <w:pPr>
        <w:tabs>
          <w:tab w:val="num" w:pos="0"/>
        </w:tabs>
        <w:ind w:start="2226" w:hanging="360"/>
      </w:pPr>
      <w:rPr>
        <w:rFonts w:ascii="Noto Sans Symbols" w:hAnsi="Noto Sans Symbols" w:cs="Noto Sans Symbols" w:hint="default"/>
        <w:vertAlign w:val="baseline"/>
        <w:position w:val="0"/>
        <w:sz w:val="22"/>
        <w:sz w:val="22"/>
      </w:rPr>
    </w:lvl>
    <w:lvl w:ilvl="3">
      <w:start w:val="1"/>
      <w:numFmt w:val="bullet"/>
      <w:lvlText w:val="●"/>
      <w:lvlJc w:val="start"/>
      <w:pPr>
        <w:tabs>
          <w:tab w:val="num" w:pos="0"/>
        </w:tabs>
        <w:ind w:start="2946" w:hanging="360"/>
      </w:pPr>
      <w:rPr>
        <w:rFonts w:ascii="Noto Sans Symbols" w:hAnsi="Noto Sans Symbols" w:cs="Noto Sans Symbols" w:hint="default"/>
        <w:vertAlign w:val="baseline"/>
        <w:position w:val="0"/>
        <w:sz w:val="22"/>
        <w:sz w:val="22"/>
      </w:rPr>
    </w:lvl>
    <w:lvl w:ilvl="4">
      <w:start w:val="1"/>
      <w:numFmt w:val="bullet"/>
      <w:lvlText w:val="o"/>
      <w:lvlJc w:val="start"/>
      <w:pPr>
        <w:tabs>
          <w:tab w:val="num" w:pos="0"/>
        </w:tabs>
        <w:ind w:start="3666" w:hanging="360"/>
      </w:pPr>
      <w:rPr>
        <w:rFonts w:ascii="Courier New" w:hAnsi="Courier New" w:cs="Courier New" w:hint="default"/>
        <w:vertAlign w:val="baseline"/>
        <w:position w:val="0"/>
        <w:sz w:val="22"/>
        <w:sz w:val="22"/>
      </w:rPr>
    </w:lvl>
    <w:lvl w:ilvl="5">
      <w:start w:val="1"/>
      <w:numFmt w:val="bullet"/>
      <w:lvlText w:val="▪"/>
      <w:lvlJc w:val="start"/>
      <w:pPr>
        <w:tabs>
          <w:tab w:val="num" w:pos="0"/>
        </w:tabs>
        <w:ind w:start="4386" w:hanging="360"/>
      </w:pPr>
      <w:rPr>
        <w:rFonts w:ascii="Noto Sans Symbols" w:hAnsi="Noto Sans Symbols" w:cs="Noto Sans Symbols" w:hint="default"/>
        <w:vertAlign w:val="baseline"/>
        <w:position w:val="0"/>
        <w:sz w:val="22"/>
        <w:sz w:val="22"/>
      </w:rPr>
    </w:lvl>
    <w:lvl w:ilvl="6">
      <w:start w:val="1"/>
      <w:numFmt w:val="bullet"/>
      <w:lvlText w:val="●"/>
      <w:lvlJc w:val="start"/>
      <w:pPr>
        <w:tabs>
          <w:tab w:val="num" w:pos="0"/>
        </w:tabs>
        <w:ind w:start="5106" w:hanging="360"/>
      </w:pPr>
      <w:rPr>
        <w:rFonts w:ascii="Noto Sans Symbols" w:hAnsi="Noto Sans Symbols" w:cs="Noto Sans Symbols" w:hint="default"/>
        <w:vertAlign w:val="baseline"/>
        <w:position w:val="0"/>
        <w:sz w:val="22"/>
        <w:sz w:val="22"/>
      </w:rPr>
    </w:lvl>
    <w:lvl w:ilvl="7">
      <w:start w:val="1"/>
      <w:numFmt w:val="bullet"/>
      <w:lvlText w:val="o"/>
      <w:lvlJc w:val="start"/>
      <w:pPr>
        <w:tabs>
          <w:tab w:val="num" w:pos="0"/>
        </w:tabs>
        <w:ind w:start="5826" w:hanging="360"/>
      </w:pPr>
      <w:rPr>
        <w:rFonts w:ascii="Courier New" w:hAnsi="Courier New" w:cs="Courier New" w:hint="default"/>
        <w:vertAlign w:val="baseline"/>
        <w:position w:val="0"/>
        <w:sz w:val="22"/>
        <w:sz w:val="22"/>
      </w:rPr>
    </w:lvl>
    <w:lvl w:ilvl="8">
      <w:start w:val="1"/>
      <w:numFmt w:val="bullet"/>
      <w:lvlText w:val="▪"/>
      <w:lvlJc w:val="start"/>
      <w:pPr>
        <w:tabs>
          <w:tab w:val="num" w:pos="0"/>
        </w:tabs>
        <w:ind w:start="6546" w:hanging="360"/>
      </w:pPr>
      <w:rPr>
        <w:rFonts w:ascii="Noto Sans Symbols" w:hAnsi="Noto Sans Symbols" w:cs="Noto Sans Symbols" w:hint="default"/>
        <w:vertAlign w:val="baseline"/>
        <w:position w:val="0"/>
        <w:sz w:val="22"/>
        <w:sz w:val="22"/>
      </w:rPr>
    </w:lvl>
  </w:abstractNum>
  <w:abstractNum w:abstractNumId="3">
    <w:lvl w:ilvl="0">
      <w:start w:val="1"/>
      <w:numFmt w:val="decimal"/>
      <w:lvlText w:val="%1."/>
      <w:lvlJc w:val="start"/>
      <w:pPr>
        <w:tabs>
          <w:tab w:val="num" w:pos="567"/>
        </w:tabs>
        <w:ind w:start="0" w:hanging="0"/>
      </w:pPr>
      <w:rPr>
        <w:smallCaps w:val="false"/>
        <w:caps w:val="false"/>
        <w:outline w:val="false"/>
        <w:dstrike w:val="false"/>
        <w:strike w:val="false"/>
        <w:vertAlign w:val="baseline"/>
        <w:position w:val="0"/>
        <w:sz w:val="22"/>
        <w:sz w:val="22"/>
        <w:spacing w:val="0"/>
        <w:i w:val="false"/>
        <w:shadow w:val="false"/>
        <w:u w:val="none"/>
        <w:b/>
        <w:kern w:val="0"/>
        <w:effect w:val="none"/>
        <w:iCs w:val="false"/>
        <w:bCs/>
        <w:em w:val="none"/>
        <w:emboss w:val="false"/>
        <w:imprint w:val="false"/>
        <w:vanish w:val="false"/>
        <w:rFonts w:ascii="Times New Roman" w:hAnsi="Times New Roman" w:cs="Times New Roman"/>
      </w:rPr>
    </w:lvl>
    <w:lvl w:ilvl="1">
      <w:start w:val="1"/>
      <w:numFmt w:val="decimal"/>
      <w:lvlText w:val="%1.%2."/>
      <w:lvlJc w:val="start"/>
      <w:pPr>
        <w:tabs>
          <w:tab w:val="num" w:pos="360"/>
        </w:tabs>
        <w:ind w:start="360" w:hanging="360"/>
      </w:pPr>
      <w:rPr>
        <w:i w:val="false"/>
        <w:b w:val="false"/>
        <w:color w:val="auto"/>
      </w:rPr>
    </w:lvl>
    <w:lvl w:ilvl="2">
      <w:start w:val="1"/>
      <w:numFmt w:val="decimal"/>
      <w:lvlText w:val="%1.%2.%3."/>
      <w:lvlJc w:val="start"/>
      <w:pPr>
        <w:tabs>
          <w:tab w:val="num" w:pos="4123"/>
        </w:tabs>
        <w:ind w:start="4123" w:hanging="720"/>
      </w:pPr>
      <w:rPr>
        <w:dstrike w:val="false"/>
        <w:strike w:val="false"/>
        <w:sz w:val="22"/>
        <w:i w:val="false"/>
        <w:b w:val="false"/>
        <w:szCs w:val="22"/>
        <w:rFonts w:ascii="Times New Roman" w:hAnsi="Times New Roman" w:cs="Times New Roman"/>
        <w:color w:val="auto"/>
      </w:rPr>
    </w:lvl>
    <w:lvl w:ilvl="3">
      <w:start w:val="1"/>
      <w:numFmt w:val="decimal"/>
      <w:lvlText w:val="%1.%2.%3.%4."/>
      <w:lvlJc w:val="start"/>
      <w:pPr>
        <w:tabs>
          <w:tab w:val="num" w:pos="1980"/>
        </w:tabs>
        <w:ind w:start="1980" w:hanging="720"/>
      </w:pPr>
      <w:rPr>
        <w:dstrike w:val="false"/>
        <w:strike w:val="false"/>
        <w:sz w:val="22"/>
        <w:i w:val="false"/>
        <w:b w:val="false"/>
        <w:szCs w:val="22"/>
        <w:color w:val="auto"/>
      </w:rPr>
    </w:lvl>
    <w:lvl w:ilvl="4">
      <w:start w:val="1"/>
      <w:numFmt w:val="decimal"/>
      <w:lvlText w:val="%1.%2.%3.%4.%5."/>
      <w:lvlJc w:val="start"/>
      <w:pPr>
        <w:tabs>
          <w:tab w:val="num" w:pos="3600"/>
        </w:tabs>
        <w:ind w:start="3600" w:hanging="1080"/>
      </w:pPr>
      <w:rPr>
        <w:sz w:val="22"/>
        <w:szCs w:val="22"/>
      </w:rPr>
    </w:lvl>
    <w:lvl w:ilvl="5">
      <w:start w:val="1"/>
      <w:numFmt w:val="decimal"/>
      <w:lvlText w:val="%1.%2.%3.%4.%5.%6."/>
      <w:lvlJc w:val="start"/>
      <w:pPr>
        <w:tabs>
          <w:tab w:val="num" w:pos="1080"/>
        </w:tabs>
        <w:ind w:start="1080" w:hanging="1080"/>
      </w:pPr>
      <w:rPr/>
    </w:lvl>
    <w:lvl w:ilvl="6">
      <w:start w:val="1"/>
      <w:numFmt w:val="decimal"/>
      <w:lvlText w:val="%1.%2.%3.%4.%5.%6.%7."/>
      <w:lvlJc w:val="start"/>
      <w:pPr>
        <w:tabs>
          <w:tab w:val="num" w:pos="1440"/>
        </w:tabs>
        <w:ind w:start="1440" w:hanging="1440"/>
      </w:pPr>
      <w:rPr/>
    </w:lvl>
    <w:lvl w:ilvl="7">
      <w:start w:val="1"/>
      <w:numFmt w:val="decimal"/>
      <w:lvlText w:val="%1.%2.%3.%4.%5.%6.%7.%8."/>
      <w:lvlJc w:val="start"/>
      <w:pPr>
        <w:tabs>
          <w:tab w:val="num" w:pos="1440"/>
        </w:tabs>
        <w:ind w:start="1440" w:hanging="1440"/>
      </w:pPr>
      <w:rPr/>
    </w:lvl>
    <w:lvl w:ilvl="8">
      <w:start w:val="1"/>
      <w:numFmt w:val="decimal"/>
      <w:lvlText w:val="%1.%2.%3.%4.%5.%6.%7.%8.%9."/>
      <w:lvlJc w:val="start"/>
      <w:pPr>
        <w:tabs>
          <w:tab w:val="num" w:pos="1800"/>
        </w:tabs>
        <w:ind w:start="1800" w:hanging="1800"/>
      </w:pPr>
      <w:rPr/>
    </w:lvl>
  </w:abstractNum>
  <w:abstractNum w:abstractNumId="4">
    <w:lvl w:ilvl="0">
      <w:start w:val="1"/>
      <w:numFmt w:val="decimal"/>
      <w:lvlText w:val="%1."/>
      <w:lvlJc w:val="start"/>
      <w:pPr>
        <w:tabs>
          <w:tab w:val="num" w:pos="0"/>
        </w:tabs>
        <w:ind w:start="360" w:hanging="360"/>
      </w:pPr>
      <w:rPr>
        <w:b/>
        <w:bCs/>
        <w:rFonts w:ascii="Times New Roman" w:hAnsi="Times New Roman" w:cs="Times New Roman"/>
      </w:rPr>
    </w:lvl>
    <w:lvl w:ilvl="1">
      <w:start w:val="1"/>
      <w:numFmt w:val="decimal"/>
      <w:lvlText w:val="%1.%2."/>
      <w:lvlJc w:val="start"/>
      <w:pPr>
        <w:tabs>
          <w:tab w:val="num" w:pos="0"/>
        </w:tabs>
        <w:ind w:start="574" w:hanging="432"/>
      </w:pPr>
      <w:rPr>
        <w:rFonts w:ascii="Times New Roman" w:hAnsi="Times New Roman" w:cs="Times New Roman"/>
      </w:rPr>
    </w:lvl>
    <w:lvl w:ilvl="2">
      <w:start w:val="1"/>
      <w:numFmt w:val="decimal"/>
      <w:lvlText w:val="%1.%2.%3."/>
      <w:lvlJc w:val="start"/>
      <w:pPr>
        <w:tabs>
          <w:tab w:val="num" w:pos="0"/>
        </w:tabs>
        <w:ind w:start="1224" w:hanging="504"/>
      </w:pPr>
      <w:rPr/>
    </w:lvl>
    <w:lvl w:ilvl="3">
      <w:start w:val="1"/>
      <w:numFmt w:val="decimal"/>
      <w:lvlText w:val="%1.%2.%3.%4."/>
      <w:lvlJc w:val="start"/>
      <w:pPr>
        <w:tabs>
          <w:tab w:val="num" w:pos="0"/>
        </w:tabs>
        <w:ind w:start="1728" w:hanging="648"/>
      </w:pPr>
      <w:rPr/>
    </w:lvl>
    <w:lvl w:ilvl="4">
      <w:start w:val="1"/>
      <w:numFmt w:val="decimal"/>
      <w:lvlText w:val="%1.%2.%3.%4.%5."/>
      <w:lvlJc w:val="start"/>
      <w:pPr>
        <w:tabs>
          <w:tab w:val="num" w:pos="0"/>
        </w:tabs>
        <w:ind w:start="2232" w:hanging="792"/>
      </w:pPr>
      <w:rPr/>
    </w:lvl>
    <w:lvl w:ilvl="5">
      <w:start w:val="1"/>
      <w:numFmt w:val="decimal"/>
      <w:lvlText w:val="%1.%2.%3.%4.%5.%6."/>
      <w:lvlJc w:val="start"/>
      <w:pPr>
        <w:tabs>
          <w:tab w:val="num" w:pos="0"/>
        </w:tabs>
        <w:ind w:start="2736" w:hanging="936"/>
      </w:pPr>
      <w:rPr/>
    </w:lvl>
    <w:lvl w:ilvl="6">
      <w:start w:val="1"/>
      <w:numFmt w:val="decimal"/>
      <w:lvlText w:val="%1.%2.%3.%4.%5.%6.%7."/>
      <w:lvlJc w:val="start"/>
      <w:pPr>
        <w:tabs>
          <w:tab w:val="num" w:pos="0"/>
        </w:tabs>
        <w:ind w:start="3240" w:hanging="1080"/>
      </w:pPr>
      <w:rPr/>
    </w:lvl>
    <w:lvl w:ilvl="7">
      <w:start w:val="1"/>
      <w:numFmt w:val="decimal"/>
      <w:lvlText w:val="%1.%2.%3.%4.%5.%6.%7.%8."/>
      <w:lvlJc w:val="start"/>
      <w:pPr>
        <w:tabs>
          <w:tab w:val="num" w:pos="0"/>
        </w:tabs>
        <w:ind w:start="3744" w:hanging="1224"/>
      </w:pPr>
      <w:rPr/>
    </w:lvl>
    <w:lvl w:ilvl="8">
      <w:start w:val="1"/>
      <w:numFmt w:val="decimal"/>
      <w:lvlText w:val="%1.%2.%3.%4.%5.%6.%7.%8.%9."/>
      <w:lvlJc w:val="start"/>
      <w:pPr>
        <w:tabs>
          <w:tab w:val="num" w:pos="0"/>
        </w:tabs>
        <w:ind w:start="4320" w:hanging="1440"/>
      </w:pPr>
      <w:rPr/>
    </w:lvl>
  </w:abstractNum>
  <w:abstractNum w:abstractNumId="5">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true"/>
  <w:footnotePr>
    <w:numFmt w:val="decimal"/>
    <w:footnote w:id="0"/>
    <w:footnote w:id="1"/>
  </w:footnotePr>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 w:val="22"/>
        <w:szCs w:val="22"/>
        <w:lang w:val="en-US" w:eastAsia="en-US" w:bidi="ar-SA"/>
      </w:rPr>
    </w:rPrDefault>
    <w:pPrDefault>
      <w:pPr>
        <w:suppressAutoHyphens w:val="true"/>
      </w:pPr>
    </w:pPrDefault>
  </w:docDefaults>
  <w:style w:type="paragraph" w:styleId="Normal">
    <w:name w:val="Normal"/>
    <w:qFormat/>
    <w:pPr>
      <w:widowControl/>
      <w:suppressAutoHyphens w:val="true"/>
      <w:overflowPunct w:val="true"/>
      <w:bidi w:val="0"/>
      <w:spacing w:lineRule="auto" w:line="276" w:before="0" w:after="200"/>
      <w:jc w:val="start"/>
    </w:pPr>
    <w:rPr>
      <w:rFonts w:ascii="Calibri" w:hAnsi="Calibri" w:eastAsia="Calibri" w:cs="Tahoma"/>
      <w:color w:val="auto"/>
      <w:kern w:val="0"/>
      <w:sz w:val="22"/>
      <w:szCs w:val="22"/>
      <w:lang w:val="lv-LV" w:eastAsia="lv-LV" w:bidi="ar-SA"/>
    </w:rPr>
  </w:style>
  <w:style w:type="paragraph" w:styleId="Heading1">
    <w:name w:val="Heading 1"/>
    <w:basedOn w:val="Normal"/>
    <w:next w:val="Normal"/>
    <w:link w:val="Heading1Char"/>
    <w:qFormat/>
    <w:pPr>
      <w:keepNext w:val="true"/>
      <w:numPr>
        <w:ilvl w:val="0"/>
        <w:numId w:val="3"/>
      </w:numPr>
      <w:spacing w:lineRule="auto" w:line="240" w:before="0" w:after="0"/>
      <w:outlineLvl w:val="0"/>
    </w:pPr>
    <w:rPr>
      <w:rFonts w:ascii="Times New Roman Bold" w:hAnsi="Times New Roman Bold" w:eastAsia="Times New Roman" w:cs="Times New Roman"/>
      <w:b/>
      <w:sz w:val="24"/>
      <w:szCs w:val="20"/>
      <w:lang w:eastAsia="en-US"/>
    </w:rPr>
  </w:style>
  <w:style w:type="paragraph" w:styleId="Heading2">
    <w:name w:val="Heading 2"/>
    <w:basedOn w:val="Normal"/>
    <w:next w:val="Normal"/>
    <w:link w:val="Heading2Char"/>
    <w:qFormat/>
    <w:pPr>
      <w:keepNext w:val="true"/>
      <w:widowControl w:val="false"/>
      <w:numPr>
        <w:ilvl w:val="0"/>
        <w:numId w:val="0"/>
      </w:numPr>
      <w:spacing w:lineRule="auto" w:line="240" w:before="0" w:after="0"/>
      <w:jc w:val="both"/>
      <w:outlineLvl w:val="1"/>
    </w:pPr>
    <w:rPr>
      <w:rFonts w:ascii="Times New Roman" w:hAnsi="Times New Roman" w:eastAsia="Times New Roman" w:cs="Times New Roman"/>
      <w:b/>
      <w:bCs/>
      <w:sz w:val="24"/>
      <w:szCs w:val="28"/>
      <w:lang w:eastAsia="en-US"/>
    </w:rPr>
  </w:style>
  <w:style w:type="paragraph" w:styleId="Heading3">
    <w:name w:val="Heading 3"/>
    <w:basedOn w:val="Normal"/>
    <w:next w:val="Normal"/>
    <w:link w:val="Heading3Char"/>
    <w:qFormat/>
    <w:pPr>
      <w:keepNext w:val="true"/>
      <w:keepLines/>
      <w:numPr>
        <w:ilvl w:val="0"/>
        <w:numId w:val="0"/>
      </w:numPr>
      <w:spacing w:before="40" w:after="0"/>
      <w:outlineLvl w:val="2"/>
    </w:pPr>
    <w:rPr>
      <w:rFonts w:ascii="Calibri Light" w:hAnsi="Calibri Light" w:eastAsia="Calibri" w:cs="Tahoma"/>
      <w:color w:themeColor="accent1" w:themeShade="7f" w:val="1F3763"/>
      <w:sz w:val="24"/>
      <w:szCs w:val="24"/>
    </w:rPr>
  </w:style>
  <w:style w:type="character" w:styleId="DefaultParagraphFont">
    <w:name w:val="Default Paragraph Font"/>
    <w:qFormat/>
    <w:rPr/>
  </w:style>
  <w:style w:type="character" w:styleId="BodyTextChar">
    <w:name w:val="Body Text Char"/>
    <w:basedOn w:val="DefaultParagraphFont"/>
    <w:qFormat/>
    <w:rPr>
      <w:rFonts w:ascii="Times New Roman" w:hAnsi="Times New Roman" w:eastAsia="Times New Roman" w:cs="Times New Roman"/>
      <w:sz w:val="24"/>
      <w:szCs w:val="20"/>
      <w:lang w:val="lv-LV" w:eastAsia="ar-SA"/>
    </w:rPr>
  </w:style>
  <w:style w:type="character" w:styleId="Hyperlink">
    <w:name w:val="Hyperlink"/>
    <w:basedOn w:val="DefaultParagraphFont"/>
    <w:rPr>
      <w:color w:themeColor="hyperlink" w:val="0563C1"/>
      <w:u w:val="single"/>
    </w:rPr>
  </w:style>
  <w:style w:type="character" w:styleId="FootnoteTextChar">
    <w:name w:val="Footnote Text Char"/>
    <w:basedOn w:val="DefaultParagraphFont"/>
    <w:qFormat/>
    <w:rPr>
      <w:rFonts w:eastAsia="Calibri"/>
      <w:sz w:val="20"/>
      <w:szCs w:val="20"/>
      <w:lang w:val="lv-LV" w:eastAsia="lv-LV"/>
    </w:rPr>
  </w:style>
  <w:style w:type="character" w:styleId="Vresrakstzmes">
    <w:name w:val="Vēres rakstzīmes"/>
    <w:link w:val="FootnoteRefernece"/>
    <w:qFormat/>
    <w:rPr>
      <w:vertAlign w:val="superscript"/>
    </w:rPr>
  </w:style>
  <w:style w:type="character" w:styleId="FootnoteReference">
    <w:name w:val="Footnote Reference"/>
    <w:rPr>
      <w:vertAlign w:val="superscript"/>
    </w:rPr>
  </w:style>
  <w:style w:type="character" w:styleId="UnresolvedMention1">
    <w:name w:val="Unresolved Mention1"/>
    <w:basedOn w:val="DefaultParagraphFont"/>
    <w:qFormat/>
    <w:rPr>
      <w:color w:val="605E5C"/>
      <w:shd w:fill="E1DFDD" w:val="clear"/>
    </w:rPr>
  </w:style>
  <w:style w:type="character" w:styleId="SubtleEmphasis">
    <w:name w:val="Subtle Emphasis"/>
    <w:qFormat/>
    <w:rPr>
      <w:i/>
      <w:iCs/>
      <w:color w:val="808080"/>
    </w:rPr>
  </w:style>
  <w:style w:type="character" w:styleId="HeaderChar">
    <w:name w:val="Header Char"/>
    <w:basedOn w:val="DefaultParagraphFont"/>
    <w:qFormat/>
    <w:rPr>
      <w:rFonts w:eastAsia="Calibri"/>
      <w:lang w:val="lv-LV" w:eastAsia="lv-LV"/>
    </w:rPr>
  </w:style>
  <w:style w:type="character" w:styleId="FooterChar">
    <w:name w:val="Footer Char"/>
    <w:basedOn w:val="DefaultParagraphFont"/>
    <w:qFormat/>
    <w:rPr>
      <w:rFonts w:eastAsia="Calibri"/>
      <w:lang w:val="lv-LV" w:eastAsia="lv-LV"/>
    </w:rPr>
  </w:style>
  <w:style w:type="character" w:styleId="HeaderChar1">
    <w:name w:val="Header Char1"/>
    <w:qFormat/>
    <w:rPr>
      <w:rFonts w:ascii="Times New Roman" w:hAnsi="Times New Roman" w:eastAsia="Times New Roman" w:cs="Times New Roman"/>
      <w:sz w:val="24"/>
      <w:szCs w:val="24"/>
      <w:lang w:eastAsia="en-US"/>
    </w:rPr>
  </w:style>
  <w:style w:type="character" w:styleId="BodyTextIndent3Char">
    <w:name w:val="Body Text Indent 3 Char"/>
    <w:basedOn w:val="DefaultParagraphFont"/>
    <w:link w:val="BodyTextIndent3"/>
    <w:qFormat/>
    <w:rPr>
      <w:rFonts w:eastAsia="Calibri"/>
      <w:sz w:val="16"/>
      <w:szCs w:val="16"/>
      <w:lang w:val="lv-LV" w:eastAsia="lv-LV"/>
    </w:rPr>
  </w:style>
  <w:style w:type="character" w:styleId="ListParagraphChar">
    <w:name w:val="List Paragraph Char"/>
    <w:link w:val="ListParagraph"/>
    <w:qFormat/>
    <w:rPr>
      <w:rFonts w:eastAsia="Calibri"/>
      <w:lang w:val="lv-LV" w:eastAsia="lv-LV"/>
    </w:rPr>
  </w:style>
  <w:style w:type="character" w:styleId="ApakpunktsChar">
    <w:name w:val="Apakšpunkts Char"/>
    <w:link w:val="Apakpunkts"/>
    <w:qFormat/>
    <w:rPr>
      <w:rFonts w:ascii="Arial" w:hAnsi="Arial" w:eastAsia="Droid Sans Fallback" w:cs="Arial"/>
      <w:b/>
      <w:sz w:val="20"/>
      <w:szCs w:val="24"/>
      <w:lang w:val="lv-LV" w:eastAsia="zh-CN" w:bidi="hi-IN"/>
    </w:rPr>
  </w:style>
  <w:style w:type="character" w:styleId="NoSpacingChar">
    <w:name w:val="No Spacing Char"/>
    <w:basedOn w:val="DefaultParagraphFont"/>
    <w:link w:val="NoSpacing"/>
    <w:qFormat/>
    <w:rPr>
      <w:rFonts w:ascii="Times New Roman" w:hAnsi="Times New Roman" w:eastAsia="Times New Roman" w:cs="Times New Roman"/>
      <w:sz w:val="24"/>
      <w:szCs w:val="24"/>
      <w:lang w:val="lv-LV"/>
    </w:rPr>
  </w:style>
  <w:style w:type="character" w:styleId="FontStyle40">
    <w:name w:val="Font Style40"/>
    <w:qFormat/>
    <w:rPr>
      <w:rFonts w:ascii="Times New Roman" w:hAnsi="Times New Roman" w:cs="Times New Roman"/>
      <w:b/>
      <w:bCs w:val="false"/>
      <w:sz w:val="20"/>
    </w:rPr>
  </w:style>
  <w:style w:type="character" w:styleId="Heading1Char">
    <w:name w:val="Heading 1 Char"/>
    <w:basedOn w:val="DefaultParagraphFont"/>
    <w:qFormat/>
    <w:rPr>
      <w:rFonts w:ascii="Times New Roman Bold" w:hAnsi="Times New Roman Bold" w:eastAsia="Times New Roman" w:cs="Times New Roman"/>
      <w:b/>
      <w:sz w:val="24"/>
      <w:szCs w:val="20"/>
      <w:lang w:val="lv-LV"/>
    </w:rPr>
  </w:style>
  <w:style w:type="character" w:styleId="Heading2Char">
    <w:name w:val="Heading 2 Char"/>
    <w:basedOn w:val="DefaultParagraphFont"/>
    <w:qFormat/>
    <w:rPr>
      <w:rFonts w:ascii="Times New Roman" w:hAnsi="Times New Roman" w:eastAsia="Times New Roman" w:cs="Times New Roman"/>
      <w:b/>
      <w:bCs/>
      <w:sz w:val="24"/>
      <w:szCs w:val="28"/>
      <w:lang w:val="lv-LV"/>
    </w:rPr>
  </w:style>
  <w:style w:type="character" w:styleId="Heading3Char">
    <w:name w:val="Heading 3 Char"/>
    <w:basedOn w:val="DefaultParagraphFont"/>
    <w:qFormat/>
    <w:rPr>
      <w:rFonts w:ascii="Calibri Light" w:hAnsi="Calibri Light" w:eastAsia="Calibri" w:cs="Tahoma"/>
      <w:color w:themeColor="accent1" w:themeShade="7f" w:val="1F3763"/>
      <w:sz w:val="24"/>
      <w:szCs w:val="24"/>
      <w:lang w:val="lv-LV" w:eastAsia="lv-LV"/>
    </w:rPr>
  </w:style>
  <w:style w:type="character" w:styleId="BalloonTextChar">
    <w:name w:val="Balloon Text Char"/>
    <w:basedOn w:val="DefaultParagraphFont"/>
    <w:link w:val="BalloonText"/>
    <w:qFormat/>
    <w:rPr>
      <w:rFonts w:ascii="Segoe UI" w:hAnsi="Segoe UI" w:eastAsia="Calibri" w:cs="Segoe UI"/>
      <w:sz w:val="18"/>
      <w:szCs w:val="18"/>
      <w:lang w:val="lv-LV" w:eastAsia="lv-LV"/>
    </w:rPr>
  </w:style>
  <w:style w:type="character" w:styleId="Strong">
    <w:name w:val="Strong"/>
    <w:qFormat/>
    <w:rPr>
      <w:b/>
      <w:bCs/>
    </w:rPr>
  </w:style>
  <w:style w:type="character" w:styleId="FollowedHyperlink">
    <w:name w:val="FollowedHyperlink"/>
    <w:rPr>
      <w:color w:val="800080"/>
      <w:u w:val="single"/>
    </w:rPr>
  </w:style>
  <w:style w:type="character" w:styleId="Numuranassimboli">
    <w:name w:val="Numurēšanas simboli"/>
    <w:qFormat/>
    <w:rPr/>
  </w:style>
  <w:style w:type="character" w:styleId="Aizzmes">
    <w:name w:val="Aizzīmes"/>
    <w:qFormat/>
    <w:rPr>
      <w:rFonts w:ascii="OpenSymbol" w:hAnsi="OpenSymbol" w:eastAsia="OpenSymbol" w:cs="OpenSymbol"/>
    </w:rPr>
  </w:style>
  <w:style w:type="character" w:styleId="Beiguvresrakstzme">
    <w:name w:val="Beigu vēres rakstzīme"/>
    <w:qFormat/>
    <w:rPr>
      <w:vertAlign w:val="superscript"/>
    </w:rPr>
  </w:style>
  <w:style w:type="character" w:styleId="EndnoteReference">
    <w:name w:val="Endnote Reference"/>
    <w:rPr>
      <w:vertAlign w:val="superscript"/>
    </w:rPr>
  </w:style>
  <w:style w:type="character" w:styleId="UnresolvedMention">
    <w:name w:val="Unresolved Mention"/>
    <w:basedOn w:val="DefaultParagraphFont"/>
    <w:qFormat/>
    <w:rPr>
      <w:color w:val="605E5C"/>
      <w:shd w:fill="E1DFDD" w:val="clear"/>
    </w:rPr>
  </w:style>
  <w:style w:type="character" w:styleId="LineNumber">
    <w:name w:val="Line Number"/>
    <w:rPr/>
  </w:style>
  <w:style w:type="paragraph" w:styleId="Virsraksts">
    <w:name w:val="Virsraksts"/>
    <w:basedOn w:val="Normal"/>
    <w:next w:val="BodyText"/>
    <w:qFormat/>
    <w:pPr>
      <w:keepNext w:val="true"/>
      <w:spacing w:before="240" w:after="120"/>
    </w:pPr>
    <w:rPr>
      <w:rFonts w:ascii="Liberation Sans" w:hAnsi="Liberation Sans" w:eastAsia="Microsoft YaHei" w:cs="Arial Unicode MS"/>
      <w:sz w:val="28"/>
      <w:szCs w:val="28"/>
    </w:rPr>
  </w:style>
  <w:style w:type="paragraph" w:styleId="BodyText">
    <w:name w:val="Body Text"/>
    <w:basedOn w:val="Normal"/>
    <w:link w:val="BodyTextChar"/>
    <w:pPr>
      <w:spacing w:lineRule="auto" w:line="240" w:before="0" w:after="120"/>
      <w:textAlignment w:val="baseline"/>
    </w:pPr>
    <w:rPr>
      <w:rFonts w:ascii="Times New Roman" w:hAnsi="Times New Roman" w:eastAsia="Times New Roman" w:cs="Times New Roman"/>
      <w:sz w:val="24"/>
      <w:szCs w:val="20"/>
      <w:lang w:eastAsia="ar-SA"/>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Rdtjs">
    <w:name w:val="Rādītājs"/>
    <w:basedOn w:val="Normal"/>
    <w:qFormat/>
    <w:pPr>
      <w:suppressLineNumbers/>
    </w:pPr>
    <w:rPr>
      <w:rFonts w:cs="Arial Unicode MS"/>
    </w:rPr>
  </w:style>
  <w:style w:type="paragraph" w:styleId="Caption1">
    <w:name w:val="caption1"/>
    <w:basedOn w:val="Normal"/>
    <w:qFormat/>
    <w:pPr>
      <w:suppressLineNumbers/>
      <w:spacing w:before="120" w:after="120"/>
    </w:pPr>
    <w:rPr>
      <w:rFonts w:cs="Arial Unicode MS"/>
      <w:i/>
      <w:iCs/>
      <w:sz w:val="24"/>
      <w:szCs w:val="24"/>
    </w:rPr>
  </w:style>
  <w:style w:type="paragraph" w:styleId="Default">
    <w:name w:val="Default"/>
    <w:qFormat/>
    <w:pPr>
      <w:widowControl/>
      <w:suppressAutoHyphens w:val="true"/>
      <w:overflowPunct w:val="true"/>
      <w:bidi w:val="0"/>
      <w:spacing w:before="0" w:after="0"/>
      <w:jc w:val="start"/>
    </w:pPr>
    <w:rPr>
      <w:rFonts w:ascii="Times New Roman" w:hAnsi="Times New Roman" w:eastAsia="Calibri" w:cs="Times New Roman"/>
      <w:color w:val="000000"/>
      <w:kern w:val="0"/>
      <w:sz w:val="24"/>
      <w:szCs w:val="24"/>
      <w:lang w:val="lv-LV" w:eastAsia="lv-LV" w:bidi="ar-SA"/>
    </w:rPr>
  </w:style>
  <w:style w:type="paragraph" w:styleId="FootnoteText">
    <w:name w:val="Footnote Text"/>
    <w:basedOn w:val="Normal"/>
    <w:link w:val="FootnoteTextChar"/>
    <w:pPr>
      <w:spacing w:lineRule="auto" w:line="240" w:before="0" w:after="0"/>
    </w:pPr>
    <w:rPr>
      <w:sz w:val="20"/>
      <w:szCs w:val="20"/>
    </w:rPr>
  </w:style>
  <w:style w:type="paragraph" w:styleId="Galveneunkjene">
    <w:name w:val="Galvene un kājene"/>
    <w:basedOn w:val="Normal"/>
    <w:qFormat/>
    <w:pPr/>
    <w:rPr/>
  </w:style>
  <w:style w:type="paragraph" w:styleId="Header">
    <w:name w:val="Header"/>
    <w:basedOn w:val="Normal"/>
    <w:link w:val="HeaderChar"/>
    <w:pPr>
      <w:tabs>
        <w:tab w:val="clear" w:pos="720"/>
        <w:tab w:val="center" w:pos="4320" w:leader="none"/>
        <w:tab w:val="right" w:pos="8640" w:leader="none"/>
      </w:tabs>
      <w:spacing w:lineRule="auto" w:line="240" w:before="0" w:after="0"/>
    </w:pPr>
    <w:rPr/>
  </w:style>
  <w:style w:type="paragraph" w:styleId="Footer">
    <w:name w:val="Footer"/>
    <w:basedOn w:val="Normal"/>
    <w:link w:val="FooterChar"/>
    <w:pPr>
      <w:tabs>
        <w:tab w:val="clear" w:pos="720"/>
        <w:tab w:val="center" w:pos="4320" w:leader="none"/>
        <w:tab w:val="right" w:pos="8640" w:leader="none"/>
      </w:tabs>
      <w:spacing w:lineRule="auto" w:line="240" w:before="0" w:after="0"/>
    </w:pPr>
    <w:rPr/>
  </w:style>
  <w:style w:type="paragraph" w:styleId="FootnoteRefernece">
    <w:name w:val="Footnote Refernece"/>
    <w:basedOn w:val="Normal"/>
    <w:next w:val="Normal"/>
    <w:qFormat/>
    <w:pPr>
      <w:spacing w:lineRule="exact" w:line="240" w:before="0" w:after="160"/>
      <w:jc w:val="both"/>
      <w:textAlignment w:val="baseline"/>
    </w:pPr>
    <w:rPr>
      <w:rFonts w:eastAsia="Calibri"/>
      <w:vertAlign w:val="superscript"/>
      <w:lang w:val="en-US" w:eastAsia="en-US"/>
    </w:rPr>
  </w:style>
  <w:style w:type="paragraph" w:styleId="BodyTextIndent3">
    <w:name w:val="Body Text Indent 3"/>
    <w:basedOn w:val="Normal"/>
    <w:link w:val="BodyTextIndent3Char"/>
    <w:qFormat/>
    <w:pPr>
      <w:spacing w:before="0" w:after="120"/>
      <w:ind w:start="283"/>
    </w:pPr>
    <w:rPr>
      <w:sz w:val="16"/>
      <w:szCs w:val="16"/>
    </w:rPr>
  </w:style>
  <w:style w:type="paragraph" w:styleId="ListParagraph">
    <w:name w:val="List Paragraph"/>
    <w:basedOn w:val="Normal"/>
    <w:link w:val="ListParagraphChar"/>
    <w:qFormat/>
    <w:pPr>
      <w:spacing w:before="0" w:after="200"/>
      <w:ind w:start="720"/>
      <w:contextualSpacing/>
    </w:pPr>
    <w:rPr/>
  </w:style>
  <w:style w:type="paragraph" w:styleId="Apakpunkts">
    <w:name w:val="Apakšpunkts"/>
    <w:basedOn w:val="Normal"/>
    <w:link w:val="ApakpunktsChar"/>
    <w:qFormat/>
    <w:pPr>
      <w:tabs>
        <w:tab w:val="clear" w:pos="720"/>
        <w:tab w:val="left" w:pos="851" w:leader="none"/>
      </w:tabs>
      <w:spacing w:lineRule="auto" w:line="240" w:before="0" w:after="0"/>
      <w:ind w:hanging="851" w:start="851"/>
    </w:pPr>
    <w:rPr>
      <w:rFonts w:ascii="Arial" w:hAnsi="Arial" w:eastAsia="Droid Sans Fallback" w:cs="Arial"/>
      <w:b/>
      <w:sz w:val="20"/>
      <w:szCs w:val="24"/>
      <w:lang w:eastAsia="zh-CN" w:bidi="hi-IN"/>
    </w:rPr>
  </w:style>
  <w:style w:type="paragraph" w:styleId="NoSpacing">
    <w:name w:val="No Spacing"/>
    <w:link w:val="NoSpacingChar"/>
    <w:qFormat/>
    <w:pPr>
      <w:widowControl w:val="false"/>
      <w:suppressAutoHyphens w:val="true"/>
      <w:overflowPunct w:val="true"/>
      <w:bidi w:val="0"/>
      <w:spacing w:before="0" w:after="0"/>
      <w:jc w:val="start"/>
    </w:pPr>
    <w:rPr>
      <w:rFonts w:ascii="Times New Roman" w:hAnsi="Times New Roman" w:eastAsia="Times New Roman" w:cs="Times New Roman"/>
      <w:color w:val="auto"/>
      <w:kern w:val="0"/>
      <w:sz w:val="24"/>
      <w:szCs w:val="24"/>
      <w:lang w:val="lv-LV" w:eastAsia="en-US" w:bidi="ar-SA"/>
    </w:rPr>
  </w:style>
  <w:style w:type="paragraph" w:styleId="Numeracija">
    <w:name w:val="Numeracija"/>
    <w:basedOn w:val="Normal"/>
    <w:qFormat/>
    <w:pPr>
      <w:numPr>
        <w:ilvl w:val="0"/>
        <w:numId w:val="1"/>
      </w:numPr>
      <w:spacing w:lineRule="auto" w:line="240" w:before="0" w:after="0"/>
      <w:jc w:val="both"/>
    </w:pPr>
    <w:rPr>
      <w:rFonts w:ascii="Times New Roman" w:hAnsi="Times New Roman" w:eastAsia="Times New Roman" w:cs="Times New Roman"/>
      <w:sz w:val="26"/>
      <w:szCs w:val="24"/>
      <w:lang w:eastAsia="en-US"/>
    </w:rPr>
  </w:style>
  <w:style w:type="paragraph" w:styleId="Style11">
    <w:name w:val="Style1"/>
    <w:autoRedefine/>
    <w:qFormat/>
    <w:pPr>
      <w:widowControl/>
      <w:numPr>
        <w:ilvl w:val="1"/>
        <w:numId w:val="1"/>
      </w:numPr>
      <w:suppressAutoHyphens w:val="true"/>
      <w:overflowPunct w:val="true"/>
      <w:bidi w:val="0"/>
      <w:spacing w:before="0" w:after="0"/>
      <w:ind w:hanging="426" w:start="993"/>
      <w:jc w:val="both"/>
    </w:pPr>
    <w:rPr>
      <w:rFonts w:ascii="Times New Roman" w:hAnsi="Times New Roman" w:eastAsia="Times New Roman" w:cs="Times New Roman"/>
      <w:bCs/>
      <w:color w:val="000000"/>
      <w:kern w:val="0"/>
      <w:sz w:val="24"/>
      <w:szCs w:val="24"/>
      <w:lang w:val="lv-LV" w:eastAsia="en-US" w:bidi="ar-SA"/>
    </w:rPr>
  </w:style>
  <w:style w:type="paragraph" w:styleId="Bezatstarpm1">
    <w:name w:val="Bez atstarpēm1"/>
    <w:qFormat/>
    <w:pPr>
      <w:widowControl/>
      <w:suppressAutoHyphens w:val="true"/>
      <w:overflowPunct w:val="true"/>
      <w:bidi w:val="0"/>
      <w:spacing w:before="0" w:after="0"/>
      <w:jc w:val="start"/>
    </w:pPr>
    <w:rPr>
      <w:rFonts w:ascii="Calibri" w:hAnsi="Calibri" w:eastAsia="Times New Roman" w:cs="Times New Roman"/>
      <w:color w:val="auto"/>
      <w:kern w:val="0"/>
      <w:sz w:val="22"/>
      <w:szCs w:val="22"/>
      <w:lang w:val="lv-LV" w:eastAsia="lv-LV" w:bidi="ar-SA"/>
    </w:rPr>
  </w:style>
  <w:style w:type="paragraph" w:styleId="Naisf">
    <w:name w:val="naisf"/>
    <w:basedOn w:val="Normal"/>
    <w:qFormat/>
    <w:pPr>
      <w:spacing w:lineRule="auto" w:line="240" w:before="280" w:after="280"/>
      <w:jc w:val="both"/>
    </w:pPr>
    <w:rPr>
      <w:rFonts w:ascii="Times New Roman" w:hAnsi="Times New Roman" w:eastAsia="Times New Roman" w:cs="Calibri"/>
      <w:kern w:val="2"/>
      <w:sz w:val="24"/>
      <w:szCs w:val="24"/>
      <w:lang w:val="en-GB" w:eastAsia="ar-SA"/>
    </w:rPr>
  </w:style>
  <w:style w:type="paragraph" w:styleId="Lmenis1">
    <w:name w:val="Līmenis1"/>
    <w:basedOn w:val="Normal"/>
    <w:qFormat/>
    <w:pPr>
      <w:keepNext w:val="true"/>
      <w:keepLines/>
      <w:numPr>
        <w:ilvl w:val="0"/>
        <w:numId w:val="2"/>
      </w:numPr>
      <w:spacing w:lineRule="auto" w:line="288" w:before="120" w:after="0"/>
      <w:ind w:hanging="1" w:start="360"/>
      <w:textAlignment w:val="top"/>
      <w:outlineLvl w:val="0"/>
    </w:pPr>
    <w:rPr>
      <w:rFonts w:eastAsia="Arial" w:cs="Times New Roman"/>
      <w:b/>
      <w:position w:val="-1"/>
      <w:sz w:val="24"/>
      <w:lang w:eastAsia="en-US"/>
    </w:rPr>
  </w:style>
  <w:style w:type="paragraph" w:styleId="Lmenis2">
    <w:name w:val="Līmenis2"/>
    <w:basedOn w:val="Normal"/>
    <w:qFormat/>
    <w:pPr>
      <w:keepLines/>
      <w:numPr>
        <w:ilvl w:val="1"/>
        <w:numId w:val="2"/>
      </w:numPr>
      <w:tabs>
        <w:tab w:val="clear" w:pos="720"/>
        <w:tab w:val="left" w:pos="709" w:leader="none"/>
      </w:tabs>
      <w:spacing w:lineRule="auto" w:line="288" w:before="0" w:after="120"/>
      <w:ind w:hanging="1" w:start="502"/>
      <w:jc w:val="both"/>
      <w:textAlignment w:val="top"/>
      <w:outlineLvl w:val="0"/>
    </w:pPr>
    <w:rPr>
      <w:rFonts w:eastAsia="Arial" w:cs="Times New Roman"/>
      <w:position w:val="-1"/>
      <w:lang w:eastAsia="en-US"/>
    </w:rPr>
  </w:style>
  <w:style w:type="paragraph" w:styleId="Lmenis3">
    <w:name w:val="Līmenis3"/>
    <w:basedOn w:val="Normal"/>
    <w:qFormat/>
    <w:pPr>
      <w:keepLines/>
      <w:numPr>
        <w:ilvl w:val="2"/>
        <w:numId w:val="2"/>
      </w:numPr>
      <w:tabs>
        <w:tab w:val="clear" w:pos="720"/>
        <w:tab w:val="left" w:pos="993" w:leader="none"/>
      </w:tabs>
      <w:spacing w:lineRule="auto" w:line="288" w:before="0" w:after="120"/>
      <w:ind w:hanging="720" w:start="1004"/>
      <w:jc w:val="both"/>
      <w:textAlignment w:val="top"/>
      <w:outlineLvl w:val="0"/>
    </w:pPr>
    <w:rPr>
      <w:rFonts w:eastAsia="Arial" w:cs="Times New Roman"/>
      <w:position w:val="-1"/>
      <w:lang w:eastAsia="en-US"/>
    </w:rPr>
  </w:style>
  <w:style w:type="paragraph" w:styleId="BalloonText">
    <w:name w:val="Balloon Text"/>
    <w:basedOn w:val="Normal"/>
    <w:link w:val="BalloonTextChar"/>
    <w:qFormat/>
    <w:pPr>
      <w:spacing w:lineRule="auto" w:line="240" w:before="0" w:after="0"/>
    </w:pPr>
    <w:rPr>
      <w:rFonts w:ascii="Segoe UI" w:hAnsi="Segoe UI" w:cs="Segoe UI"/>
      <w:sz w:val="18"/>
      <w:szCs w:val="18"/>
    </w:rPr>
  </w:style>
  <w:style w:type="paragraph" w:styleId="Saturardtjs">
    <w:name w:val="Satura rādītājs"/>
    <w:basedOn w:val="Normal"/>
    <w:qFormat/>
    <w:pPr>
      <w:widowControl w:val="false"/>
      <w:suppressLineNumbers/>
    </w:pPr>
    <w:rPr/>
  </w:style>
  <w:style w:type="paragraph" w:styleId="Tabulasvirsraksts">
    <w:name w:val="Tabulas virsraksts"/>
    <w:basedOn w:val="Saturardtjs"/>
    <w:qFormat/>
    <w:pPr>
      <w:jc w:val="center"/>
    </w:pPr>
    <w:rPr>
      <w:b/>
      <w:bCs/>
    </w:rPr>
  </w:style>
  <w:style w:type="paragraph" w:styleId="Revision">
    <w:name w:val="Revision"/>
    <w:qFormat/>
    <w:pPr>
      <w:widowControl/>
      <w:suppressAutoHyphens w:val="false"/>
      <w:overflowPunct w:val="true"/>
      <w:bidi w:val="0"/>
      <w:spacing w:before="0" w:after="0"/>
      <w:jc w:val="start"/>
    </w:pPr>
    <w:rPr>
      <w:rFonts w:ascii="Calibri" w:hAnsi="Calibri" w:eastAsia="Calibri" w:cs="Tahoma"/>
      <w:color w:val="auto"/>
      <w:kern w:val="0"/>
      <w:sz w:val="22"/>
      <w:szCs w:val="22"/>
      <w:lang w:val="lv-LV" w:eastAsia="lv-LV" w:bidi="ar-SA"/>
    </w:rPr>
  </w:style>
  <w:style w:type="numbering" w:styleId="NoList">
    <w:name w:val="No List"/>
    <w:qFormat/>
  </w:style>
  <w:style w:type="numbering" w:styleId="Style11121">
    <w:name w:val="Style1112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sekretars@mfd.lv" TargetMode="External"/><Relationship Id="rId4" Type="http://schemas.openxmlformats.org/officeDocument/2006/relationships/hyperlink" Target="mailto:inese.volka@mfd.lv" TargetMode="External"/><Relationship Id="rId5" Type="http://schemas.openxmlformats.org/officeDocument/2006/relationships/hyperlink" Target="mailto:iepirkumi@mfd.lv" TargetMode="External"/><Relationship Id="rId6" Type="http://schemas.openxmlformats.org/officeDocument/2006/relationships/hyperlink" Target="http://www.ur.gov.lv/" TargetMode="External"/><Relationship Id="rId7" Type="http://schemas.openxmlformats.org/officeDocument/2006/relationships/hyperlink" Target="https://bis.gov.lv/registri/buvniecibas-informacijas-sistemas-registri" TargetMode="External"/><Relationship Id="rId8" Type="http://schemas.openxmlformats.org/officeDocument/2006/relationships/hyperlink" Target="mailto:iepirkumi@mfd.lv" TargetMode="Externa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footnotes" Target="footnotes.xml"/><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425</TotalTime>
  <Application>LibreOffice/24.2.1.2$Windows_X86_64 LibreOffice_project/db4def46b0453cc22e2d0305797cf981b68ef5ac</Application>
  <AppVersion>15.0000</AppVersion>
  <Pages>8</Pages>
  <Words>2696</Words>
  <Characters>19913</Characters>
  <CharactersWithSpaces>22430</CharactersWithSpaces>
  <Paragraphs>160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2026-02-17T09:37:00Z</dcterms:created>
  <dc:creator>Jelena Sceglova</dc:creator>
  <dc:description/>
  <dc:language>en-US</dc:language>
  <cp:lastModifiedBy/>
  <cp:lastPrinted>2025-08-01T08:36:00Z</cp:lastPrinted>
  <dcterms:modified xsi:type="dcterms:W3CDTF">2026-03-13T15:44:01Z</dcterms:modified>
  <cp:revision>43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6356e973-9dc1-4581-b262-ff1625992239</vt:lpwstr>
  </property>
</Properties>
</file>