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end"/>
        <w:rPr>
          <w:b/>
          <w:bCs/>
        </w:rPr>
      </w:pPr>
      <w:r>
        <w:rPr>
          <w:b/>
          <w:bCs/>
        </w:rPr>
        <w:t>APSTIPRINĀTS</w:t>
      </w:r>
    </w:p>
    <w:p>
      <w:pPr>
        <w:pStyle w:val="Default"/>
        <w:jc w:val="end"/>
        <w:rPr/>
      </w:pPr>
      <w:r>
        <w:rPr/>
        <w:t>ar Sabiedrības ar ierobežotu atbildību „BALT INFO LAB”</w:t>
      </w:r>
    </w:p>
    <w:p>
      <w:pPr>
        <w:pStyle w:val="Normal"/>
        <w:spacing w:before="0" w:after="0"/>
        <w:jc w:val="end"/>
        <w:rPr>
          <w:highlight w:val="none"/>
          <w:shd w:fill="auto" w:val="clear"/>
        </w:rPr>
      </w:pPr>
      <w:r>
        <w:rPr>
          <w:rFonts w:cs="Times New Roman" w:ascii="Times New Roman" w:hAnsi="Times New Roman"/>
          <w:sz w:val="24"/>
          <w:szCs w:val="24"/>
          <w:shd w:fill="auto" w:val="clear"/>
        </w:rPr>
        <w:t>06.03.2026. rīkojumu Nr. 01/05</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pPr>
      <w:r>
        <w:rPr/>
      </w:r>
    </w:p>
    <w:p>
      <w:pPr>
        <w:pStyle w:val="Normal"/>
        <w:rPr/>
      </w:pPr>
      <w:r>
        <w:rPr/>
      </w:r>
    </w:p>
    <w:p>
      <w:pPr>
        <w:pStyle w:val="Normal"/>
        <w:spacing w:lineRule="auto" w:line="240" w:before="0" w:after="0"/>
        <w:jc w:val="center"/>
        <w:rPr>
          <w:rFonts w:ascii="Times New Roman" w:hAnsi="Times New Roman"/>
        </w:rPr>
      </w:pPr>
      <w:r>
        <w:rPr>
          <w:rFonts w:ascii="Times New Roman" w:hAnsi="Times New Roman"/>
        </w:rPr>
      </w:r>
    </w:p>
    <w:p>
      <w:pPr>
        <w:pStyle w:val="Normal"/>
        <w:rPr/>
      </w:pPr>
      <w:r>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360" w:before="0" w:after="0"/>
        <w:jc w:val="center"/>
        <w:rPr>
          <w:b/>
          <w:caps/>
          <w:sz w:val="28"/>
          <w:szCs w:val="28"/>
        </w:rPr>
      </w:pPr>
      <w:bookmarkStart w:id="0" w:name="_Hlk83641239"/>
      <w:r>
        <w:rPr>
          <w:b/>
          <w:caps/>
          <w:sz w:val="28"/>
          <w:szCs w:val="28"/>
        </w:rPr>
        <w:t>vienkāršotie atjaunošanas darbi telpu pielāgošanai vides pieejamības nodrošināšanai valdeķu ielā 65</w:t>
      </w:r>
      <w:bookmarkEnd w:id="0"/>
    </w:p>
    <w:p>
      <w:pPr>
        <w:pStyle w:val="Normal"/>
        <w:spacing w:lineRule="auto" w:line="240"/>
        <w:jc w:val="center"/>
        <w:rPr>
          <w:rFonts w:ascii="Times New Roman" w:hAnsi="Times New Roman" w:eastAsia="Times New Roman" w:cs="Times New Roman"/>
          <w:b/>
          <w:bCs/>
          <w:iCs/>
          <w:kern w:val="2"/>
          <w:sz w:val="28"/>
          <w:szCs w:val="28"/>
          <w:lang w:eastAsia="hi-IN" w:bidi="hi-IN"/>
        </w:rPr>
      </w:pPr>
      <w:r>
        <w:rPr>
          <w:rFonts w:eastAsia="Times New Roman" w:cs="Times New Roman" w:ascii="Times New Roman" w:hAnsi="Times New Roman"/>
          <w:b/>
          <w:bCs/>
          <w:iCs/>
          <w:kern w:val="2"/>
          <w:sz w:val="28"/>
          <w:szCs w:val="28"/>
          <w:lang w:eastAsia="hi-IN" w:bidi="hi-IN"/>
        </w:rPr>
      </w:r>
      <w:bookmarkStart w:id="1" w:name="_Hlk26801123"/>
      <w:bookmarkStart w:id="2" w:name="_Hlk26801123"/>
      <w:bookmarkEnd w:id="2"/>
    </w:p>
    <w:p>
      <w:pPr>
        <w:pStyle w:val="BodyText"/>
        <w:spacing w:lineRule="auto" w:line="360"/>
        <w:jc w:val="center"/>
        <w:rPr>
          <w:b/>
          <w:sz w:val="28"/>
          <w:szCs w:val="28"/>
        </w:rPr>
      </w:pPr>
      <w:r>
        <w:rPr>
          <w:b/>
          <w:bCs/>
          <w:sz w:val="28"/>
          <w:szCs w:val="28"/>
        </w:rPr>
        <w:t>IEPIRKUMA PROCEDŪRAS NOLIKUMS</w:t>
      </w:r>
    </w:p>
    <w:p>
      <w:pPr>
        <w:pStyle w:val="Normal"/>
        <w:spacing w:lineRule="auto" w:line="240" w:before="0" w:after="0"/>
        <w:ind w:start="426"/>
        <w:jc w:val="center"/>
        <w:rPr/>
      </w:pPr>
      <w:r>
        <w:rPr>
          <w:rFonts w:cs="Times New Roman" w:ascii="Times New Roman" w:hAnsi="Times New Roman"/>
          <w:bCs/>
          <w:i/>
          <w:iCs/>
          <w:sz w:val="24"/>
          <w:szCs w:val="24"/>
        </w:rPr>
        <w:t xml:space="preserve">Iepirkums tiek realizēts projekta Nr. 4.1.1.3/2/25/A/069 </w:t>
      </w:r>
      <w:r>
        <w:rPr>
          <w:rStyle w:val="Strong"/>
          <w:rFonts w:cs="Times New Roman" w:ascii="Times New Roman" w:hAnsi="Times New Roman"/>
          <w:b w:val="false"/>
          <w:bCs w:val="false"/>
          <w:i/>
          <w:iCs/>
          <w:sz w:val="24"/>
          <w:szCs w:val="24"/>
        </w:rPr>
        <w:t>Primārās veselības aprūpes lomas stiprināšana, attīstot infrastruktūru Sabiedrības ar ierobežotu atbildību “BALT INFO LAB” telpās</w:t>
      </w:r>
      <w:r>
        <w:rPr>
          <w:rFonts w:cs="Times New Roman" w:ascii="Times New Roman" w:hAnsi="Times New Roman"/>
          <w:bCs/>
          <w:i/>
          <w:iCs/>
          <w:sz w:val="24"/>
          <w:szCs w:val="24"/>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color w:val="auto"/>
          <w:kern w:val="0"/>
          <w:sz w:val="22"/>
          <w:szCs w:val="22"/>
          <w:lang w:val="lv-LV" w:eastAsia="lv-LV" w:bidi="ar-SA"/>
        </w:rPr>
        <w:t xml:space="preserve">ID Nr. </w:t>
      </w:r>
      <w:r>
        <w:rPr>
          <w:rFonts w:cs="Times New Roman" w:ascii="Times New Roman" w:hAnsi="Times New Roman"/>
          <w:b w:val="false"/>
          <w:bCs w:val="false"/>
          <w:color w:val="auto"/>
          <w:kern w:val="0"/>
          <w:sz w:val="22"/>
          <w:szCs w:val="22"/>
          <w:lang w:val="lv-LV" w:eastAsia="lv-LV" w:bidi="ar-SA"/>
        </w:rPr>
        <w:t>BIL-V65_01-2026</w:t>
      </w:r>
    </w:p>
    <w:p>
      <w:pPr>
        <w:pStyle w:val="Normal"/>
        <w:spacing w:lineRule="auto" w:line="240" w:before="0" w:after="0"/>
        <w:jc w:val="center"/>
        <w:rPr>
          <w:rFonts w:ascii="Times New Roman" w:hAnsi="Times New Roman"/>
        </w:rPr>
      </w:pPr>
      <w:r>
        <w:rPr>
          <w:rFonts w:ascii="Times New Roman" w:hAnsi="Times New Roman"/>
          <w:i/>
        </w:rPr>
        <w:t>(</w:t>
      </w:r>
      <w:r>
        <w:rPr>
          <w:rFonts w:ascii="Times New Roman" w:hAnsi="Times New Roman"/>
          <w:i/>
          <w:sz w:val="24"/>
          <w:szCs w:val="24"/>
        </w:rPr>
        <w:t>Eiropas Savienības kohēzijas fonda</w:t>
      </w:r>
      <w:r>
        <w:rPr>
          <w:rFonts w:ascii="Times New Roman" w:hAnsi="Times New Roman"/>
          <w:i/>
        </w:rPr>
        <w:t xml:space="preserve"> ietvaros)</w:t>
      </w:r>
    </w:p>
    <w:p>
      <w:pPr>
        <w:pStyle w:val="Normal"/>
        <w:spacing w:lineRule="auto" w:line="240" w:before="0" w:after="0"/>
        <w:rPr>
          <w:rFonts w:ascii="Times New Roman" w:hAnsi="Times New Roman"/>
          <w:bCs/>
          <w:sz w:val="28"/>
          <w:szCs w:val="28"/>
        </w:rPr>
      </w:pPr>
      <w:r>
        <w:rPr>
          <w:rFonts w:ascii="Times New Roman" w:hAnsi="Times New Roman"/>
          <w:bCs/>
          <w:sz w:val="28"/>
          <w:szCs w:val="28"/>
        </w:rPr>
      </w:r>
    </w:p>
    <w:p>
      <w:pPr>
        <w:pStyle w:val="Normal"/>
        <w:spacing w:lineRule="auto" w:line="240" w:before="0" w:after="0"/>
        <w:jc w:val="center"/>
        <w:rPr>
          <w:rFonts w:ascii="Times New Roman" w:hAnsi="Times New Roman"/>
        </w:rPr>
      </w:pPr>
      <w:r>
        <w:rPr/>
        <w:drawing>
          <wp:inline distT="0" distB="0" distL="0" distR="0">
            <wp:extent cx="1871980" cy="1014730"/>
            <wp:effectExtent l="0" t="0" r="0" b="0"/>
            <wp:docPr id="1"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title=""/>
                    <pic:cNvPicPr>
                      <a:picLocks noChangeAspect="1" noChangeArrowheads="1"/>
                    </pic:cNvPicPr>
                  </pic:nvPicPr>
                  <pic:blipFill>
                    <a:blip r:embed="rId2"/>
                    <a:stretch>
                      <a:fillRect/>
                    </a:stretch>
                  </pic:blipFill>
                  <pic:spPr bwMode="auto">
                    <a:xfrm>
                      <a:off x="0" y="0"/>
                      <a:ext cx="1871980" cy="1014730"/>
                    </a:xfrm>
                    <a:prstGeom prst="rect">
                      <a:avLst/>
                    </a:prstGeom>
                  </pic:spPr>
                </pic:pic>
              </a:graphicData>
            </a:graphic>
          </wp:inline>
        </w:drawing>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t>Rīgā, 2026</w:t>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widowControl/>
        <w:numPr>
          <w:ilvl w:val="0"/>
          <w:numId w:val="4"/>
        </w:numPr>
        <w:suppressAutoHyphens w:val="true"/>
        <w:bidi w:val="0"/>
        <w:spacing w:lineRule="auto" w:line="360" w:before="0" w:after="120"/>
        <w:jc w:val="center"/>
        <w:textAlignment w:val="baseline"/>
        <w:rPr>
          <w:b/>
          <w:bCs/>
          <w:szCs w:val="24"/>
        </w:rPr>
      </w:pPr>
      <w:r>
        <w:rPr>
          <w:b/>
          <w:bCs/>
          <w:szCs w:val="24"/>
        </w:rPr>
        <w:t>VISPĀRĪGĀ INFORMĀCIJA</w:t>
      </w:r>
    </w:p>
    <w:p>
      <w:pPr>
        <w:pStyle w:val="ListParagraph"/>
        <w:numPr>
          <w:ilvl w:val="1"/>
          <w:numId w:val="4"/>
        </w:numPr>
        <w:spacing w:lineRule="auto" w:line="259"/>
        <w:ind w:hanging="432" w:start="0"/>
        <w:jc w:val="both"/>
        <w:rPr>
          <w:rFonts w:ascii="Times New Roman" w:hAnsi="Times New Roman" w:eastAsia="Calibri" w:cs="Times New Roman"/>
          <w:kern w:val="2"/>
          <w:lang w:eastAsia="en-US"/>
        </w:rPr>
      </w:pPr>
      <w:r>
        <w:rPr>
          <w:rFonts w:eastAsia="Calibri" w:cs="Times New Roman" w:ascii="Times New Roman" w:hAnsi="Times New Roman"/>
          <w:color w:val="000000"/>
          <w:kern w:val="2"/>
          <w:shd w:fill="auto" w:val="clear"/>
          <w:lang w:eastAsia="en-US"/>
        </w:rPr>
        <w:t xml:space="preserve">Iepirkuma identifikācijas numurs – </w:t>
      </w:r>
      <w:r>
        <w:rPr>
          <w:rFonts w:eastAsia="Calibri" w:cs="Times New Roman" w:ascii="Times New Roman" w:hAnsi="Times New Roman"/>
          <w:b/>
          <w:bCs/>
          <w:color w:val="000000"/>
          <w:kern w:val="2"/>
          <w:shd w:fill="auto" w:val="clear"/>
          <w:lang w:eastAsia="en-US"/>
        </w:rPr>
        <w:t>BIL-V65_01-2026</w:t>
      </w:r>
    </w:p>
    <w:p>
      <w:pPr>
        <w:pStyle w:val="ListParagraph"/>
        <w:widowControl/>
        <w:numPr>
          <w:ilvl w:val="1"/>
          <w:numId w:val="4"/>
        </w:numPr>
        <w:suppressAutoHyphens w:val="true"/>
        <w:bidi w:val="0"/>
        <w:spacing w:lineRule="auto" w:line="259" w:before="0" w:after="200"/>
        <w:ind w:hanging="432" w:start="0"/>
        <w:contextualSpacing/>
        <w:jc w:val="both"/>
        <w:rPr>
          <w:rFonts w:ascii="Times New Roman" w:hAnsi="Times New Roman" w:eastAsia="Calibri" w:cs="Times New Roman"/>
          <w:kern w:val="2"/>
          <w:lang w:eastAsia="en-US"/>
        </w:rPr>
      </w:pPr>
      <w:r>
        <w:rPr>
          <w:rFonts w:eastAsia="Calibri" w:cs="Times New Roman" w:ascii="Times New Roman" w:hAnsi="Times New Roman"/>
          <w:b/>
          <w:bCs/>
          <w:kern w:val="2"/>
          <w:lang w:eastAsia="en-US"/>
        </w:rPr>
        <w:t>Pasūtītājs:</w:t>
      </w:r>
    </w:p>
    <w:p>
      <w:pPr>
        <w:pStyle w:val="ListParagraph"/>
        <w:widowControl/>
        <w:numPr>
          <w:ilvl w:val="0"/>
          <w:numId w:val="0"/>
        </w:numPr>
        <w:suppressAutoHyphens w:val="true"/>
        <w:bidi w:val="0"/>
        <w:spacing w:lineRule="auto" w:line="259" w:before="0" w:after="200"/>
        <w:ind w:hanging="0" w:start="0"/>
        <w:contextualSpacing/>
        <w:jc w:val="both"/>
        <w:rPr>
          <w:rFonts w:ascii="Times New Roman" w:hAnsi="Times New Roman" w:eastAsia="Calibri" w:cs="Times New Roman"/>
          <w:kern w:val="2"/>
          <w:lang w:eastAsia="en-US"/>
        </w:rPr>
      </w:pPr>
      <w:r>
        <w:rPr>
          <w:rFonts w:eastAsia="Calibri" w:cs="Times New Roman" w:ascii="Times New Roman" w:hAnsi="Times New Roman"/>
          <w:kern w:val="2"/>
          <w:lang w:eastAsia="en-US"/>
        </w:rPr>
      </w:r>
    </w:p>
    <w:tbl>
      <w:tblPr>
        <w:tblW w:w="9649" w:type="dxa"/>
        <w:jc w:val="start"/>
        <w:tblInd w:w="98" w:type="dxa"/>
        <w:tblLayout w:type="fixed"/>
        <w:tblCellMar>
          <w:top w:w="0" w:type="dxa"/>
          <w:start w:w="108" w:type="dxa"/>
          <w:bottom w:w="0" w:type="dxa"/>
          <w:end w:w="108" w:type="dxa"/>
        </w:tblCellMar>
      </w:tblPr>
      <w:tblGrid>
        <w:gridCol w:w="3838"/>
        <w:gridCol w:w="5810"/>
      </w:tblGrid>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iCs/>
                <w:lang w:eastAsia="zh-CN"/>
              </w:rPr>
            </w:pPr>
            <w:r>
              <w:rPr>
                <w:rFonts w:eastAsia="Times New Roman" w:cs="Times New Roman" w:ascii="Times New Roman" w:hAnsi="Times New Roman"/>
                <w:lang w:eastAsia="zh-CN"/>
              </w:rPr>
              <w:t>Nosaukums</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 xml:space="preserve">Sabiedrība ar ierobežotu atbildību „BALT INFO LAB” (turpmāk – </w:t>
            </w:r>
            <w:r>
              <w:rPr>
                <w:rFonts w:cs="Times New Roman" w:ascii="Times New Roman" w:hAnsi="Times New Roman"/>
                <w:b/>
                <w:bCs/>
              </w:rPr>
              <w:t>Pasūtītājs</w:t>
            </w:r>
            <w:r>
              <w:rPr>
                <w:rFonts w:cs="Times New Roman" w:ascii="Times New Roman" w:hAnsi="Times New Roman"/>
              </w:rPr>
              <w:t>)</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Nodokļu maksātāja reģistrācijas Nr.</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40003683476</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Juridiskā adrese</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Rušonu iela 15, Rīga, LV-1057</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Telefona Nr.</w:t>
            </w:r>
          </w:p>
        </w:tc>
        <w:tc>
          <w:tcPr>
            <w:tcW w:w="5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rPr>
            </w:pPr>
            <w:r>
              <w:rPr>
                <w:rFonts w:eastAsia="Times New Roman" w:cs="Times New Roman" w:ascii="Times New Roman" w:hAnsi="Times New Roman"/>
                <w:lang w:eastAsia="en-US"/>
              </w:rPr>
              <w:t>67255823</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val="en-US" w:eastAsia="zh-CN"/>
              </w:rPr>
            </w:pPr>
            <w:r>
              <w:rPr>
                <w:rFonts w:eastAsia="Times New Roman" w:cs="Times New Roman" w:ascii="Times New Roman" w:hAnsi="Times New Roman"/>
                <w:lang w:eastAsia="zh-CN"/>
              </w:rPr>
              <w:t>Oficiālā e-pasta adrese</w:t>
            </w:r>
          </w:p>
        </w:tc>
        <w:tc>
          <w:tcPr>
            <w:tcW w:w="5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rPr>
            </w:pPr>
            <w:hyperlink r:id="rId3">
              <w:r>
                <w:rPr>
                  <w:rStyle w:val="Hyperlink"/>
                  <w:rFonts w:cs="Times New Roman" w:ascii="Times New Roman" w:hAnsi="Times New Roman"/>
                  <w:color w:val="000000"/>
                  <w:lang w:eastAsia="en-US"/>
                </w:rPr>
                <w:t>sekretars@mfd.lv</w:t>
              </w:r>
            </w:hyperlink>
          </w:p>
        </w:tc>
      </w:tr>
      <w:tr>
        <w:trPr>
          <w:trHeight w:val="745" w:hRule="atLeast"/>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cs="Times New Roman" w:ascii="Times New Roman" w:hAnsi="Times New Roman"/>
              </w:rPr>
              <w:t>Pasūtītāja kontaktpersonas</w:t>
            </w:r>
          </w:p>
        </w:tc>
        <w:tc>
          <w:tcPr>
            <w:tcW w:w="581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Times New Roman" w:hAnsi="Times New Roman" w:cs="Times New Roman"/>
                <w:shd w:fill="FFFF00" w:val="clear"/>
              </w:rPr>
            </w:pPr>
            <w:r>
              <w:rPr>
                <w:rFonts w:cs="Times New Roman" w:ascii="Times New Roman" w:hAnsi="Times New Roman"/>
              </w:rPr>
              <w:t xml:space="preserve">Inese Volka,  </w:t>
            </w:r>
            <w:r>
              <w:rPr>
                <w:rFonts w:cs="Times New Roman" w:ascii="Times New Roman" w:hAnsi="Times New Roman"/>
                <w:color w:val="000000"/>
                <w:lang w:eastAsia="en-US"/>
              </w:rPr>
              <w:t xml:space="preserve">e-pasta adrese: </w:t>
            </w:r>
            <w:hyperlink r:id="rId4">
              <w:r>
                <w:rPr>
                  <w:rStyle w:val="Hyperlink"/>
                  <w:rFonts w:cs="Times New Roman" w:ascii="Times New Roman" w:hAnsi="Times New Roman"/>
                  <w:lang w:eastAsia="en-US"/>
                </w:rPr>
                <w:t>inese.volka@mfd.lv</w:t>
              </w:r>
            </w:hyperlink>
          </w:p>
          <w:p>
            <w:pPr>
              <w:pStyle w:val="Normal"/>
              <w:numPr>
                <w:ilvl w:val="0"/>
                <w:numId w:val="0"/>
              </w:numPr>
              <w:spacing w:lineRule="auto" w:line="240" w:before="0" w:after="0"/>
              <w:ind w:hanging="0" w:start="0"/>
              <w:outlineLvl w:val="0"/>
              <w:rPr>
                <w:rFonts w:ascii="Times New Roman" w:hAnsi="Times New Roman" w:cs="Times New Roman"/>
              </w:rPr>
            </w:pPr>
            <w:r>
              <w:rPr>
                <w:rFonts w:cs="Times New Roman" w:ascii="Times New Roman" w:hAnsi="Times New Roman"/>
              </w:rPr>
              <w:t>tālruņa Nr. 28715970</w:t>
            </w:r>
          </w:p>
        </w:tc>
      </w:tr>
    </w:tbl>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kern w:val="2"/>
          <w:lang w:val="lv-LV" w:eastAsia="en-US"/>
        </w:rPr>
      </w:pPr>
      <w:r>
        <w:rPr>
          <w:rFonts w:eastAsia="Calibri" w:cs="Times New Roman" w:ascii="Times New Roman" w:hAnsi="Times New Roman"/>
          <w:b w:val="false"/>
          <w:bCs w:val="false"/>
          <w:kern w:val="2"/>
          <w:lang w:val="lv-LV" w:eastAsia="en-US"/>
        </w:rPr>
        <w:t xml:space="preserve">Pasūtītājs organizē iepirkumu “Vienkāršotie atjaunošanas darbi telpu pielāgošanai vides pieejamības nodrošināšanai Valdeķu ielā 65” </w:t>
      </w:r>
    </w:p>
    <w:p>
      <w:pPr>
        <w:pStyle w:val="ListParagraph"/>
        <w:widowControl/>
        <w:numPr>
          <w:ilvl w:val="1"/>
          <w:numId w:val="4"/>
        </w:numPr>
        <w:suppressAutoHyphens w:val="true"/>
        <w:bidi w:val="0"/>
        <w:spacing w:lineRule="auto" w:line="259" w:before="0" w:after="200"/>
        <w:ind w:hanging="432" w:start="0"/>
        <w:contextualSpacing/>
        <w:jc w:val="both"/>
        <w:rPr/>
      </w:pPr>
      <w:r>
        <w:rPr>
          <w:rFonts w:eastAsia="Calibri" w:cs="Times New Roman" w:ascii="Times New Roman" w:hAnsi="Times New Roman"/>
          <w:kern w:val="2"/>
          <w:lang w:eastAsia="en-US"/>
        </w:rPr>
        <w:t xml:space="preserve">Iepirkums tiek organizēts saskaņā ar Ministru kabineta 2025.gada 7.janvāra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ES un Latvijas Republikas normatīvajiem aktiem par ES fondu vadību un Sadarbības iestādes 25.07.2025. lēmumu Nr. 39-2-10/3714 par projekta iesnieguma “Primārās veselības aprūpes lomas stiprināšana, attīstot infrastruktūru SIA “BALT INFO LAB” telpās” (turpmāk </w:t>
      </w:r>
      <w:r>
        <w:rPr>
          <w:rFonts w:eastAsia="Calibri" w:cs="Times New Roman" w:ascii="Times New Roman" w:hAnsi="Times New Roman"/>
          <w:b/>
          <w:bCs/>
          <w:kern w:val="2"/>
          <w:lang w:eastAsia="en-US"/>
        </w:rPr>
        <w:t>-</w:t>
      </w:r>
      <w:r>
        <w:rPr>
          <w:rFonts w:eastAsia="Calibri" w:cs="Times New Roman" w:ascii="Times New Roman" w:hAnsi="Times New Roman"/>
          <w:kern w:val="2"/>
          <w:lang w:eastAsia="en-US"/>
        </w:rPr>
        <w:t xml:space="preserve"> </w:t>
      </w:r>
      <w:r>
        <w:rPr>
          <w:rFonts w:eastAsia="Calibri" w:cs="Times New Roman" w:ascii="Times New Roman" w:hAnsi="Times New Roman"/>
          <w:b/>
          <w:bCs/>
          <w:kern w:val="2"/>
          <w:lang w:eastAsia="en-US"/>
        </w:rPr>
        <w:t>Projekts</w:t>
      </w:r>
      <w:r>
        <w:rPr>
          <w:rFonts w:eastAsia="Calibri" w:cs="Times New Roman" w:ascii="Times New Roman" w:hAnsi="Times New Roman"/>
          <w:kern w:val="2"/>
          <w:lang w:eastAsia="en-US"/>
        </w:rPr>
        <w:t xml:space="preserve">) apstiprināšanu ar nosacījumu un 15.10.2025. atzinumu Nr. 39-2-10/5067 par lēmumā ietverto nosacījumu izpildi, </w:t>
      </w:r>
      <w:r>
        <w:rPr>
          <w:rFonts w:eastAsia="Calibri" w:cs="Times New Roman" w:ascii="Times New Roman" w:hAnsi="Times New Roman"/>
          <w:b/>
          <w:bCs/>
          <w:kern w:val="2"/>
          <w:lang w:eastAsia="en-US"/>
        </w:rPr>
        <w:t xml:space="preserve">projekts Nr. 4.1.1.3/2/25/A/069 Primārās veselības aprūpes lomas stiprināšana, attīstot infrastruktūru </w:t>
      </w:r>
      <w:r>
        <w:rPr>
          <w:rStyle w:val="Strong"/>
          <w:rFonts w:cs="Times New Roman" w:ascii="Times New Roman" w:hAnsi="Times New Roman"/>
          <w:sz w:val="24"/>
          <w:szCs w:val="24"/>
        </w:rPr>
        <w:t>Sabiedrības ar ierobežotu atbildību</w:t>
      </w:r>
      <w:r>
        <w:rPr>
          <w:rFonts w:eastAsia="Calibri" w:cs="Times New Roman" w:ascii="Times New Roman" w:hAnsi="Times New Roman"/>
          <w:b/>
          <w:bCs/>
          <w:kern w:val="2"/>
          <w:lang w:eastAsia="en-US"/>
        </w:rPr>
        <w:t xml:space="preserve"> “BALT INFO LAB” telpās.</w:t>
      </w:r>
    </w:p>
    <w:p>
      <w:pPr>
        <w:pStyle w:val="ListParagraph"/>
        <w:widowControl/>
        <w:numPr>
          <w:ilvl w:val="1"/>
          <w:numId w:val="4"/>
        </w:numPr>
        <w:suppressAutoHyphens w:val="true"/>
        <w:bidi w:val="0"/>
        <w:spacing w:lineRule="auto" w:line="259" w:before="0" w:after="200"/>
        <w:ind w:hanging="432" w:start="0"/>
        <w:contextualSpacing/>
        <w:jc w:val="both"/>
        <w:rPr/>
      </w:pPr>
      <w:r>
        <w:rPr>
          <w:rFonts w:eastAsia="Calibri" w:cs="Times New Roman" w:ascii="Times New Roman" w:hAnsi="Times New Roman"/>
          <w:kern w:val="2"/>
          <w:lang w:eastAsia="en-US"/>
        </w:rPr>
        <w:t xml:space="preserve">Iepirkumu veikšanai Pasūtītājs ir izveidojis iepirkumu komisiju (turpmāk </w:t>
      </w:r>
      <w:r>
        <w:rPr>
          <w:rFonts w:eastAsia="Calibri" w:cs="Times New Roman" w:ascii="Times New Roman" w:hAnsi="Times New Roman"/>
          <w:b/>
          <w:bCs/>
          <w:kern w:val="2"/>
          <w:lang w:eastAsia="en-US"/>
        </w:rPr>
        <w:t>-</w:t>
      </w:r>
      <w:r>
        <w:rPr>
          <w:rFonts w:eastAsia="Calibri" w:cs="Times New Roman" w:ascii="Times New Roman" w:hAnsi="Times New Roman"/>
          <w:kern w:val="2"/>
          <w:lang w:eastAsia="en-US"/>
        </w:rPr>
        <w:t xml:space="preserve"> </w:t>
      </w:r>
      <w:r>
        <w:rPr>
          <w:rFonts w:eastAsia="Calibri" w:cs="Times New Roman" w:ascii="Times New Roman" w:hAnsi="Times New Roman"/>
          <w:b/>
          <w:bCs/>
          <w:kern w:val="2"/>
          <w:lang w:eastAsia="en-US"/>
        </w:rPr>
        <w:t>Komisija</w:t>
      </w:r>
      <w:r>
        <w:rPr>
          <w:rFonts w:eastAsia="Calibri" w:cs="Times New Roman" w:ascii="Times New Roman" w:hAnsi="Times New Roman"/>
          <w:kern w:val="2"/>
          <w:lang w:eastAsia="en-US"/>
        </w:rPr>
        <w:t>), kas pārstāv Pasūtītāja intereses.</w:t>
      </w:r>
    </w:p>
    <w:p>
      <w:pPr>
        <w:pStyle w:val="ListParagraph"/>
        <w:widowControl/>
        <w:numPr>
          <w:ilvl w:val="1"/>
          <w:numId w:val="4"/>
        </w:numPr>
        <w:suppressAutoHyphens w:val="true"/>
        <w:bidi w:val="0"/>
        <w:spacing w:lineRule="auto" w:line="259" w:before="0" w:after="200"/>
        <w:ind w:hanging="432" w:start="0"/>
        <w:contextualSpacing/>
        <w:jc w:val="both"/>
        <w:rPr>
          <w:b w:val="false"/>
          <w:bCs w:val="false"/>
        </w:rPr>
      </w:pPr>
      <w:r>
        <w:rPr>
          <w:rFonts w:eastAsia="Calibri" w:cs="Times New Roman" w:ascii="Times New Roman" w:hAnsi="Times New Roman"/>
          <w:b w:val="false"/>
          <w:bCs w:val="false"/>
          <w:iCs/>
          <w:kern w:val="2"/>
          <w:szCs w:val="24"/>
          <w:lang w:eastAsia="en-US"/>
        </w:rPr>
        <w:t>Saziņa starp Pasūtītāju un ieinteresētajiem Pretendentiem iepirkuma ietvaros notiek valsts valodā, rakstiski, pa pastu vai elektroniski (e-pastu). Pa e-pastu sūtītā informācija uzskatāma par saņemtu, ja pasūtītāja kontaktpersona nosūtījusi apstiprinošu e-pasta atbildes vēstuli tās sūtītājam vienas darba dienas laikā.</w:t>
      </w:r>
    </w:p>
    <w:p>
      <w:pPr>
        <w:pStyle w:val="ListParagraph"/>
        <w:widowControl/>
        <w:suppressAutoHyphens w:val="true"/>
        <w:bidi w:val="0"/>
        <w:spacing w:lineRule="auto" w:line="259" w:before="0" w:after="200"/>
        <w:ind w:hanging="0" w:start="0"/>
        <w:contextualSpacing/>
        <w:jc w:val="both"/>
        <w:rPr>
          <w:rFonts w:ascii="Times New Roman" w:hAnsi="Times New Roman" w:eastAsia="Calibri" w:cs="Times New Roman"/>
          <w:kern w:val="2"/>
          <w:lang w:eastAsia="en-US"/>
        </w:rPr>
      </w:pPr>
      <w:r>
        <w:rPr>
          <w:rFonts w:eastAsia="Calibri" w:cs="Times New Roman" w:ascii="Times New Roman" w:hAnsi="Times New Roman"/>
          <w:kern w:val="2"/>
          <w:lang w:eastAsia="en-US"/>
        </w:rPr>
      </w:r>
    </w:p>
    <w:p>
      <w:pPr>
        <w:pStyle w:val="ListParagraph"/>
        <w:widowControl/>
        <w:numPr>
          <w:ilvl w:val="0"/>
          <w:numId w:val="0"/>
        </w:numPr>
        <w:suppressAutoHyphens w:val="true"/>
        <w:bidi w:val="0"/>
        <w:spacing w:lineRule="auto" w:line="259" w:before="0" w:after="200"/>
        <w:ind w:hanging="0" w:start="0"/>
        <w:contextualSpacing/>
        <w:jc w:val="both"/>
        <w:rPr/>
      </w:pPr>
      <w:r>
        <w:rPr/>
      </w:r>
    </w:p>
    <w:p>
      <w:pPr>
        <w:pStyle w:val="BodyText"/>
        <w:widowControl/>
        <w:numPr>
          <w:ilvl w:val="0"/>
          <w:numId w:val="4"/>
        </w:numPr>
        <w:suppressAutoHyphens w:val="true"/>
        <w:bidi w:val="0"/>
        <w:spacing w:lineRule="auto" w:line="360"/>
        <w:jc w:val="center"/>
        <w:rPr>
          <w:b/>
          <w:bCs/>
          <w:color w:val="auto"/>
          <w:kern w:val="0"/>
          <w:szCs w:val="24"/>
          <w:lang w:val="lv-LV" w:bidi="ar-SA"/>
        </w:rPr>
      </w:pPr>
      <w:r>
        <w:rPr>
          <w:b/>
          <w:bCs/>
          <w:color w:val="auto"/>
          <w:kern w:val="0"/>
          <w:szCs w:val="24"/>
          <w:lang w:val="lv-LV" w:bidi="ar-SA"/>
        </w:rPr>
        <w:t>INFORMĀCIJA PAR IEPIRKUMA PRIEKŠMETU</w:t>
      </w:r>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iCs/>
          <w:color w:val="auto"/>
          <w:kern w:val="2"/>
          <w:sz w:val="22"/>
          <w:szCs w:val="24"/>
          <w:lang w:val="lv-LV" w:eastAsia="en-US" w:bidi="ar-SA"/>
        </w:rPr>
      </w:pPr>
      <w:r>
        <w:rPr>
          <w:rFonts w:eastAsia="Calibri" w:cs="Times New Roman" w:ascii="Times New Roman" w:hAnsi="Times New Roman"/>
          <w:b w:val="false"/>
          <w:bCs w:val="false"/>
          <w:iCs/>
          <w:color w:val="auto"/>
          <w:kern w:val="2"/>
          <w:sz w:val="22"/>
          <w:szCs w:val="24"/>
          <w:lang w:val="lv-LV" w:eastAsia="en-US" w:bidi="ar-SA"/>
        </w:rPr>
        <w:t>Iepirkuma priekšmets ir vienkāršotie atjaunošanas darbi telpu pielāgošanai vides pieejamības nodrošināšanai Valdeķu ielā 65, saskaņā ar tehnisko specifikāciju (2.pielikums).</w:t>
      </w:r>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iCs/>
          <w:color w:val="auto"/>
          <w:kern w:val="2"/>
          <w:sz w:val="22"/>
          <w:szCs w:val="24"/>
          <w:lang w:val="lv-LV" w:eastAsia="en-US" w:bidi="ar-SA"/>
        </w:rPr>
      </w:pPr>
      <w:r>
        <w:rPr>
          <w:rFonts w:eastAsia="Calibri" w:cs="Times New Roman" w:ascii="Times New Roman" w:hAnsi="Times New Roman"/>
          <w:b w:val="false"/>
          <w:bCs w:val="false"/>
          <w:iCs/>
          <w:color w:val="auto"/>
          <w:kern w:val="2"/>
          <w:sz w:val="22"/>
          <w:szCs w:val="24"/>
          <w:lang w:val="lv-LV" w:eastAsia="en-US" w:bidi="ar-SA"/>
        </w:rPr>
        <w:t>Iepirkuma priekšmeta CPV kods: 45000000-7 – celtniecības darbi.</w:t>
      </w:r>
    </w:p>
    <w:p>
      <w:pPr>
        <w:pStyle w:val="ListParagraph"/>
        <w:widowControl/>
        <w:numPr>
          <w:ilvl w:val="1"/>
          <w:numId w:val="4"/>
        </w:numPr>
        <w:suppressAutoHyphens w:val="true"/>
        <w:bidi w:val="0"/>
        <w:spacing w:lineRule="auto" w:line="259" w:before="0" w:after="200"/>
        <w:ind w:hanging="432" w:start="0"/>
        <w:contextualSpacing/>
        <w:jc w:val="both"/>
        <w:rPr/>
      </w:pPr>
      <w:r>
        <w:rPr>
          <w:rFonts w:cs="Times New Roman" w:ascii="Times New Roman" w:hAnsi="Times New Roman"/>
        </w:rPr>
        <w:t>Iepirkuma priekšmets nav sadalīts daļās</w:t>
      </w:r>
      <w:r>
        <w:rPr>
          <w:rStyle w:val="FootnoteReference"/>
          <w:rFonts w:cs="Times New Roman" w:ascii="Times New Roman" w:hAnsi="Times New Roman"/>
        </w:rPr>
        <w:footnoteReference w:id="2"/>
      </w:r>
      <w:r>
        <w:rPr>
          <w:rFonts w:cs="Times New Roman" w:ascii="Times New Roman" w:hAnsi="Times New Roman"/>
        </w:rPr>
        <w:t>.</w:t>
      </w:r>
    </w:p>
    <w:p>
      <w:pPr>
        <w:pStyle w:val="ListParagraph"/>
        <w:widowControl/>
        <w:numPr>
          <w:ilvl w:val="1"/>
          <w:numId w:val="4"/>
        </w:numPr>
        <w:suppressAutoHyphens w:val="true"/>
        <w:bidi w:val="0"/>
        <w:spacing w:lineRule="auto" w:line="259" w:before="0" w:after="200"/>
        <w:ind w:hanging="432" w:start="0"/>
        <w:contextualSpacing/>
        <w:jc w:val="both"/>
        <w:rPr/>
      </w:pPr>
      <w:r>
        <w:rPr>
          <w:sz w:val="23"/>
        </w:rPr>
        <w:t>I</w:t>
      </w:r>
      <w:r>
        <w:rPr>
          <w:rFonts w:ascii="Times New Roman" w:hAnsi="Times New Roman"/>
          <w:sz w:val="23"/>
        </w:rPr>
        <w:t xml:space="preserve">epirkuma līguma slēgšanas tiesības tiks piešķirtas vienam Pretendentam, kura piedāvājums tiks atzīts par atbilstošu Nolikuma un Tehniskās specifikācijas prasībām un ar viszemāko cenu. Ja ir divi piedāvājumi ar vienādu cenu, izšķirošā balss ir Iepirkumu komisijas priekšsēdētājam. </w:t>
      </w:r>
    </w:p>
    <w:p>
      <w:pPr>
        <w:pStyle w:val="ListParagraph"/>
        <w:widowControl/>
        <w:numPr>
          <w:ilvl w:val="1"/>
          <w:numId w:val="4"/>
        </w:numPr>
        <w:suppressAutoHyphens w:val="true"/>
        <w:bidi w:val="0"/>
        <w:spacing w:lineRule="auto" w:line="259" w:before="0" w:after="200"/>
        <w:ind w:hanging="432" w:start="0"/>
        <w:contextualSpacing/>
        <w:jc w:val="both"/>
        <w:rPr>
          <w:rFonts w:ascii="Times New Roman" w:hAnsi="Times New Roman" w:cs="Times New Roman"/>
        </w:rPr>
      </w:pPr>
      <w:r>
        <w:rPr>
          <w:rFonts w:cs="Times New Roman" w:ascii="Times New Roman" w:hAnsi="Times New Roman"/>
        </w:rPr>
        <w:t>Līguma izpildes vieta: Valdeķu iela 65, Rīga.</w:t>
      </w:r>
    </w:p>
    <w:p>
      <w:pPr>
        <w:pStyle w:val="ListParagraph"/>
        <w:widowControl/>
        <w:numPr>
          <w:ilvl w:val="1"/>
          <w:numId w:val="4"/>
        </w:numPr>
        <w:suppressAutoHyphens w:val="true"/>
        <w:bidi w:val="0"/>
        <w:spacing w:lineRule="auto" w:line="259" w:before="0" w:after="200"/>
        <w:ind w:hanging="432" w:start="0"/>
        <w:contextualSpacing/>
        <w:jc w:val="both"/>
        <w:rPr/>
      </w:pPr>
      <w:bookmarkStart w:id="3" w:name="_Hlk136000239"/>
      <w:r>
        <w:rPr>
          <w:rFonts w:cs="Times New Roman" w:ascii="Times New Roman" w:hAnsi="Times New Roman"/>
        </w:rPr>
        <w:t xml:space="preserve">Līguma izpildes termiņš:  ne ilgāk par </w:t>
      </w:r>
      <w:r>
        <w:rPr>
          <w:rFonts w:cs="Times New Roman" w:ascii="Times New Roman" w:hAnsi="Times New Roman"/>
          <w:b/>
        </w:rPr>
        <w:t>5 (pieci) mēnešiem</w:t>
      </w:r>
      <w:r>
        <w:rPr>
          <w:rFonts w:cs="Times New Roman" w:ascii="Times New Roman" w:hAnsi="Times New Roman"/>
        </w:rPr>
        <w:t xml:space="preserve"> no līguma noslēgšanas dienas, līguma izpildes laikā MFD Doktorāta darbība turpināsies un netiks pārtraukta. Pasūtītājs ir noteicis prasības un nosacījumus darbu veikšanai </w:t>
      </w:r>
      <w:r>
        <w:rPr>
          <w:rFonts w:eastAsia="Calibri" w:cs="Times New Roman" w:ascii="Times New Roman" w:hAnsi="Times New Roman"/>
        </w:rPr>
        <w:t>Nolikuma 2.pielikumā “Tehniskā specifikācija”</w:t>
      </w:r>
      <w:bookmarkEnd w:id="3"/>
      <w:r>
        <w:rPr>
          <w:rFonts w:eastAsia="Calibri" w:cs="Times New Roman" w:ascii="Times New Roman" w:hAnsi="Times New Roman"/>
        </w:rPr>
        <w:t>.</w:t>
      </w:r>
    </w:p>
    <w:p>
      <w:pPr>
        <w:pStyle w:val="ListParagraph"/>
        <w:widowControl/>
        <w:numPr>
          <w:ilvl w:val="1"/>
          <w:numId w:val="4"/>
        </w:numPr>
        <w:suppressAutoHyphens w:val="true"/>
        <w:bidi w:val="0"/>
        <w:spacing w:lineRule="auto" w:line="259" w:before="0" w:after="200"/>
        <w:ind w:hanging="432" w:start="0"/>
        <w:contextualSpacing/>
        <w:jc w:val="both"/>
        <w:rPr/>
      </w:pPr>
      <w:r>
        <w:rPr>
          <w:rFonts w:cs="Times New Roman" w:ascii="Times New Roman" w:hAnsi="Times New Roman"/>
          <w:b/>
        </w:rPr>
        <w:t>Paredzamā līgumcena</w:t>
      </w:r>
      <w:r>
        <w:rPr>
          <w:rFonts w:cs="Times New Roman" w:ascii="Times New Roman" w:hAnsi="Times New Roman"/>
          <w:bCs/>
        </w:rPr>
        <w:t>:</w:t>
      </w:r>
    </w:p>
    <w:tbl>
      <w:tblPr>
        <w:tblW w:w="5000" w:type="pct"/>
        <w:jc w:val="center"/>
        <w:tblInd w:w="0" w:type="dxa"/>
        <w:tblLayout w:type="fixed"/>
        <w:tblCellMar>
          <w:top w:w="0" w:type="dxa"/>
          <w:start w:w="108" w:type="dxa"/>
          <w:bottom w:w="0" w:type="dxa"/>
          <w:end w:w="108" w:type="dxa"/>
        </w:tblCellMar>
      </w:tblPr>
      <w:tblGrid>
        <w:gridCol w:w="6466"/>
        <w:gridCol w:w="3198"/>
      </w:tblGrid>
      <w:tr>
        <w:trPr>
          <w:trHeight w:val="430" w:hRule="atLeast"/>
        </w:trPr>
        <w:tc>
          <w:tcPr>
            <w:tcW w:w="6466"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spacing w:before="0" w:after="160"/>
              <w:ind w:start="720"/>
              <w:jc w:val="center"/>
              <w:rPr>
                <w:rFonts w:ascii="Times New Roman" w:hAnsi="Times New Roman"/>
              </w:rPr>
            </w:pPr>
            <w:r>
              <w:rPr>
                <w:rFonts w:cs="Times New Roman" w:ascii="Times New Roman" w:hAnsi="Times New Roman"/>
                <w:szCs w:val="24"/>
              </w:rPr>
              <w:t>Iepirkuma priekšmets</w:t>
            </w:r>
          </w:p>
        </w:tc>
        <w:tc>
          <w:tcPr>
            <w:tcW w:w="3198"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spacing w:before="0" w:after="160"/>
              <w:ind w:start="181" w:end="106"/>
              <w:jc w:val="center"/>
              <w:rPr>
                <w:rFonts w:ascii="Times New Roman" w:hAnsi="Times New Roman"/>
              </w:rPr>
            </w:pPr>
            <w:r>
              <w:rPr>
                <w:rFonts w:cs="Times New Roman" w:ascii="Times New Roman" w:hAnsi="Times New Roman"/>
                <w:szCs w:val="24"/>
              </w:rPr>
              <w:t>Paredzamā līguma summa, EUR bez PVN</w:t>
            </w:r>
          </w:p>
        </w:tc>
      </w:tr>
      <w:tr>
        <w:trPr>
          <w:trHeight w:val="236" w:hRule="atLeast"/>
        </w:trPr>
        <w:tc>
          <w:tcPr>
            <w:tcW w:w="646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Nodrošināt vi</w:t>
            </w:r>
            <w:r>
              <w:rPr>
                <w:rFonts w:eastAsia="Calibri" w:cs="Times New Roman" w:ascii="Times New Roman" w:hAnsi="Times New Roman"/>
                <w:kern w:val="2"/>
                <w:lang w:eastAsia="en-US"/>
              </w:rPr>
              <w:t>enkāršotus atjaunošanas darbus telpu pielāgošanai vides pieejamības nodrošināšanai Valdeķu ielā 65</w:t>
            </w:r>
            <w:r>
              <w:rPr>
                <w:rFonts w:ascii="Times New Roman" w:hAnsi="Times New Roman"/>
                <w:i/>
                <w:iCs/>
              </w:rPr>
              <w:t>, Rīgā</w:t>
            </w:r>
          </w:p>
        </w:tc>
        <w:tc>
          <w:tcPr>
            <w:tcW w:w="3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eastAsia="Times New Roman" w:cs="Times New Roman" w:ascii="Times New Roman" w:hAnsi="Times New Roman"/>
                <w:bCs/>
                <w:color w:themeColor="dark1" w:val="000000"/>
                <w:szCs w:val="24"/>
              </w:rPr>
              <w:t>47 107.00</w:t>
            </w:r>
          </w:p>
        </w:tc>
      </w:tr>
    </w:tbl>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Ja pretendenta piedāvātā kopējā līgumcena pārsniegs noteikto līgumcenas apmēru, pretendenta piedāvājums tiks noraidīts kā neatbilstošs, nevērtējot pretendenta kvalifikācijas un tehniskā piedāvājuma atbilstību Nolikuma prasībām.</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Pirms piedāvājuma iesniegšanas Pretendentam obligāti jāveic Objekta, kurā tiks veikti Darbi, apsekošana. Pretendents piesakās uz Objekta apsekošanu, nosūtot vēstuli uz elektroniskā pasta adresi: </w:t>
      </w:r>
      <w:hyperlink r:id="rId5">
        <w:r>
          <w:rPr>
            <w:rStyle w:val="Hyperlink"/>
            <w:rFonts w:cs="Times New Roman" w:ascii="Times New Roman" w:hAnsi="Times New Roman"/>
            <w:color w:val="auto"/>
            <w:kern w:val="0"/>
            <w:sz w:val="22"/>
            <w:szCs w:val="22"/>
            <w:lang w:val="lv-LV" w:eastAsia="lv-LV" w:bidi="ar-SA"/>
          </w:rPr>
          <w:t>iepirkumi@mfd.lv</w:t>
        </w:r>
      </w:hyperlink>
      <w:r>
        <w:rPr>
          <w:rFonts w:cs="Times New Roman" w:ascii="Times New Roman" w:hAnsi="Times New Roman"/>
          <w:color w:val="auto"/>
          <w:kern w:val="0"/>
          <w:sz w:val="22"/>
          <w:szCs w:val="22"/>
          <w:lang w:val="lv-LV" w:eastAsia="lv-LV" w:bidi="ar-SA"/>
        </w:rPr>
        <w:t xml:space="preserve">  ne vēlāk kā vienu darba dienu pirms noteiktās sanāksmes dienas, tas ir attiec</w:t>
      </w:r>
      <w:r>
        <w:rPr>
          <w:rFonts w:cs="Times New Roman" w:ascii="Times New Roman" w:hAnsi="Times New Roman"/>
          <w:color w:val="000000"/>
          <w:kern w:val="0"/>
          <w:sz w:val="22"/>
          <w:szCs w:val="22"/>
          <w:shd w:fill="auto" w:val="clear"/>
          <w:lang w:val="lv-LV" w:eastAsia="lv-LV" w:bidi="ar-SA"/>
        </w:rPr>
        <w:t xml:space="preserve">īgi </w:t>
      </w:r>
      <w:r>
        <w:rPr>
          <w:rFonts w:cs="Times New Roman" w:ascii="Times New Roman" w:hAnsi="Times New Roman"/>
          <w:b/>
          <w:bCs/>
          <w:color w:val="000000"/>
          <w:kern w:val="0"/>
          <w:sz w:val="22"/>
          <w:szCs w:val="22"/>
          <w:shd w:fill="auto" w:val="clear"/>
          <w:lang w:val="lv-LV" w:eastAsia="lv-LV" w:bidi="ar-SA"/>
        </w:rPr>
        <w:t>līdz 0</w:t>
      </w:r>
      <w:r>
        <w:rPr>
          <w:rFonts w:cs="Times New Roman" w:ascii="Times New Roman" w:hAnsi="Times New Roman"/>
          <w:b/>
          <w:bCs/>
          <w:color w:val="000000"/>
          <w:kern w:val="0"/>
          <w:sz w:val="22"/>
          <w:szCs w:val="22"/>
          <w:shd w:fill="auto" w:val="clear"/>
          <w:lang w:val="lv-LV" w:eastAsia="lv-LV" w:bidi="ar-SA"/>
        </w:rPr>
        <w:t>8</w:t>
      </w:r>
      <w:r>
        <w:rPr>
          <w:rFonts w:cs="Times New Roman" w:ascii="Times New Roman" w:hAnsi="Times New Roman"/>
          <w:b/>
          <w:bCs/>
          <w:color w:val="000000"/>
          <w:kern w:val="0"/>
          <w:sz w:val="22"/>
          <w:szCs w:val="22"/>
          <w:shd w:fill="auto" w:val="clear"/>
          <w:lang w:val="lv-LV" w:eastAsia="lv-LV" w:bidi="ar-SA"/>
        </w:rPr>
        <w:t>.aprīļa plkst. 16:00</w:t>
      </w:r>
      <w:r>
        <w:rPr>
          <w:rFonts w:cs="Times New Roman" w:ascii="Times New Roman" w:hAnsi="Times New Roman"/>
          <w:color w:val="000000"/>
          <w:kern w:val="0"/>
          <w:sz w:val="22"/>
          <w:szCs w:val="22"/>
          <w:shd w:fill="auto" w:val="clear"/>
          <w:lang w:val="lv-LV" w:eastAsia="lv-LV" w:bidi="ar-SA"/>
        </w:rPr>
        <w:t>.</w:t>
      </w:r>
      <w:r>
        <w:rPr>
          <w:rFonts w:cs="Times New Roman" w:ascii="Times New Roman" w:hAnsi="Times New Roman"/>
          <w:color w:val="auto"/>
          <w:kern w:val="0"/>
          <w:sz w:val="22"/>
          <w:szCs w:val="22"/>
          <w:lang w:val="lv-LV" w:eastAsia="lv-LV" w:bidi="ar-SA"/>
        </w:rPr>
        <w:t xml:space="preserve"> Iesniedzot piedāvājumu pretendents piedāvājumam pievieno apskates laikā abpusēji parakstītu objekta apsekošanas aktu (nolikuma 7.pielikums). </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Objekta apsekošanas neveikušo pretendentu piedāvājumi tiks noraidīti un tie nepiedalīsies piedāvājuma vērtēšanas procesā. </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Paredzēts avansa maksājums 30% apmērā saskaņā ar iepirkuma līguma nosacījumiem.</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Piedāvājuma izvēles kritērijs: Pasūtītājs piešķir iepirkuma līguma slēgšanas tiesības saimnieciski visizdevīgākajam piedāvājumam, kuru nosaka, ņemot vērā tikai cenu.</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Veiktajiem būvdarbiem </w:t>
      </w:r>
      <w:r>
        <w:rPr>
          <w:rFonts w:cs="Times New Roman" w:ascii="Times New Roman" w:hAnsi="Times New Roman"/>
          <w:b/>
          <w:bCs/>
          <w:color w:val="auto"/>
          <w:kern w:val="0"/>
          <w:sz w:val="22"/>
          <w:szCs w:val="22"/>
          <w:lang w:val="lv-LV" w:eastAsia="lv-LV" w:bidi="ar-SA"/>
        </w:rPr>
        <w:t>garantijas termiņš ir ne mazāks kā 24</w:t>
      </w:r>
      <w:r>
        <w:rPr>
          <w:rFonts w:cs="Times New Roman" w:ascii="Times New Roman" w:hAnsi="Times New Roman"/>
          <w:color w:val="auto"/>
          <w:kern w:val="0"/>
          <w:sz w:val="22"/>
          <w:szCs w:val="22"/>
          <w:lang w:val="lv-LV" w:eastAsia="lv-LV" w:bidi="ar-SA"/>
        </w:rPr>
        <w:t xml:space="preserve"> (divdesmit četri) mēneši no nodošanas–pieņemšanas akta parakstīšanas dienas.</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Uzstādītajām iekārtām garantija tiek nodrošināta saskaņā ar ražotāja noteikumiem, bet </w:t>
      </w:r>
      <w:r>
        <w:rPr>
          <w:rFonts w:cs="Times New Roman" w:ascii="Times New Roman" w:hAnsi="Times New Roman"/>
          <w:b/>
          <w:bCs/>
          <w:color w:val="auto"/>
          <w:kern w:val="0"/>
          <w:sz w:val="22"/>
          <w:szCs w:val="22"/>
          <w:lang w:val="lv-LV" w:eastAsia="lv-LV" w:bidi="ar-SA"/>
        </w:rPr>
        <w:t xml:space="preserve">ne mazāk kā 24 mēnešus. </w:t>
      </w:r>
    </w:p>
    <w:p>
      <w:pPr>
        <w:pStyle w:val="Normal"/>
        <w:numPr>
          <w:ilvl w:val="0"/>
          <w:numId w:val="4"/>
        </w:numPr>
        <w:spacing w:lineRule="auto" w:line="240" w:before="0" w:after="0"/>
        <w:jc w:val="center"/>
        <w:rPr>
          <w:rFonts w:ascii="Times New Roman" w:hAnsi="Times New Roman"/>
          <w:sz w:val="24"/>
          <w:szCs w:val="24"/>
        </w:rPr>
      </w:pPr>
      <w:r>
        <w:rPr>
          <w:rFonts w:eastAsia="Calibri" w:cs="Times New Roman" w:ascii="Times New Roman" w:hAnsi="Times New Roman"/>
          <w:b/>
          <w:bCs/>
          <w:kern w:val="2"/>
          <w:sz w:val="24"/>
          <w:szCs w:val="24"/>
          <w:lang w:val="lv-LV" w:eastAsia="en-US"/>
        </w:rPr>
        <w:t>PRETENDENTS</w:t>
      </w:r>
      <w:r>
        <w:rPr>
          <w:rFonts w:eastAsia="Calibri" w:cs="Times New Roman" w:ascii="Times New Roman" w:hAnsi="Times New Roman"/>
          <w:b/>
          <w:bCs/>
          <w:kern w:val="2"/>
          <w:sz w:val="24"/>
          <w:szCs w:val="24"/>
          <w:lang w:eastAsia="en-US"/>
        </w:rPr>
        <w:t xml:space="preserve"> </w:t>
      </w:r>
    </w:p>
    <w:p>
      <w:pPr>
        <w:pStyle w:val="Normal"/>
        <w:numPr>
          <w:ilvl w:val="0"/>
          <w:numId w:val="0"/>
        </w:numPr>
        <w:spacing w:lineRule="auto" w:line="240" w:before="0" w:after="0"/>
        <w:ind w:hanging="0" w:start="360"/>
        <w:jc w:val="center"/>
        <w:rPr>
          <w:rFonts w:ascii="Times New Roman" w:hAnsi="Times New Roman"/>
          <w:sz w:val="24"/>
          <w:szCs w:val="24"/>
        </w:rPr>
      </w:pPr>
      <w:r>
        <w:rPr>
          <w:rFonts w:ascii="Times New Roman" w:hAnsi="Times New Roman"/>
          <w:sz w:val="24"/>
          <w:szCs w:val="24"/>
        </w:rPr>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Piedāvājumu drīkst iesniegt piegādātājs, kas ir juridiska vai fiziska persona (turpmāk – Pretendents), šādu personu apvienība jebkurā to kombinācijā (turpmāk arī – Pretendents), kas atbilst šādiem kritērijiem: </w:t>
      </w:r>
    </w:p>
    <w:p>
      <w:pPr>
        <w:pStyle w:val="ListParagraph"/>
        <w:widowControl/>
        <w:numPr>
          <w:ilvl w:val="0"/>
          <w:numId w:val="0"/>
        </w:numPr>
        <w:suppressAutoHyphens w:val="true"/>
        <w:bidi w:val="0"/>
        <w:spacing w:lineRule="auto" w:line="259" w:before="0" w:after="200"/>
        <w:ind w:hanging="0" w:start="-449" w:end="0"/>
        <w:contextualSpacing/>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3.1.1. Pretendents nav pasludināts par maksātnespējīgu, neatrodas likvidācijas procesā, tā saimnieciskā darbība nav </w:t>
        <w:tab/>
        <w:t>apgrūtināta vai pārtraukta, kā arī Pretendents nav iekļauts sankciju sarakstā.</w:t>
      </w:r>
    </w:p>
    <w:p>
      <w:pPr>
        <w:pStyle w:val="ListParagraph"/>
        <w:widowControl/>
        <w:numPr>
          <w:ilvl w:val="0"/>
          <w:numId w:val="0"/>
        </w:numPr>
        <w:suppressAutoHyphens w:val="true"/>
        <w:bidi w:val="0"/>
        <w:spacing w:lineRule="auto" w:line="259" w:before="0" w:after="200"/>
        <w:ind w:hanging="0" w:start="-449" w:end="0"/>
        <w:contextualSpacing/>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3.1.2. Pretendents nav saistīts ar pasūtītāju Latvijas Republikas likuma “Par nodokļiem un nodevām” izpratnē un </w:t>
        <w:tab/>
        <w:t xml:space="preserve">neatrodas interešu konfliktā saskaņā ar Latvijas Republikas Ministru kabineta 2017.gada 28. februāra </w:t>
        <w:tab/>
        <w:t xml:space="preserve">noteikumu Nr. 104 “Noteikumi par iepirkuma procedūru un tās piemērošanas kārtību pasūtītāja finansētiem </w:t>
        <w:tab/>
        <w:t>projektiem” 12. un 13. punktu.</w:t>
      </w:r>
    </w:p>
    <w:p>
      <w:pPr>
        <w:pStyle w:val="Normal"/>
        <w:spacing w:lineRule="auto" w:line="240" w:before="0" w:after="0"/>
        <w:ind w:hanging="567" w:start="567"/>
        <w:jc w:val="both"/>
        <w:rPr>
          <w:rFonts w:ascii="Times New Roman" w:hAnsi="Times New Roman" w:eastAsia="Times New Roman" w:cs="Times New Roman"/>
          <w:color w:val="000000"/>
          <w:sz w:val="24"/>
          <w:szCs w:val="24"/>
          <w:u w:val="none"/>
        </w:rPr>
      </w:pPr>
      <w:r>
        <w:rPr>
          <w:rFonts w:eastAsia="Times New Roman" w:cs="Times New Roman" w:ascii="Times New Roman" w:hAnsi="Times New Roman"/>
          <w:color w:val="000000"/>
          <w:sz w:val="24"/>
          <w:szCs w:val="24"/>
          <w:u w:val="none"/>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PRETENDENTU KVALIFIKĀCIJA</w:t>
      </w:r>
    </w:p>
    <w:p>
      <w:pPr>
        <w:pStyle w:val="Normal"/>
        <w:spacing w:lineRule="auto" w:line="240" w:before="0" w:after="0"/>
        <w:ind w:start="720"/>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r>
      <w:bookmarkStart w:id="4" w:name="_Toc64201623"/>
      <w:bookmarkStart w:id="5" w:name="_Toc45663519"/>
      <w:bookmarkStart w:id="6" w:name="_Toc141785293"/>
      <w:bookmarkStart w:id="7" w:name="_Toc141341762"/>
      <w:bookmarkStart w:id="8" w:name="_Toc79552066"/>
      <w:bookmarkStart w:id="9" w:name="_Toc73116766"/>
      <w:bookmarkStart w:id="10" w:name="_Toc72766066"/>
      <w:bookmarkStart w:id="11" w:name="_Toc65967969"/>
      <w:bookmarkStart w:id="12" w:name="_Toc65956610"/>
      <w:bookmarkStart w:id="13" w:name="_Toc65862771"/>
      <w:bookmarkStart w:id="14" w:name="_Toc65454241"/>
      <w:bookmarkStart w:id="15" w:name="_Toc64264072"/>
      <w:bookmarkStart w:id="16" w:name="_Toc64201623"/>
      <w:bookmarkStart w:id="17" w:name="_Toc45663519"/>
      <w:bookmarkStart w:id="18" w:name="_Toc141785293"/>
      <w:bookmarkStart w:id="19" w:name="_Toc141341762"/>
      <w:bookmarkStart w:id="20" w:name="_Toc79552066"/>
      <w:bookmarkStart w:id="21" w:name="_Toc73116766"/>
      <w:bookmarkStart w:id="22" w:name="_Toc72766066"/>
      <w:bookmarkStart w:id="23" w:name="_Toc65967969"/>
      <w:bookmarkStart w:id="24" w:name="_Toc65956610"/>
      <w:bookmarkStart w:id="25" w:name="_Toc65862771"/>
      <w:bookmarkStart w:id="26" w:name="_Toc65454241"/>
      <w:bookmarkStart w:id="27" w:name="_Toc64264072"/>
      <w:bookmarkEnd w:id="16"/>
      <w:bookmarkEnd w:id="17"/>
      <w:bookmarkEnd w:id="18"/>
      <w:bookmarkEnd w:id="19"/>
      <w:bookmarkEnd w:id="20"/>
      <w:bookmarkEnd w:id="21"/>
      <w:bookmarkEnd w:id="22"/>
      <w:bookmarkEnd w:id="23"/>
      <w:bookmarkEnd w:id="24"/>
      <w:bookmarkEnd w:id="25"/>
      <w:bookmarkEnd w:id="26"/>
      <w:bookmarkEnd w:id="27"/>
    </w:p>
    <w:tbl>
      <w:tblPr>
        <w:tblW w:w="10393" w:type="dxa"/>
        <w:jc w:val="start"/>
        <w:tblInd w:w="-464" w:type="dxa"/>
        <w:tblLayout w:type="fixed"/>
        <w:tblCellMar>
          <w:top w:w="0" w:type="dxa"/>
          <w:start w:w="108" w:type="dxa"/>
          <w:bottom w:w="0" w:type="dxa"/>
          <w:end w:w="108" w:type="dxa"/>
        </w:tblCellMar>
      </w:tblPr>
      <w:tblGrid>
        <w:gridCol w:w="5196"/>
        <w:gridCol w:w="5196"/>
      </w:tblGrid>
      <w:tr>
        <w:trPr/>
        <w:tc>
          <w:tcPr>
            <w:tcW w:w="5196" w:type="dxa"/>
            <w:tcBorders>
              <w:top w:val="single" w:sz="4" w:space="0" w:color="000000"/>
              <w:start w:val="single" w:sz="4" w:space="0" w:color="000000"/>
              <w:bottom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b/>
                <w:bCs/>
                <w:kern w:val="0"/>
                <w:sz w:val="22"/>
                <w:szCs w:val="22"/>
                <w:lang w:bidi="ar-SA"/>
              </w:rPr>
              <w:t>Prasības</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cs="Times New Roman" w:ascii="Times New Roman" w:hAnsi="Times New Roman"/>
                <w:b/>
                <w:bCs/>
                <w:kern w:val="0"/>
                <w:sz w:val="22"/>
                <w:szCs w:val="22"/>
                <w:lang w:bidi="ar-SA"/>
              </w:rPr>
              <w:t>Iesniedzamie atlases dokumenti</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Pieteikums par piedalīšanos iepirkumā,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apvienībā, pārstāvis ar pārstāvības tiesībām.</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 xml:space="preserve">1) Parakstīts </w:t>
            </w:r>
            <w:r>
              <w:rPr>
                <w:rFonts w:cs="Times New Roman" w:ascii="Times New Roman" w:hAnsi="Times New Roman"/>
                <w:b/>
                <w:bCs/>
                <w:kern w:val="0"/>
                <w:sz w:val="22"/>
                <w:szCs w:val="22"/>
                <w:lang w:bidi="ar-SA"/>
              </w:rPr>
              <w:t xml:space="preserve">pieteikums </w:t>
            </w:r>
            <w:r>
              <w:rPr>
                <w:rFonts w:cs="Times New Roman" w:ascii="Times New Roman" w:hAnsi="Times New Roman"/>
                <w:b/>
                <w:kern w:val="0"/>
                <w:sz w:val="22"/>
                <w:szCs w:val="22"/>
                <w:lang w:bidi="ar-SA"/>
              </w:rPr>
              <w:t>(1.pielikums)</w:t>
            </w:r>
            <w:r>
              <w:rPr>
                <w:rFonts w:cs="Times New Roman" w:ascii="Times New Roman" w:hAnsi="Times New Roman"/>
                <w:kern w:val="0"/>
                <w:sz w:val="22"/>
                <w:szCs w:val="22"/>
                <w:lang w:bidi="ar-SA"/>
              </w:rPr>
              <w:t xml:space="preserve"> par dalību iepirkumā.</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2) Pilnvara vai cits dokuments Pretendenta pārstāvības gadījumā</w:t>
            </w:r>
          </w:p>
        </w:tc>
      </w:tr>
      <w:tr>
        <w:trPr>
          <w:trHeight w:val="2394" w:hRule="atLeast"/>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Pretendents ir reģistrēts atbilstoši normatīvo aktu prasībām vai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 xml:space="preserve">retendenta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plāno piesaistīt apakšuzņēmējus).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Times New Roman" w:hAnsi="Times New Roman"/>
              </w:rPr>
            </w:pPr>
            <w:r>
              <w:rPr>
                <w:rFonts w:ascii="Times New Roman" w:hAnsi="Times New Roman"/>
                <w:bCs/>
                <w:kern w:val="0"/>
                <w:sz w:val="22"/>
                <w:szCs w:val="22"/>
                <w:lang w:bidi="hi-IN"/>
              </w:rPr>
              <w:t xml:space="preserve">1) Par Latvijas Republikā reģistrētu uzņēmumu pārstāvēt tiesīgām personām, kas reģistrētas Latvijas Republikas Uzņēmumu reģistrā, pasūtītājs pārliecināsies Uzņēmumu reģistra mājaslapā </w:t>
            </w:r>
            <w:hyperlink r:id="rId6">
              <w:r>
                <w:rPr>
                  <w:rStyle w:val="Hyperlink"/>
                  <w:rFonts w:ascii="Times New Roman" w:hAnsi="Times New Roman"/>
                  <w:bCs/>
                  <w:kern w:val="0"/>
                  <w:sz w:val="22"/>
                  <w:szCs w:val="22"/>
                  <w:lang w:bidi="hi-IN"/>
                </w:rPr>
                <w:t>www.ur.gov.lv</w:t>
              </w:r>
            </w:hyperlink>
            <w:r>
              <w:rPr>
                <w:rFonts w:ascii="Times New Roman" w:hAnsi="Times New Roman"/>
                <w:bCs/>
                <w:kern w:val="0"/>
                <w:sz w:val="22"/>
                <w:szCs w:val="22"/>
                <w:lang w:bidi="hi-IN"/>
              </w:rPr>
              <w:t>.</w:t>
            </w:r>
          </w:p>
          <w:p>
            <w:pPr>
              <w:pStyle w:val="Normal"/>
              <w:widowControl/>
              <w:suppressAutoHyphens w:val="true"/>
              <w:spacing w:lineRule="auto" w:line="240" w:before="0" w:after="0"/>
              <w:jc w:val="both"/>
              <w:rPr>
                <w:kern w:val="0"/>
                <w:sz w:val="22"/>
                <w:szCs w:val="22"/>
                <w:lang w:bidi="ar-SA"/>
              </w:rPr>
            </w:pPr>
            <w:r>
              <w:rPr>
                <w:rFonts w:ascii="Times New Roman" w:hAnsi="Times New Roman"/>
                <w:bCs/>
                <w:kern w:val="0"/>
                <w:sz w:val="22"/>
                <w:szCs w:val="22"/>
                <w:lang w:bidi="hi-IN"/>
              </w:rPr>
              <w:t xml:space="preserve">2) </w:t>
            </w:r>
            <w:r>
              <w:rPr>
                <w:rFonts w:ascii="Times New Roman" w:hAnsi="Times New Roman"/>
                <w:bCs/>
                <w:kern w:val="0"/>
                <w:sz w:val="22"/>
                <w:szCs w:val="22"/>
                <w:lang w:bidi="ar-SA"/>
              </w:rPr>
              <w:t xml:space="preserve">Par </w:t>
            </w:r>
            <w:r>
              <w:rPr>
                <w:rFonts w:cs="Times New Roman" w:ascii="Times New Roman" w:hAnsi="Times New Roman"/>
                <w:kern w:val="0"/>
                <w:sz w:val="22"/>
                <w:szCs w:val="22"/>
                <w:lang w:bidi="ar-SA"/>
              </w:rPr>
              <w:t>Latvijas Republikā reģistrēto</w:t>
            </w:r>
            <w:r>
              <w:rPr>
                <w:rFonts w:ascii="Times New Roman" w:hAnsi="Times New Roman"/>
                <w:kern w:val="0"/>
                <w:sz w:val="22"/>
                <w:szCs w:val="22"/>
                <w:lang w:bidi="ar-SA"/>
              </w:rPr>
              <w:t xml:space="preserve"> </w:t>
            </w:r>
            <w:r>
              <w:rPr>
                <w:rFonts w:eastAsia="Times New Roman" w:cs="Times New Roman" w:ascii="Times New Roman" w:hAnsi="Times New Roman"/>
                <w:kern w:val="0"/>
                <w:sz w:val="22"/>
                <w:szCs w:val="22"/>
                <w:lang w:eastAsia="en-US" w:bidi="ar-SA"/>
              </w:rPr>
              <w:t>P</w:t>
            </w:r>
            <w:r>
              <w:rPr>
                <w:rFonts w:ascii="Times New Roman" w:hAnsi="Times New Roman"/>
                <w:bCs/>
                <w:kern w:val="0"/>
                <w:sz w:val="22"/>
                <w:szCs w:val="22"/>
                <w:lang w:bidi="ar-SA"/>
              </w:rPr>
              <w:t xml:space="preserve">retendentu reģistrāciju </w:t>
            </w:r>
            <w:r>
              <w:rPr>
                <w:rFonts w:cs="Times New Roman" w:ascii="Times New Roman" w:hAnsi="Times New Roman"/>
                <w:kern w:val="0"/>
                <w:sz w:val="22"/>
                <w:szCs w:val="22"/>
                <w:lang w:bidi="ar-SA"/>
              </w:rPr>
              <w:t xml:space="preserve">Būvkomersantu reģistrā (BIS) Komisija pārliecināsies </w:t>
            </w:r>
            <w:hyperlink r:id="rId7">
              <w:r>
                <w:rPr>
                  <w:rStyle w:val="Hyperlink"/>
                  <w:rFonts w:cs="Times New Roman" w:ascii="Times New Roman" w:hAnsi="Times New Roman"/>
                  <w:kern w:val="0"/>
                  <w:sz w:val="22"/>
                  <w:szCs w:val="22"/>
                  <w:lang w:bidi="ar-SA"/>
                </w:rPr>
                <w:t>https://bis.gov.lv/registri/buvniecibas-informacijas-sistemas-registri</w:t>
              </w:r>
            </w:hyperlink>
            <w:r>
              <w:rPr>
                <w:kern w:val="0"/>
                <w:sz w:val="22"/>
                <w:szCs w:val="22"/>
                <w:lang w:bidi="ar-SA"/>
              </w:rPr>
              <w:t>.</w:t>
            </w:r>
          </w:p>
          <w:p>
            <w:pPr>
              <w:pStyle w:val="Normal"/>
              <w:widowControl w:val="false"/>
              <w:suppressAutoHyphens w:val="true"/>
              <w:spacing w:lineRule="auto" w:line="240" w:before="0" w:after="0"/>
              <w:jc w:val="both"/>
              <w:rPr>
                <w:rFonts w:ascii="Times New Roman" w:hAnsi="Times New Roman"/>
              </w:rPr>
            </w:pPr>
            <w:r>
              <w:rPr>
                <w:rFonts w:eastAsia="Calibri" w:cs="Times New Roman" w:ascii="Times New Roman" w:hAnsi="Times New Roman"/>
                <w:kern w:val="0"/>
                <w:sz w:val="22"/>
                <w:szCs w:val="22"/>
                <w:lang w:bidi="ar-SA"/>
              </w:rPr>
              <w:t>3) Pretendents, kas reģistrēts ārvalstīs</w:t>
            </w:r>
            <w:r>
              <w:rPr>
                <w:rFonts w:eastAsia="Calibri" w:cs="Times New Roman" w:ascii="Times New Roman" w:hAnsi="Times New Roman"/>
                <w:kern w:val="0"/>
                <w:sz w:val="22"/>
                <w:szCs w:val="22"/>
                <w:u w:val="single"/>
                <w:lang w:bidi="ar-SA"/>
              </w:rPr>
              <w:t>,</w:t>
            </w:r>
            <w:r>
              <w:rPr>
                <w:rFonts w:eastAsia="Calibri" w:cs="Times New Roman" w:ascii="Times New Roman" w:hAnsi="Times New Roman"/>
                <w:kern w:val="0"/>
                <w:sz w:val="22"/>
                <w:szCs w:val="22"/>
                <w:lang w:bidi="ar-SA"/>
              </w:rPr>
              <w:t xml:space="preserve"> iesniedz dokumenta kopiju, kas apliecina reģistrāciju atbilstoši tās valsts normatīvo aktu prasībām. </w:t>
            </w:r>
            <w:r>
              <w:rPr>
                <w:rFonts w:cs="Times New Roman" w:ascii="Times New Roman" w:hAnsi="Times New Roman"/>
                <w:kern w:val="0"/>
                <w:sz w:val="22"/>
                <w:szCs w:val="22"/>
                <w:lang w:bidi="ar-SA"/>
              </w:rPr>
              <w:t>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 vai, piemēram, norāda publiski pieejamu reģistru, kur Komisija var pārliecināties par Pretendenta reģistrācijas faktu.</w:t>
            </w:r>
          </w:p>
          <w:p>
            <w:pPr>
              <w:pStyle w:val="Normal"/>
              <w:widowControl/>
              <w:tabs>
                <w:tab w:val="clear" w:pos="720"/>
                <w:tab w:val="left" w:pos="426" w:leader="none"/>
              </w:tabs>
              <w:suppressAutoHyphens w:val="true"/>
              <w:spacing w:lineRule="auto" w:line="240" w:before="0" w:after="0"/>
              <w:jc w:val="start"/>
              <w:rPr>
                <w:rFonts w:ascii="Times New Roman" w:hAnsi="Times New Roman" w:cs="Times New Roman"/>
              </w:rPr>
            </w:pPr>
            <w:r>
              <w:rPr>
                <w:rFonts w:cs="Times New Roman"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Pretendentam jāiesniedz informācija par iepirkuma līguma daļām, kuras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ir paredzējis nodot apakšuzņēmējiem, kuru sniedzamo pakalpojumu vērtība ir vismaz 10 000 EUR, un katram šādam apakšuzņēmējam izpildei nododamo iepirkuma līguma daļu.</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1) Ja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retendents paredzējis piesaistīt apakšuzņēmējus, jāiesniedz 5.pielikuma veidlapa.</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2) Ja tiek piesaistīts apakšuzņēmējs, papildus 5.pielikuma veidlapai jāpievieno vienošanos vai kādu citu dokumentu, kas apliecina sadarbību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retendentam ar apakšuzņēmēju iepirkuma līguma ietvaros, kurā norādīta izpildei nododamā iepirkuma līguma daļa, norādot kādus darbus apakšuzņēmējs veiks, un nododamās daļas apjoms procentuālā un finansiālā izteiksmē.</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3) Informācija ir jāiesniedz arī par šādu apakšuzņēmēju apakšuzņēmējiem, kuru veicamo darbu daļa vai sniedzamo pakalpojumu vērtība ir vismaz 10 000 EUR.</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4) Apakšuzņēmēju sarakstā norāda arī tos apakšuzņēmējus, uz kuru iespējām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retendents balstās, ja tas ir nepieciešams kvalifikācijas pierādīšanai vai iepirkuma līguma izpildei (ja attiecināms).</w:t>
            </w:r>
          </w:p>
          <w:p>
            <w:pPr>
              <w:pStyle w:val="Normal"/>
              <w:widowControl/>
              <w:suppressAutoHyphens w:val="true"/>
              <w:spacing w:lineRule="auto" w:line="240" w:before="0" w:after="200"/>
              <w:jc w:val="both"/>
              <w:rPr>
                <w:rFonts w:ascii="Times New Roman" w:hAnsi="Times New Roman" w:cs="Times New Roman"/>
                <w:color w:themeColor="dark1" w:val="000000"/>
              </w:rPr>
            </w:pPr>
            <w:r>
              <w:rPr>
                <w:rFonts w:cs="Times New Roman" w:ascii="Times New Roman" w:hAnsi="Times New Roman"/>
                <w:color w:themeColor="dark1" w:val="000000"/>
              </w:rPr>
            </w:r>
          </w:p>
          <w:p>
            <w:pPr>
              <w:pStyle w:val="Normal"/>
              <w:widowControl w:val="false"/>
              <w:suppressAutoHyphens w:val="true"/>
              <w:spacing w:lineRule="auto" w:line="240" w:before="0" w:after="0"/>
              <w:jc w:val="start"/>
              <w:rPr>
                <w:rFonts w:ascii="Times New Roman" w:hAnsi="Times New Roman" w:cs="Times New Roman"/>
                <w:lang w:eastAsia="zh-CN"/>
              </w:rPr>
            </w:pPr>
            <w:r>
              <w:rPr>
                <w:rFonts w:cs="Times New Roman" w:ascii="Times New Roman" w:hAnsi="Times New Roman"/>
                <w:lang w:eastAsia="zh-C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Pretendentam iepriekšējo 3 (trīs) gadu laikā (t.i. 2023., 2024., 2025. un 2026.gadā līdz piedāvājuma iesniegšanas dienai) ir pieredze vismaz 1 (viena) līdzvērtīga līguma izpildīšanā.</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Par līdzvērtīgu tiks uzskatīts līgums, kura ietvaros ir veikti telpu pārbūves, atjaunošanas vai iekštelpu remonta darbi, un šie darbi līgumā noteiktajā termiņā un kvalitātē ir pilnībā pabeigti.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Ja piedāvājumu iesniedz piegādātāju apvienība vai personālsabiedrība,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pieredzi var apliecināt ar viena dalībnieka prasībām atbilstošu pieredzi.</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eastAsia="Times New Roman" w:cs="Times New Roman" w:ascii="Times New Roman" w:hAnsi="Times New Roman"/>
                <w:kern w:val="0"/>
                <w:sz w:val="22"/>
                <w:szCs w:val="22"/>
                <w:lang w:eastAsia="en-US" w:bidi="ar-SA"/>
              </w:rPr>
              <w:t>1) Atsauksme no klienta.</w:t>
            </w:r>
          </w:p>
          <w:p>
            <w:pPr>
              <w:pStyle w:val="Normal"/>
              <w:widowControl/>
              <w:suppressAutoHyphens w:val="true"/>
              <w:spacing w:lineRule="auto" w:line="240" w:before="0" w:after="0"/>
              <w:jc w:val="start"/>
              <w:rPr>
                <w:rFonts w:ascii="Times New Roman" w:hAnsi="Times New Roman"/>
              </w:rPr>
            </w:pPr>
            <w:r>
              <w:rPr>
                <w:rFonts w:eastAsia="Times New Roman" w:cs="Times New Roman" w:ascii="Times New Roman" w:hAnsi="Times New Roman"/>
                <w:kern w:val="0"/>
                <w:sz w:val="22"/>
                <w:szCs w:val="22"/>
                <w:lang w:eastAsia="en-US" w:bidi="ar-SA"/>
              </w:rPr>
              <w:t xml:space="preserve">2) </w:t>
            </w:r>
            <w:bookmarkStart w:id="28" w:name="_Hlk65161906"/>
            <w:bookmarkStart w:id="29" w:name="_Hlk65139486"/>
            <w:r>
              <w:rPr>
                <w:rFonts w:eastAsia="Times New Roman" w:cs="Times New Roman" w:ascii="Times New Roman" w:hAnsi="Times New Roman"/>
                <w:kern w:val="0"/>
                <w:sz w:val="22"/>
                <w:szCs w:val="22"/>
                <w:lang w:eastAsia="en-US" w:bidi="ar-SA"/>
              </w:rPr>
              <w:t>Dokumenti, kas var apliecināt, ka objekts nodots ekspluatācijā.</w:t>
            </w:r>
            <w:bookmarkEnd w:id="29"/>
          </w:p>
          <w:p>
            <w:pPr>
              <w:pStyle w:val="Normal"/>
              <w:widowControl/>
              <w:numPr>
                <w:ilvl w:val="0"/>
                <w:numId w:val="0"/>
              </w:numPr>
              <w:suppressAutoHyphens w:val="true"/>
              <w:spacing w:lineRule="auto" w:line="240" w:before="0" w:after="0"/>
              <w:ind w:hanging="0" w:start="34"/>
              <w:jc w:val="both"/>
              <w:outlineLvl w:val="2"/>
              <w:rPr>
                <w:rFonts w:ascii="Times New Roman" w:hAnsi="Times New Roman"/>
              </w:rPr>
            </w:pPr>
            <w:r>
              <w:rPr>
                <w:rFonts w:cs="Times New Roman" w:ascii="Times New Roman" w:hAnsi="Times New Roman"/>
                <w:iCs/>
                <w:kern w:val="0"/>
                <w:sz w:val="22"/>
                <w:szCs w:val="22"/>
                <w:lang w:bidi="ar-SA"/>
              </w:rPr>
              <w:t xml:space="preserve">3) Ārvalstu </w:t>
            </w:r>
            <w:r>
              <w:rPr>
                <w:rFonts w:eastAsia="Times New Roman" w:cs="Times New Roman" w:ascii="Times New Roman" w:hAnsi="Times New Roman"/>
                <w:kern w:val="0"/>
                <w:sz w:val="22"/>
                <w:szCs w:val="22"/>
                <w:lang w:eastAsia="en-US" w:bidi="ar-SA"/>
              </w:rPr>
              <w:t>P</w:t>
            </w:r>
            <w:r>
              <w:rPr>
                <w:rFonts w:cs="Times New Roman" w:ascii="Times New Roman" w:hAnsi="Times New Roman"/>
                <w:iCs/>
                <w:kern w:val="0"/>
                <w:sz w:val="22"/>
                <w:szCs w:val="22"/>
                <w:lang w:bidi="ar-SA"/>
              </w:rPr>
              <w:t>retendenti iesniedz attiecīgus līdzvērtīgus dokumentus</w:t>
            </w:r>
            <w:r>
              <w:rPr>
                <w:rFonts w:cs="Times New Roman" w:ascii="Times New Roman" w:hAnsi="Times New Roman"/>
                <w:kern w:val="0"/>
                <w:sz w:val="22"/>
                <w:szCs w:val="22"/>
                <w:lang w:eastAsia="ar-SA" w:bidi="ar-SA"/>
              </w:rPr>
              <w:t>.</w:t>
            </w:r>
            <w:bookmarkEnd w:id="28"/>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Pretendentam ir/vai, noslēdzot līgumu, tas nodrošinās savas profesionālās civiltiesiskās darbības apdrošināšanu (ar atbildības limitu, kas atbilst piedāvājuma līgumcenai).</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ascii="Times New Roman" w:hAnsi="Times New Roman"/>
                <w:bCs/>
                <w:kern w:val="0"/>
                <w:sz w:val="22"/>
                <w:szCs w:val="22"/>
                <w:lang w:bidi="ar-SA"/>
              </w:rPr>
              <w:t xml:space="preserve">Apliecinājums, ka </w:t>
            </w:r>
            <w:r>
              <w:rPr>
                <w:rFonts w:eastAsia="Times New Roman" w:cs="Times New Roman" w:ascii="Times New Roman" w:hAnsi="Times New Roman"/>
                <w:kern w:val="0"/>
                <w:sz w:val="22"/>
                <w:szCs w:val="22"/>
                <w:lang w:eastAsia="en-US" w:bidi="ar-SA"/>
              </w:rPr>
              <w:t>P</w:t>
            </w:r>
            <w:r>
              <w:rPr>
                <w:rFonts w:cs="Times New Roman" w:ascii="Times New Roman" w:hAnsi="Times New Roman"/>
                <w:bCs/>
                <w:kern w:val="0"/>
                <w:sz w:val="22"/>
                <w:szCs w:val="22"/>
                <w:lang w:bidi="ar-SA"/>
              </w:rPr>
              <w:t>retendentam ir/vai, noslēdzot līgumu, tas veiks savas profesionālās civiltiesiskās darbības apdrošināšanu</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iesniedz Pasūtītāja sagatavoto tehnisko specifikāciju, ietverot tajā prasīto informāciju.</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ascii="Times New Roman" w:hAnsi="Times New Roman"/>
                <w:kern w:val="0"/>
                <w:sz w:val="22"/>
                <w:szCs w:val="22"/>
                <w:lang w:bidi="ar-SA"/>
              </w:rPr>
              <w:t>Tehniskā specifikācija (2.pielikums)</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iesniedz tāmi, kas sagatavota atbilstoši LR spēkā esošo normatīvi aktu prasībām un saskaņā ar Pasūtītāja sagatavoto tehnisko specifikāciju (2.pielikums).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Ja tehniskajā specifikācijā minēti konkrēti ražotāji vai produktu nosaukumi, konkrētas metodes, Pretendents drīkst piedāvāt citu ražotāju analogus, kuri kvalitātes, izpildījuma, ekspluatācijas īpašību, savietojamības un funkcionalitātes ziņā ir līdzvērtīgi.</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Tāme</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sagatavo un iesniedz finanšu piedāvājumu (3.pielikums) atbilstoši publicētajai veidlapai (formai)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Piedāvājuma cenā jābūt iekļautiem visiem plānotajiem izdevumiem par darbu, pakalpojumiem, materiāliem un iekārtām, kas nepieciešami iepirkuma līguma izpildei pilnā apmērā un atbilstošā kvalitātē. Darbu izpildītājam ir jāparedz visi iespējamie riski saistībā ar iespējamo izdevumu palielināšanos.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Piedāvājuma cena jānorāda ar precizitāti 2 (divas) zīmes aiz komata.</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Finanšu piedāvājums (3.pielikums).</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Citi dokumenti.</w:t>
            </w:r>
          </w:p>
        </w:tc>
        <w:tc>
          <w:tcPr>
            <w:tcW w:w="5196" w:type="dxa"/>
            <w:tcBorders>
              <w:top w:val="single" w:sz="4" w:space="0" w:color="000000"/>
              <w:bottom w:val="single" w:sz="4" w:space="0" w:color="000000"/>
              <w:end w:val="single" w:sz="4" w:space="0" w:color="000000"/>
            </w:tcBorders>
          </w:tcPr>
          <w:p>
            <w:pPr>
              <w:pStyle w:val="Normal"/>
              <w:widowControl w:val="false"/>
              <w:suppressAutoHyphens w:val="true"/>
              <w:spacing w:lineRule="auto" w:line="240" w:before="40" w:after="40"/>
              <w:jc w:val="both"/>
              <w:rPr>
                <w:rFonts w:ascii="Times New Roman" w:hAnsi="Times New Roman"/>
              </w:rPr>
            </w:pPr>
            <w:r>
              <w:rPr>
                <w:rFonts w:eastAsia="Times New Roman" w:cs="Times New Roman" w:ascii="Times New Roman" w:hAnsi="Times New Roman"/>
                <w:bCs/>
                <w:kern w:val="0"/>
                <w:sz w:val="22"/>
                <w:szCs w:val="22"/>
                <w:lang w:bidi="ar-SA"/>
              </w:rPr>
              <w:t xml:space="preserve">Pretendents iesniedz citus ar </w:t>
            </w:r>
            <w:r>
              <w:rPr>
                <w:rFonts w:eastAsia="Times New Roman" w:cs="Times New Roman" w:ascii="Times New Roman" w:hAnsi="Times New Roman"/>
                <w:bCs/>
                <w:kern w:val="0"/>
                <w:sz w:val="22"/>
                <w:szCs w:val="22"/>
                <w:lang w:eastAsia="en-US" w:bidi="ar-SA"/>
              </w:rPr>
              <w:t>piedāvājumu saistītus dokumentus, lai apliecinātu atbilstību Nolikumā noteiktajām prasībām.</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tabs>
                <w:tab w:val="clear" w:pos="720"/>
                <w:tab w:val="left" w:pos="743" w:leader="none"/>
              </w:tabs>
              <w:suppressAutoHyphens w:val="true"/>
              <w:bidi w:val="0"/>
              <w:spacing w:lineRule="auto" w:line="240" w:before="40" w:after="40"/>
              <w:ind w:hanging="0" w:start="0" w:end="360"/>
              <w:contextualSpacing/>
              <w:jc w:val="both"/>
              <w:rPr>
                <w:rFonts w:ascii="Times New Roman" w:hAnsi="Times New Roman"/>
              </w:rPr>
            </w:pPr>
            <w:r>
              <w:rPr>
                <w:rFonts w:ascii="Times New Roman" w:hAnsi="Times New Roman"/>
                <w:iCs/>
                <w:kern w:val="0"/>
                <w:sz w:val="22"/>
                <w:szCs w:val="22"/>
                <w:lang w:bidi="ar-SA"/>
              </w:rPr>
              <w:t xml:space="preserve">Pretendents var balstīties uz citu personu tehniskajām un profesionālajām iespējām, ja tas ir nepieciešams konkrētā līguma izpildei, neatkarīgi no savstarpējo attiecību tiesiskā rakstura. Šādā gadījumā </w:t>
            </w:r>
            <w:r>
              <w:rPr>
                <w:rFonts w:ascii="Times New Roman" w:hAnsi="Times New Roman"/>
                <w:kern w:val="0"/>
                <w:sz w:val="22"/>
                <w:szCs w:val="22"/>
                <w:lang w:eastAsia="en-US" w:bidi="ar-SA"/>
              </w:rPr>
              <w:t>P</w:t>
            </w:r>
            <w:r>
              <w:rPr>
                <w:rFonts w:ascii="Times New Roman" w:hAnsi="Times New Roman"/>
                <w:iCs/>
                <w:kern w:val="0"/>
                <w:sz w:val="22"/>
                <w:szCs w:val="22"/>
                <w:lang w:bidi="ar-SA"/>
              </w:rPr>
              <w:t>retendents pierāda pasūtītājam, ka viņa rīcībā būs nepieciešamie resursi, iesniedzot šī uzņēmēja apliecinājumu vai vienošanos par sadarbību konkrētā līguma izpildei ar norādi par nepieciešamo resursu nodošanas veidu (kā tiks nodoti resursi) un apjomu.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Times New Roman" w:cs="Times New Roman"/>
                <w:bCs/>
              </w:rPr>
            </w:pPr>
            <w:r>
              <w:rPr>
                <w:rFonts w:ascii="Times New Roman" w:hAnsi="Times New Roman"/>
                <w:iCs/>
                <w:kern w:val="0"/>
                <w:sz w:val="22"/>
                <w:szCs w:val="22"/>
                <w:lang w:bidi="ar-SA"/>
              </w:rPr>
              <w:t xml:space="preserve">Pretendents var balstīties uz citu </w:t>
            </w:r>
            <w:r>
              <w:rPr>
                <w:rFonts w:eastAsia="Calibri" w:cs="Times New Roman" w:ascii="Times New Roman" w:hAnsi="Times New Roman"/>
                <w:color w:val="000000"/>
                <w:kern w:val="0"/>
                <w:sz w:val="22"/>
                <w:szCs w:val="22"/>
                <w:lang w:bidi="ar-SA"/>
              </w:rPr>
              <w:t>personu saimnieciskajām un finansiālajām iespējām</w:t>
            </w:r>
            <w:r>
              <w:rPr>
                <w:rFonts w:ascii="Times New Roman" w:hAnsi="Times New Roman"/>
                <w:iCs/>
                <w:kern w:val="0"/>
                <w:sz w:val="22"/>
                <w:szCs w:val="22"/>
                <w:lang w:bidi="ar-SA"/>
              </w:rPr>
              <w:t xml:space="preserve">, ja tas ir nepieciešams konkrētā līguma izpildei, neatkarīgi no savstarpējo attiecību tiesiskā rakstura. </w:t>
            </w:r>
            <w:r>
              <w:rPr>
                <w:rFonts w:eastAsia="Calibri" w:cs="Times New Roman" w:ascii="Times New Roman" w:hAnsi="Times New Roman"/>
                <w:color w:val="000000"/>
                <w:kern w:val="0"/>
                <w:sz w:val="22"/>
                <w:szCs w:val="22"/>
                <w:lang w:bidi="ar-SA"/>
              </w:rPr>
              <w:t>Šajā gadījumā Pretendents un persona, uz kuras saimnieciskajām un finansiālajām iespējām tas balstās, ir solidāri atbildīgi par iepirkuma līguma izpildi. Pretendents pierāda, ka tā rīcībā būs nepieciešamie resursi, iesniedzot šo personu apliecinājumu vai vienošanos par sadarbību konkrētā līguma izpildē.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līguma izpildi, kā arī norāda, kādā veidā šī persona ir paredzējusi uzņemties solidāro atbildību par līguma izpildi.</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Calibri" w:cs="Times New Roman"/>
                <w:color w:val="000000"/>
                <w:kern w:val="0"/>
                <w:sz w:val="22"/>
                <w:szCs w:val="22"/>
                <w:lang w:val="lv-LV" w:eastAsia="lv-LV" w:bidi="ar-SA"/>
              </w:rPr>
            </w:pPr>
            <w:r>
              <w:rPr>
                <w:rFonts w:eastAsia="Calibri" w:cs="Times New Roman" w:ascii="Times New Roman" w:hAnsi="Times New Roman"/>
                <w:color w:val="000000"/>
                <w:kern w:val="0"/>
                <w:sz w:val="22"/>
                <w:szCs w:val="22"/>
                <w:lang w:val="lv-LV" w:eastAsia="lv-LV" w:bidi="ar-SA"/>
              </w:rPr>
              <w:t>Pretendentam jānorāda visus apakšuzņēmējus un apakšuzņēmēja apakšuzņēmējus, ja tādi tiek piesaistīti. Ar apakšuzņēmēju ir saprotama Pretendenta nolīgta persona vai tās nolīgta persona, kura piedalās iepirkuma līguma izpildē. Pretendentam jāiesniedz piesaistīto apakšuzņēmēju saraksts (5.pielikums), norādot tajā katram apakšuzņēmējam izpildei nododamo līguma daļu saskaņā ar tehnisko specifikāciju vai tāmi, un pievienojot finanšu aprēķinus, kas norāda līguma nododamo daļu procentuālo vērtību.</w:t>
            </w:r>
          </w:p>
        </w:tc>
      </w:tr>
    </w:tbl>
    <w:p>
      <w:pPr>
        <w:pStyle w:val="Normal"/>
        <w:numPr>
          <w:ilvl w:val="0"/>
          <w:numId w:val="4"/>
        </w:numPr>
        <w:spacing w:lineRule="auto" w:line="240" w:before="285" w:after="285"/>
        <w:ind w:hanging="360" w:start="72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PIEDĀVĀJUMA SAGATAVOŠANAS UN IESNIEGŠANAS KĀRTĪBA</w:t>
      </w:r>
    </w:p>
    <w:p>
      <w:pPr>
        <w:pStyle w:val="ListParagraph"/>
        <w:numPr>
          <w:ilvl w:val="1"/>
          <w:numId w:val="4"/>
        </w:numPr>
        <w:spacing w:lineRule="auto" w:line="259"/>
        <w:ind w:hanging="432" w:start="0"/>
        <w:jc w:val="both"/>
        <w:rPr>
          <w:rFonts w:ascii="Times New Roman" w:hAnsi="Times New Roman"/>
        </w:rPr>
      </w:pPr>
      <w:r>
        <w:rPr>
          <w:rFonts w:eastAsia="Calibri" w:cs="Times New Roman" w:ascii="Times New Roman" w:hAnsi="Times New Roman"/>
          <w:bCs/>
          <w:kern w:val="2"/>
          <w:lang w:eastAsia="en-US"/>
        </w:rPr>
        <w:t>Pretendentam jāaizpilda un jāiesniedz atbilstoši Nolikuma pielikumā sagatavotajām veidlapām:</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Pretendenta pieteikums dalībai konkursā (Nolikuma 1. 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tehniskā specifikācija (Nolikuma 2. un 2.1.pielikums);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finanšu piedāvājums (Nolikuma 3. 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līguma projekts (Nolikuma 4.pielikums);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apakšuz</w:t>
      </w:r>
      <w:r>
        <w:rPr>
          <w:rFonts w:eastAsia="Calibri" w:cs="Times New Roman" w:ascii="Times New Roman" w:hAnsi="Times New Roman"/>
          <w:b w:val="false"/>
          <w:bCs w:val="false"/>
          <w:kern w:val="2"/>
          <w:u w:val="none"/>
          <w:lang w:eastAsia="en-US"/>
        </w:rPr>
        <w:t>ņēmēju apliecinājums (Nolikuma 5.pielikums);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apliecinājums par neatkarīgi izstrādātu piedāvājumu (Nolikuma 6. 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objektu apsekošanas veidlapa (Nolikuma 7.pielikums);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apliecinājums par interešu konflikta neesamību (Nolikuma 8.pielikums).</w:t>
      </w:r>
    </w:p>
    <w:p>
      <w:pPr>
        <w:pStyle w:val="ListParagraph"/>
        <w:numPr>
          <w:ilvl w:val="1"/>
          <w:numId w:val="4"/>
        </w:numPr>
        <w:spacing w:lineRule="auto" w:line="259"/>
        <w:ind w:hanging="432" w:start="0"/>
        <w:jc w:val="both"/>
        <w:rPr>
          <w:b w:val="false"/>
          <w:bCs w:val="false"/>
          <w:u w:val="none"/>
        </w:rPr>
      </w:pPr>
      <w:r>
        <w:rPr>
          <w:rFonts w:eastAsia="Calibri" w:cs="Times New Roman" w:ascii="Times New Roman" w:hAnsi="Times New Roman"/>
          <w:b w:val="false"/>
          <w:bCs w:val="false"/>
          <w:kern w:val="2"/>
          <w:u w:val="none"/>
          <w:lang w:eastAsia="en-US"/>
        </w:rPr>
        <w:t>Pretendents var pievienot piedāvājumam citu informāciju pēc saviem ieskatiem.</w:t>
      </w:r>
    </w:p>
    <w:p>
      <w:pPr>
        <w:pStyle w:val="ListParagraph"/>
        <w:numPr>
          <w:ilvl w:val="1"/>
          <w:numId w:val="4"/>
        </w:numPr>
        <w:spacing w:lineRule="auto" w:line="259"/>
        <w:ind w:hanging="432" w:start="0"/>
        <w:jc w:val="both"/>
        <w:rPr/>
      </w:pPr>
      <w:r>
        <w:rPr>
          <w:rFonts w:eastAsia="Calibri" w:cs="Times New Roman" w:ascii="Times New Roman" w:hAnsi="Times New Roman"/>
          <w:b/>
          <w:bCs/>
          <w:kern w:val="2"/>
          <w:lang w:eastAsia="en-US"/>
        </w:rPr>
        <w:t>Piedāvājums iesniedzams elektroniski, parakstīts ar drošu elektronisko parakstu, kas satur laika zīmogu līd</w:t>
      </w:r>
      <w:r>
        <w:rPr>
          <w:rFonts w:eastAsia="Calibri" w:cs="Times New Roman" w:ascii="Times New Roman" w:hAnsi="Times New Roman"/>
          <w:b/>
          <w:bCs/>
          <w:kern w:val="2"/>
          <w:shd w:fill="auto" w:val="clear"/>
          <w:lang w:eastAsia="en-US"/>
        </w:rPr>
        <w:t>z 2026. gada 0</w:t>
      </w:r>
      <w:r>
        <w:rPr>
          <w:rFonts w:eastAsia="Calibri" w:cs="Times New Roman" w:ascii="Times New Roman" w:hAnsi="Times New Roman"/>
          <w:b/>
          <w:bCs/>
          <w:kern w:val="2"/>
          <w:shd w:fill="auto" w:val="clear"/>
          <w:lang w:eastAsia="en-US"/>
        </w:rPr>
        <w:t>8</w:t>
      </w:r>
      <w:r>
        <w:rPr>
          <w:rFonts w:eastAsia="Calibri" w:cs="Times New Roman" w:ascii="Times New Roman" w:hAnsi="Times New Roman"/>
          <w:b/>
          <w:bCs/>
          <w:kern w:val="2"/>
          <w:shd w:fill="auto" w:val="clear"/>
          <w:lang w:eastAsia="en-US"/>
        </w:rPr>
        <w:t>. aprīlim plkst. 16.00 u</w:t>
      </w:r>
      <w:r>
        <w:rPr>
          <w:rFonts w:eastAsia="Calibri" w:cs="Times New Roman" w:ascii="Times New Roman" w:hAnsi="Times New Roman"/>
          <w:b/>
          <w:bCs/>
          <w:kern w:val="2"/>
          <w:lang w:eastAsia="en-US"/>
        </w:rPr>
        <w:t>z e-pasta adresi</w:t>
      </w:r>
      <w:r>
        <w:rPr>
          <w:rFonts w:eastAsia="Calibri" w:cs="Times New Roman" w:ascii="Times New Roman" w:hAnsi="Times New Roman"/>
          <w:bCs/>
          <w:kern w:val="2"/>
          <w:lang w:eastAsia="en-US"/>
        </w:rPr>
        <w:t xml:space="preserve">: </w:t>
      </w:r>
      <w:hyperlink r:id="rId8">
        <w:r>
          <w:rPr>
            <w:rStyle w:val="Hyperlink"/>
            <w:rFonts w:ascii="Times New Roman" w:hAnsi="Times New Roman"/>
          </w:rPr>
          <w:t>iepirkumi@mfd.lv</w:t>
        </w:r>
      </w:hyperlink>
      <w:r>
        <w:rPr>
          <w:rStyle w:val="Hyperlink"/>
          <w:rFonts w:eastAsia="Calibri" w:cs="Times New Roman" w:ascii="Times New Roman" w:hAnsi="Times New Roman"/>
          <w:bCs/>
          <w:color w:val="auto"/>
          <w:kern w:val="2"/>
          <w:lang w:eastAsia="en-US"/>
        </w:rPr>
        <w:t xml:space="preserve">. </w:t>
      </w:r>
    </w:p>
    <w:p>
      <w:pPr>
        <w:pStyle w:val="ListParagraph"/>
        <w:numPr>
          <w:ilvl w:val="1"/>
          <w:numId w:val="4"/>
        </w:numPr>
        <w:spacing w:lineRule="auto" w:line="259"/>
        <w:ind w:hanging="432" w:start="0"/>
        <w:jc w:val="both"/>
        <w:rPr>
          <w:rFonts w:ascii="Times New Roman" w:hAnsi="Times New Roman"/>
        </w:rPr>
      </w:pPr>
      <w:r>
        <w:rPr>
          <w:rFonts w:eastAsia="Calibri" w:cs="Times New Roman" w:ascii="Times New Roman" w:hAnsi="Times New Roman"/>
          <w:bCs/>
          <w:kern w:val="2"/>
          <w:lang w:eastAsia="en-US"/>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pPr>
        <w:pStyle w:val="ListParagraph"/>
        <w:numPr>
          <w:ilvl w:val="1"/>
          <w:numId w:val="4"/>
        </w:numPr>
        <w:spacing w:lineRule="auto" w:line="259"/>
        <w:ind w:hanging="432" w:start="0"/>
        <w:jc w:val="both"/>
        <w:rPr>
          <w:rFonts w:ascii="Times New Roman" w:hAnsi="Times New Roman"/>
        </w:rPr>
      </w:pPr>
      <w:bookmarkStart w:id="30" w:name="_Toc64201623_Copy_2"/>
      <w:bookmarkStart w:id="31" w:name="_Toc45663519_Copy_2"/>
      <w:bookmarkStart w:id="32" w:name="_Toc141785293_Copy_2"/>
      <w:bookmarkStart w:id="33" w:name="_Toc141341762_Copy_2"/>
      <w:bookmarkStart w:id="34" w:name="_Toc79552066_Copy_2"/>
      <w:bookmarkStart w:id="35" w:name="_Toc73116766_Copy_2"/>
      <w:bookmarkStart w:id="36" w:name="_Toc72766066_Copy_2"/>
      <w:bookmarkStart w:id="37" w:name="_Toc65967969_Copy_2"/>
      <w:bookmarkStart w:id="38" w:name="_Toc65956610_Copy_2"/>
      <w:bookmarkStart w:id="39" w:name="_Toc65862771_Copy_2"/>
      <w:bookmarkStart w:id="40" w:name="_Toc65454241_Copy_2"/>
      <w:bookmarkStart w:id="41" w:name="_Toc64264072_Copy_2"/>
      <w:r>
        <w:rPr>
          <w:rFonts w:ascii="Times New Roman" w:hAnsi="Times New Roman"/>
        </w:rPr>
        <w:t>Iesniedzot piedāvājumu, Pretendents pilnībā atzīst visus Nolikumā ietvertos nosacījumus.</w:t>
      </w:r>
      <w:bookmarkEnd w:id="30"/>
      <w:bookmarkEnd w:id="31"/>
      <w:bookmarkEnd w:id="32"/>
      <w:bookmarkEnd w:id="33"/>
      <w:bookmarkEnd w:id="34"/>
      <w:bookmarkEnd w:id="35"/>
      <w:bookmarkEnd w:id="36"/>
      <w:bookmarkEnd w:id="37"/>
      <w:bookmarkEnd w:id="38"/>
      <w:bookmarkEnd w:id="39"/>
      <w:bookmarkEnd w:id="40"/>
      <w:bookmarkEnd w:id="41"/>
    </w:p>
    <w:p>
      <w:pPr>
        <w:pStyle w:val="ListParagraph"/>
        <w:spacing w:lineRule="auto" w:line="259"/>
        <w:ind w:start="0"/>
        <w:jc w:val="both"/>
        <w:rPr/>
      </w:pPr>
      <w:r>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 xml:space="preserve">PIEDĀVĀJUMU </w:t>
      </w:r>
      <w:bookmarkStart w:id="42" w:name="_Toc45663519_Copy_1"/>
      <w:bookmarkStart w:id="43" w:name="_Toc141785293_Copy_1"/>
      <w:bookmarkStart w:id="44" w:name="_Toc141341762_Copy_1"/>
      <w:bookmarkStart w:id="45" w:name="_Toc79552066_Copy_1"/>
      <w:bookmarkStart w:id="46" w:name="_Toc73116766_Copy_1"/>
      <w:bookmarkStart w:id="47" w:name="_Toc72766066_Copy_1"/>
      <w:bookmarkStart w:id="48" w:name="_Toc65967969_Copy_1"/>
      <w:bookmarkStart w:id="49" w:name="_Toc65956610_Copy_1"/>
      <w:bookmarkStart w:id="50" w:name="_Toc65862771_Copy_1"/>
      <w:bookmarkStart w:id="51" w:name="_Toc65454241_Copy_1"/>
      <w:bookmarkStart w:id="52" w:name="_Toc64264072_Copy_1"/>
      <w:bookmarkStart w:id="53" w:name="_Toc64201623_Copy_1"/>
      <w:r>
        <w:rPr>
          <w:rFonts w:eastAsia="Calibri" w:cs="Times New Roman" w:ascii="Times New Roman" w:hAnsi="Times New Roman"/>
          <w:b/>
          <w:bCs/>
          <w:kern w:val="2"/>
          <w:sz w:val="24"/>
          <w:szCs w:val="24"/>
          <w:lang w:eastAsia="en-US"/>
        </w:rPr>
        <w:t>VĒRTĒŠANA</w:t>
      </w:r>
      <w:bookmarkEnd w:id="42"/>
      <w:bookmarkEnd w:id="43"/>
      <w:bookmarkEnd w:id="44"/>
      <w:bookmarkEnd w:id="45"/>
      <w:bookmarkEnd w:id="46"/>
      <w:bookmarkEnd w:id="47"/>
      <w:bookmarkEnd w:id="48"/>
      <w:bookmarkEnd w:id="49"/>
      <w:bookmarkEnd w:id="50"/>
      <w:bookmarkEnd w:id="51"/>
      <w:bookmarkEnd w:id="52"/>
      <w:bookmarkEnd w:id="53"/>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ahoma"/>
          <w:color w:val="auto"/>
          <w:kern w:val="0"/>
          <w:sz w:val="22"/>
          <w:szCs w:val="22"/>
          <w:lang w:val="lv-LV" w:eastAsia="lv-LV" w:bidi="ar-SA"/>
        </w:rPr>
      </w:pPr>
      <w:r>
        <w:rPr>
          <w:rFonts w:eastAsia="Calibri" w:cs="Tahoma" w:ascii="Times New Roman" w:hAnsi="Times New Roman"/>
          <w:color w:val="auto"/>
          <w:kern w:val="0"/>
          <w:sz w:val="22"/>
          <w:szCs w:val="22"/>
          <w:lang w:val="lv-LV" w:eastAsia="lv-LV" w:bidi="ar-SA"/>
        </w:rPr>
        <w:t xml:space="preserve">Pretendentu atlasi, piedāvājumu atbilstības pārbaudi un piedāvājumu vērtēšanu Iepirkumu komisija veic slēgtā sēdē.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Piedāvājumu vērtēšanu Komisija veic šādos posmos:</w:t>
      </w:r>
    </w:p>
    <w:p>
      <w:pPr>
        <w:pStyle w:val="ListParagraph"/>
        <w:numPr>
          <w:ilvl w:val="2"/>
          <w:numId w:val="4"/>
        </w:numPr>
        <w:tabs>
          <w:tab w:val="clear" w:pos="720"/>
          <w:tab w:val="left" w:pos="180" w:leader="none"/>
        </w:tabs>
        <w:spacing w:before="0" w:after="29"/>
        <w:ind w:hanging="504" w:start="567"/>
        <w:contextualSpacing/>
        <w:jc w:val="both"/>
        <w:rPr>
          <w:rFonts w:ascii="Times New Roman" w:hAnsi="Times New Roman" w:eastAsia="Times New Roman" w:cs="Times New Roman"/>
          <w:color w:val="000000"/>
          <w:u w:val="single" w:color="000000"/>
        </w:rPr>
      </w:pPr>
      <w:r>
        <w:rPr>
          <w:rFonts w:cs="Times New Roman" w:ascii="Times New Roman" w:hAnsi="Times New Roman"/>
          <w:b/>
          <w:bCs/>
        </w:rPr>
        <w:t xml:space="preserve"> </w:t>
      </w:r>
      <w:r>
        <w:rPr>
          <w:rFonts w:cs="Times New Roman" w:ascii="Times New Roman" w:hAnsi="Times New Roman"/>
          <w:b/>
          <w:bCs/>
          <w:u w:val="single"/>
        </w:rPr>
        <w:t>1. posms – Piedāvājumu noformējuma pārbaude</w:t>
      </w:r>
    </w:p>
    <w:p>
      <w:pPr>
        <w:pStyle w:val="BodyText"/>
        <w:spacing w:before="0" w:after="0"/>
        <w:jc w:val="both"/>
        <w:rPr>
          <w:sz w:val="22"/>
          <w:szCs w:val="22"/>
        </w:rPr>
      </w:pPr>
      <w:r>
        <w:rPr>
          <w:sz w:val="22"/>
          <w:szCs w:val="22"/>
        </w:rPr>
        <w:t xml:space="preserve">Komisija pārbauda, vai piedāvājums sagatavots un noformēts atbilstoši Nolikumā norādītajām noformēšanas prasībām.  </w:t>
      </w:r>
    </w:p>
    <w:p>
      <w:pPr>
        <w:pStyle w:val="BodyText"/>
        <w:numPr>
          <w:ilvl w:val="2"/>
          <w:numId w:val="4"/>
        </w:numPr>
        <w:spacing w:before="0" w:after="0"/>
        <w:ind w:hanging="504" w:start="567"/>
        <w:jc w:val="both"/>
        <w:rPr>
          <w:sz w:val="22"/>
          <w:szCs w:val="22"/>
        </w:rPr>
      </w:pPr>
      <w:r>
        <w:rPr>
          <w:b/>
          <w:bCs/>
          <w:sz w:val="22"/>
          <w:szCs w:val="22"/>
        </w:rPr>
        <w:t xml:space="preserve"> </w:t>
      </w:r>
      <w:r>
        <w:rPr>
          <w:b/>
          <w:bCs/>
          <w:sz w:val="22"/>
          <w:szCs w:val="22"/>
          <w:u w:val="single"/>
        </w:rPr>
        <w:t>2. posms – Pretendentu atlase</w:t>
      </w:r>
      <w:r>
        <w:rPr>
          <w:sz w:val="22"/>
          <w:szCs w:val="22"/>
        </w:rPr>
        <w:t xml:space="preserve"> </w:t>
      </w:r>
    </w:p>
    <w:p>
      <w:pPr>
        <w:pStyle w:val="BodyText"/>
        <w:spacing w:before="0" w:after="0"/>
        <w:jc w:val="both"/>
        <w:rPr>
          <w:sz w:val="22"/>
          <w:szCs w:val="22"/>
        </w:rPr>
      </w:pPr>
      <w:r>
        <w:rPr>
          <w:sz w:val="22"/>
          <w:szCs w:val="22"/>
        </w:rPr>
        <w:t xml:space="preserve">Komisija pārbauda, vai </w:t>
      </w:r>
      <w:r>
        <w:rPr>
          <w:lang w:eastAsia="en-US"/>
        </w:rPr>
        <w:t>P</w:t>
      </w:r>
      <w:r>
        <w:rPr>
          <w:sz w:val="22"/>
          <w:szCs w:val="22"/>
        </w:rPr>
        <w:t xml:space="preserve">retendenta iesniegtie atlases dokumenti un publiski pieejamās datu bāzēs iegūtā informācija apliecina Pretendenta atbilstību Nolikumā norādītajām prasībām.  </w:t>
      </w:r>
    </w:p>
    <w:p>
      <w:pPr>
        <w:pStyle w:val="BodyText"/>
        <w:numPr>
          <w:ilvl w:val="2"/>
          <w:numId w:val="4"/>
        </w:numPr>
        <w:suppressAutoHyphens w:val="false"/>
        <w:overflowPunct w:val="true"/>
        <w:spacing w:before="0" w:after="0"/>
        <w:ind w:hanging="504" w:start="567"/>
        <w:jc w:val="both"/>
        <w:textAlignment w:val="auto"/>
        <w:rPr>
          <w:sz w:val="22"/>
          <w:szCs w:val="22"/>
          <w:u w:val="single"/>
        </w:rPr>
      </w:pPr>
      <w:r>
        <w:rPr>
          <w:b/>
          <w:bCs/>
          <w:sz w:val="22"/>
          <w:szCs w:val="22"/>
        </w:rPr>
        <w:t xml:space="preserve"> </w:t>
      </w:r>
      <w:r>
        <w:rPr>
          <w:b/>
          <w:bCs/>
          <w:sz w:val="22"/>
          <w:szCs w:val="22"/>
          <w:u w:val="single"/>
        </w:rPr>
        <w:t>3. posms – Tehniskā piedāvājuma un Finanšu piedāvājumu pārbaude:</w:t>
      </w:r>
    </w:p>
    <w:p>
      <w:pPr>
        <w:pStyle w:val="Normal"/>
        <w:tabs>
          <w:tab w:val="clear" w:pos="720"/>
          <w:tab w:val="left" w:pos="426" w:leader="none"/>
        </w:tabs>
        <w:spacing w:lineRule="auto" w:line="240" w:before="0" w:after="0"/>
        <w:jc w:val="both"/>
        <w:rPr>
          <w:rFonts w:ascii="Times New Roman" w:hAnsi="Times New Roman"/>
        </w:rPr>
      </w:pPr>
      <w:r>
        <w:rPr>
          <w:rFonts w:ascii="Times New Roman" w:hAnsi="Times New Roman"/>
        </w:rPr>
        <w:t xml:space="preserve">Komisija izvērtē atbilstību </w:t>
      </w:r>
      <w:r>
        <w:rPr>
          <w:rFonts w:cs="Times New Roman" w:ascii="Times New Roman" w:hAnsi="Times New Roman"/>
        </w:rPr>
        <w:t>N</w:t>
      </w:r>
      <w:r>
        <w:rPr>
          <w:rFonts w:ascii="Times New Roman" w:hAnsi="Times New Roman"/>
        </w:rPr>
        <w:t xml:space="preserve">olikumā noteiktajām prasībām </w:t>
      </w:r>
      <w:r>
        <w:rPr>
          <w:rFonts w:cs="Times New Roman" w:ascii="Times New Roman" w:hAnsi="Times New Roman"/>
        </w:rPr>
        <w:t xml:space="preserve">un pārbauda, vai iesniegtajā tāmē un finanšu piedāvājumā nav aritmētisko kļūdu. </w:t>
      </w:r>
      <w:r>
        <w:rPr>
          <w:rFonts w:ascii="Times New Roman" w:hAnsi="Times New Roman"/>
        </w:rPr>
        <w:t>Ja tādas tiek konstatētas, tad Komisija šīs kļūdas labo un par konstatētajām kļūdām un labojumiem informē Pretendentu, kura piedāvājumā kļūdas tika konstatētas un labotas. Vērtējot piedāvājumu, Komisija ņem vērā veiktos labojumus.</w:t>
      </w:r>
      <w:r>
        <w:rPr>
          <w:rFonts w:ascii="Times New Roman" w:hAnsi="Times New Roman"/>
          <w:color w:val="000000"/>
        </w:rPr>
        <w:t xml:space="preserve">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iesniegtajos dokumentos ietvertā informācija par Pretendenta kvalifikāciju ir neskaidra vai nepilnīga, Komisija prasa, lai Pretendents vai kompetenta institūcija izskaidro, papildina un/vai precizē piedāvājuma dokumentos ietverto informāciju.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piedāvājumu vērtēšanas laikā Komisija konstatē, ka kāds no Pretendentiem iesniedzis nepamatoti lētu piedāvājumu, Komisija var pieprasīt Pretendentam detalizētu skaidrojumu par šo piedāvājumu, tajā skaitā par īpašiem nosacījumiem, tehnoloģijām vai cita veida nosacījumiem, kas ļauj piedāvāt šādu cenu. Ja Komisija konstatē, ka Pretendents iesniedzis nepamatoti lētu piedāvājumu, to izslēdz no turpmākas dalības iepirkumā PIL 53.panta noteiktajā kārtībā.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sz w:val="23"/>
          <w:u w:val="none"/>
        </w:rPr>
        <w:t xml:space="preserve">Iepirkuma komisija starp Nolikuma prasībām atbilstošajiem piedāvājumiem izvēlas piedāvājumu ar viszemāko cenu.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pirms lēmuma par iepirkuma līguma slēgšanas tiesību piešķiršanu, tiks konstatēts, ka vairāku Pretendentu piedāvājumu līgumcena ir vienāda, tad </w:t>
      </w:r>
      <w:bookmarkStart w:id="54" w:name="_Hlk128736641"/>
      <w:r>
        <w:rPr>
          <w:rFonts w:eastAsia="Times New Roman" w:cs="Times New Roman" w:ascii="Times New Roman" w:hAnsi="Times New Roman"/>
          <w:color w:val="000000"/>
          <w:u w:val="none"/>
        </w:rPr>
        <w:t>Pasūtītājs dos priekšroku tam Pretendentam, kurš norādīji</w:t>
      </w:r>
      <w:bookmarkEnd w:id="54"/>
      <w:r>
        <w:rPr>
          <w:rFonts w:eastAsia="Times New Roman" w:cs="Times New Roman" w:ascii="Times New Roman" w:hAnsi="Times New Roman"/>
          <w:color w:val="000000"/>
          <w:u w:val="none"/>
        </w:rPr>
        <w:t>s zemāku līgumcenu. Ja Pretendentu līgumcena būs vienāda, tad Pasūtītājs dos priekšroku tam Pretendentam, kurš norādījis ātrāku reaģēšanas laiku defektu un bojājumu novēršanai. Savukārt, ja arī šis kritērijs būs vienāds, tad uzvarētājs tiks noteikts veicot izlozi. Par izlozes norisi (datumu un laiku) katrs izlozes dalībnieks tiks informēts 3 (trīs) darba dienas iepriekš, nosūtot tam elektroniski vēstuli uz norādīto e-pasta adresi. Izlozes laiks un datums pēc Pretendenta lūguma netiek mainīts. Pretendentam ir tiesības, bet ne pienākums piedalīties izlozē. Izlozes process tiek dokumentēts.</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 xml:space="preserve">LĒMUMA PIEŅEMŠANA UN PAZIŅOŠANA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par uzvarētāju iepirkumā atzīst Pretendentu, kurš izraudzīts atbilstoši iepirkuma Nolikumā noteiktajām prasībām un kritērijiem un nav izslēdzams no dalības iepirkumā saskaņā ar PIL 9.panta astoto daļu.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triju darbdienu laikā pēc lēmuma pieņemšanas vienlaikus informē visus Pretendentus par pieņemto lēmumu attiecībā uz iepirkuma līguma slēgšanu.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nav tiesīga atklāt informāciju, kuru tam kā komercnoslēpumu vai konfidenciālu informāciju nodevuši Pretendenti.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Ja iesniegti Nolikumā noteiktajām prasībām neatbilstoši piedāvājumi vai vispār nav iesniegti piedāvājumi, Komisija pieņem lēmumu izbeigt iepirkumu bez rezultāta.</w:t>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LĪGUMA SLĒGŠANA</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Pasūtītājs slēdz iepirkuma līgumu saskaņā ar PIL 60.panta pirmās, otrās, trešās, ceturtās un piektās daļas prasībām ar Komisijas izraudzīto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Pasūtītājs ir tiesīgs pārtraukt iepirkumu un neslēgt iepirkuma līgumu, ja tam ir objektīvs pamatojums.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bookmarkStart w:id="55" w:name="_Hlk103272783"/>
      <w:r>
        <w:rPr>
          <w:rFonts w:eastAsia="Calibri" w:cs="Times New Roman" w:ascii="Times New Roman" w:hAnsi="Times New Roman"/>
          <w:bCs/>
          <w:kern w:val="2"/>
          <w:lang w:eastAsia="en-US"/>
        </w:rPr>
        <w:t xml:space="preserve">Pretendentam, kuram piešķirtas līguma slēgšanas tiesības, uz norādīto e-pasta adresi Pasūtītājs nosūta līgumu saskaņošanai un abas puses vienojas par līguma parakstīšanu. Pretendentam līgums jāsaskaņo ne vēlāk kā 5 (piecu) darba dienu laikā no Pasūtītāja nosūtītā uzaicinājuma to saskaņot, vai jāvienojas par citu termiņu. </w:t>
      </w:r>
      <w:bookmarkEnd w:id="55"/>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Ja Pretendents, kuram piešķirtas iepirkuma līguma slēgšanas tiesības, atsakās slēgt līgumu ar Pasūtītāju, Komisija ir tiesīga pieņemt lēmumu līguma slēgšanas tiesības piešķirt nākamajam Pretendentam, kurš iesniedzis prasībām atbilstošu piedāvājumu, vai pārtraukt iepirkumu, neizvēloties nevienu piedāvājumu. </w:t>
      </w:r>
      <w:bookmarkStart w:id="56" w:name="_Hlk43930609"/>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Ja pieņemts lēmums līguma slēgšanas tiesības piešķirt nākamajam Pretendentam, kurš piedāvājis saimnieciski visizdevīgāko piedāvājumu, bet tas atsakās slēgt iepirkuma līgumu, Komisija pieņem lēmumu pārtraukt iepirkumu, neizvēloties nevienu piedāvājumu</w:t>
      </w:r>
      <w:bookmarkEnd w:id="56"/>
      <w:r>
        <w:rPr>
          <w:rFonts w:eastAsia="Calibri" w:cs="Times New Roman" w:ascii="Times New Roman" w:hAnsi="Times New Roman"/>
          <w:bCs/>
          <w:kern w:val="2"/>
          <w:lang w:eastAsia="en-US"/>
        </w:rPr>
        <w:t>.</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Līgums tiks slēgts saskaņā ar pievienoto līgumprojektu (4.pielikums). Pretendents par līgumprojektu jautājumus uzdod pirms piedāvājuma iesniegšanas. Slēdzot līgumu ar jau uzvarējušo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retendentu, iebildumi par līguma nosacījumiem netiks ņemti vērā.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IEPIRKUMA KOMISIJAS TIESĪBAS UN PIENĀKUMI</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Komisijai ir pienākums pārbaudīt un vērtēt saņemtos piedāvājumus saskaņā ar PIL un Nolikuma prasībām.</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Komisijai ir pienākums sniegt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retendentam papildus informāciju attiecīga pieprasījuma saņemšanas gadījumā, kā arī informēt visus interesentus par sniegto papildu informāciju (ievietojot to Pasūtītāja mājas lapā) un vienlaicīgi informēt visus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retendentus par Konkursa rezultātiem pēc lēmuma pieņemšanas.</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Komisijai ir tiesības pārbaudīt pretendenta iesniegto informāciju publiski pieejamās datu bāzēs vai kompetentās institūcijās, kā arī pieprasīt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retendentam precizēt iesniegto informāciju, ja tas nepieciešams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 atlases veikšanai vai piedāvājumu vērtēšanai.</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Komija piedāvājumu vērtēšanas laikā ir tiesīga pieprasīt, lai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retendents uzrāda dokumenta oriģinālu vai iesniedz apliecinātu dokumenta kopiju, ja tai rodas šaubas par dokumenta autentiskumu.</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 atlasē un piedāvājumu vērtēšanā ir tiesīga pieaicināt ekspertus.</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Komisijai ir tiesības izdarīt grozījumus Nolikumā, nosūtot par to paziņojumu Iepirkumu uzraudzības birojam, kas tiek publicēts PIL noteiktajā kārtībā.</w:t>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bookmarkStart w:id="57" w:name="_Toc64201285"/>
      <w:bookmarkStart w:id="58" w:name="_Toc354218004"/>
      <w:bookmarkStart w:id="59" w:name="_Toc377540482"/>
      <w:bookmarkStart w:id="60" w:name="_Toc141785298"/>
      <w:bookmarkStart w:id="61" w:name="_Toc141341767"/>
      <w:bookmarkStart w:id="62" w:name="_Toc79552071"/>
      <w:bookmarkStart w:id="63" w:name="_Toc73116771"/>
      <w:bookmarkStart w:id="64" w:name="_Toc72766071"/>
      <w:bookmarkStart w:id="65" w:name="_Toc65967974"/>
      <w:bookmarkStart w:id="66" w:name="_Toc65956615"/>
      <w:bookmarkStart w:id="67" w:name="_Toc65862776"/>
      <w:bookmarkStart w:id="68" w:name="_Toc65454246"/>
      <w:bookmarkStart w:id="69" w:name="_Toc64264077"/>
      <w:bookmarkStart w:id="70" w:name="_Toc64201628"/>
      <w:bookmarkStart w:id="71" w:name="_Toc64201433"/>
      <w:r>
        <w:rPr>
          <w:rFonts w:eastAsia="Calibri" w:cs="Times New Roman" w:ascii="Times New Roman" w:hAnsi="Times New Roman"/>
          <w:b/>
          <w:bCs/>
          <w:kern w:val="2"/>
          <w:sz w:val="24"/>
          <w:szCs w:val="24"/>
          <w:lang w:eastAsia="en-US"/>
        </w:rPr>
        <w:t>P</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eastAsia="Calibri" w:cs="Times New Roman" w:ascii="Times New Roman" w:hAnsi="Times New Roman"/>
          <w:b/>
          <w:bCs/>
          <w:kern w:val="2"/>
          <w:sz w:val="24"/>
          <w:szCs w:val="24"/>
          <w:lang w:eastAsia="en-US"/>
        </w:rPr>
        <w:t>RETENDENTA TIESĪBAS UN PIENĀKUMI</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pienākums pirms piedāvājuma sagatavošanas rūpīgi iepazīties ar visiem Nolikuma un tā pielikumu nosacījumiem, sagatavot piedāvājumu, tajā ietverot visu prasīto informāciju, kas nepieciešama Nolikuma prasību pārbaudei.</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ievērojot PIL noteikto kārtību, iesniegt Pasūtītājam papildu informācijas pieprasījumus un iesniegumus, kā arī saņemt uz tiem atbildes PIL noteiktajos termiņos.</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mainīt un papildināt iesniegto piedāvājumu līdz piedāvājumu iesniegšanas termiņa beigām.</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pienākums Komisijas noteiktajā termiņā sniegt papildu informāciju vai paskaidrojumus par piedāvājumu, kā arī iesniegt PIL un Nolikumā noteiktos dokumentus, ja tas noteikts Nolikumā vai Komisija to pieprasa.</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Pretendentam ir pienākums iesniegt apliecinājumu par piedāvājuma nodrošinājuma derīguma termiņa pagarinājumu 5 (piecu) darba dienu laikā pēc Komisijas rakstiska pieprasījuma, ja Komisija pieņem lēmumu par Konkursa termiņa pagarinājumu un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retendents vēlas turpināt dalību Konkursā.</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iesniegt iesniegumu par Nolikumā iekļautajām prasībām vai pārsūdzēt Komisijas pieņemto lēmumu PIL noteiktajā kārtībā.</w:t>
      </w:r>
    </w:p>
    <w:p>
      <w:pPr>
        <w:pStyle w:val="ListParagraph"/>
        <w:spacing w:lineRule="auto" w:line="259"/>
        <w:ind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r>
      <w:bookmarkStart w:id="72" w:name="_Hlk152756206"/>
      <w:bookmarkStart w:id="73" w:name="_Hlk152756206"/>
      <w:bookmarkEnd w:id="73"/>
    </w:p>
    <w:p>
      <w:pPr>
        <w:pStyle w:val="Normal"/>
        <w:spacing w:lineRule="auto" w:line="240" w:before="0" w:after="0"/>
        <w:ind w:end="-142"/>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tabs>
          <w:tab w:val="clear" w:pos="720"/>
          <w:tab w:val="left" w:pos="426"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t>11.PIELIKUMI</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 xml:space="preserve">1. pielikums. Pieteikums. </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2. pielikums. Tehniskā specifikācija (</w:t>
      </w:r>
      <w:r>
        <w:rPr>
          <w:rFonts w:ascii="Times New Roman" w:hAnsi="Times New Roman"/>
          <w:i/>
        </w:rPr>
        <w:t>darba uzdevums</w:t>
      </w:r>
      <w:r>
        <w:rPr>
          <w:rFonts w:ascii="Times New Roman" w:hAnsi="Times New Roman"/>
        </w:rPr>
        <w:t>).</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2.1.pielikums Tehniskās specifikācija (tāme).</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3. pielikums. Finanšu piedāvājums.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4. pielikums. Līgumprojekts.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 xml:space="preserve">5. pielikums. Informācija par apakšuzņēmējiem </w:t>
      </w:r>
      <w:r>
        <w:rPr>
          <w:rFonts w:eastAsia="Calibri" w:cs="Times New Roman" w:ascii="Times New Roman" w:hAnsi="Times New Roman"/>
          <w:i/>
          <w:iCs/>
          <w:color w:val="000000"/>
          <w:lang w:bidi="lv-LV"/>
        </w:rPr>
        <w:t>(iesniedz, ja attiecināms).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6. pielikums. Apliecinājums par neatkarīgi izstrādātu piedāvājumu.</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7. pielikums. O</w:t>
      </w:r>
      <w:r>
        <w:rPr>
          <w:rFonts w:eastAsia="Calibri" w:cs="Times New Roman" w:ascii="Times New Roman" w:hAnsi="Times New Roman"/>
          <w:b w:val="false"/>
          <w:bCs w:val="false"/>
          <w:kern w:val="2"/>
          <w:u w:val="none"/>
          <w:lang w:eastAsia="en-US"/>
        </w:rPr>
        <w:t>bjektu apsekošanas veidlapa.</w:t>
      </w:r>
    </w:p>
    <w:p>
      <w:pPr>
        <w:pStyle w:val="Normal"/>
        <w:tabs>
          <w:tab w:val="clear" w:pos="720"/>
          <w:tab w:val="left" w:pos="426" w:leader="none"/>
        </w:tabs>
        <w:spacing w:lineRule="auto" w:line="240" w:before="0" w:after="0"/>
        <w:rPr>
          <w:rFonts w:ascii="Times New Roman" w:hAnsi="Times New Roman"/>
        </w:rPr>
      </w:pPr>
      <w:r>
        <w:rPr>
          <w:rFonts w:eastAsia="Calibri" w:cs="Times New Roman" w:ascii="Times New Roman" w:hAnsi="Times New Roman"/>
          <w:b w:val="false"/>
          <w:bCs w:val="false"/>
          <w:kern w:val="2"/>
          <w:u w:val="none"/>
          <w:lang w:eastAsia="en-US"/>
        </w:rPr>
        <w:t>8. pielikums.  Apliecinājums par interešu konflikta neesamību.</w:t>
      </w:r>
    </w:p>
    <w:p>
      <w:pPr>
        <w:pStyle w:val="Normal"/>
        <w:tabs>
          <w:tab w:val="clear" w:pos="720"/>
          <w:tab w:val="left" w:pos="426" w:leader="none"/>
        </w:tabs>
        <w:spacing w:lineRule="auto" w:line="240" w:before="0" w:after="0"/>
        <w:rPr>
          <w:rFonts w:ascii="Times New Roman" w:hAnsi="Times New Roman"/>
          <w:sz w:val="24"/>
          <w:szCs w:val="24"/>
          <w:vertAlign w:val="superscript"/>
        </w:rPr>
      </w:pPr>
      <w:r>
        <w:rPr>
          <w:rFonts w:ascii="Times New Roman" w:hAnsi="Times New Roman"/>
          <w:sz w:val="24"/>
          <w:szCs w:val="24"/>
          <w:vertAlign w:val="superscript"/>
        </w:rPr>
      </w:r>
    </w:p>
    <w:p>
      <w:pPr>
        <w:pStyle w:val="Normal"/>
        <w:tabs>
          <w:tab w:val="clear" w:pos="720"/>
          <w:tab w:val="left" w:pos="426" w:leader="none"/>
        </w:tabs>
        <w:spacing w:lineRule="auto" w:line="240" w:before="0" w:after="0"/>
        <w:rPr>
          <w:rFonts w:ascii="Times New Roman" w:hAnsi="Times New Roman"/>
          <w:sz w:val="24"/>
          <w:szCs w:val="24"/>
        </w:rPr>
      </w:pPr>
      <w:r>
        <w:rPr>
          <w:rFonts w:ascii="Times New Roman" w:hAnsi="Times New Roman"/>
          <w:sz w:val="24"/>
          <w:szCs w:val="24"/>
        </w:rPr>
        <w:t xml:space="preserve"> </w:t>
      </w:r>
    </w:p>
    <w:sectPr>
      <w:footerReference w:type="even" r:id="rId9"/>
      <w:footerReference w:type="default" r:id="rId10"/>
      <w:footerReference w:type="first" r:id="rId11"/>
      <w:footnotePr>
        <w:numFmt w:val="decimal"/>
      </w:footnotePr>
      <w:type w:val="nextPage"/>
      <w:pgSz w:w="12240" w:h="15840"/>
      <w:pgMar w:left="1725" w:right="850" w:gutter="0" w:header="0" w:top="1134" w:footer="720" w:bottom="1134"/>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Bold">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Arial">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cs="Times New Roman"/>
        </w:rPr>
      </w:pPr>
      <w:r>
        <w:rPr>
          <w:rStyle w:val="Vresrakstzmes"/>
        </w:rPr>
        <w:footnoteRef/>
      </w:r>
      <w:r>
        <w:rPr/>
        <w:t xml:space="preserve"> </w:t>
      </w:r>
      <w:r>
        <w:rPr>
          <w:rFonts w:cs="Times New Roman" w:ascii="Times New Roman" w:hAnsi="Times New Roman"/>
        </w:rPr>
        <w:t xml:space="preserve">Pamatojums iepirkuma nedalīšanai daļās: iegādājamā prece nav sadalāma komponentēs.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val="false"/>
        <w:lang w:val="x-none"/>
      </w:rPr>
    </w:lvl>
    <w:lvl w:ilvl="1">
      <w:start w:val="1"/>
      <w:numFmt w:val="decimal"/>
      <w:lvlText w:val="%1.%2."/>
      <w:lvlJc w:val="start"/>
      <w:pPr>
        <w:tabs>
          <w:tab w:val="num" w:pos="0"/>
        </w:tabs>
        <w:ind w:start="432" w:hanging="432"/>
      </w:pPr>
      <w:rPr>
        <w:b w:val="false"/>
        <w:color w:val="auto"/>
      </w:rPr>
    </w:lvl>
    <w:lvl w:ilvl="2">
      <w:start w:val="1"/>
      <w:numFmt w:val="decimal"/>
      <w:lvlText w:val="%1.%2.%3."/>
      <w:lvlJc w:val="start"/>
      <w:pPr>
        <w:tabs>
          <w:tab w:val="num" w:pos="0"/>
        </w:tabs>
        <w:ind w:start="3056" w:hanging="504"/>
      </w:pPr>
      <w:rPr>
        <w:sz w:val="24"/>
        <w:i w:val="false"/>
        <w:b w:val="false"/>
        <w:szCs w:val="24"/>
        <w:color w:val="auto"/>
      </w:rPr>
    </w:lvl>
    <w:lvl w:ilvl="3">
      <w:start w:val="1"/>
      <w:numFmt w:val="decimal"/>
      <w:lvlText w:val="%1.%2.%3.%4."/>
      <w:lvlJc w:val="start"/>
      <w:pPr>
        <w:tabs>
          <w:tab w:val="num" w:pos="0"/>
        </w:tabs>
        <w:ind w:start="1728" w:hanging="648"/>
      </w:pPr>
      <w:rPr>
        <w:b w:val="fals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0"/>
        </w:tabs>
        <w:ind w:start="786" w:hanging="360"/>
      </w:pPr>
      <w:rPr>
        <w:rFonts w:ascii="Times New Roman" w:hAnsi="Times New Roman" w:cs="Times New Roman" w:hint="default"/>
        <w:vertAlign w:val="baseline"/>
        <w:position w:val="0"/>
        <w:sz w:val="22"/>
        <w:sz w:val="22"/>
      </w:rPr>
    </w:lvl>
    <w:lvl w:ilvl="1">
      <w:start w:val="1"/>
      <w:numFmt w:val="bullet"/>
      <w:lvlText w:val="o"/>
      <w:lvlJc w:val="start"/>
      <w:pPr>
        <w:tabs>
          <w:tab w:val="num" w:pos="0"/>
        </w:tabs>
        <w:ind w:start="1506" w:hanging="360"/>
      </w:pPr>
      <w:rPr>
        <w:rFonts w:ascii="Courier New" w:hAnsi="Courier New" w:cs="Courier New" w:hint="default"/>
        <w:vertAlign w:val="baseline"/>
        <w:position w:val="0"/>
        <w:sz w:val="22"/>
        <w:sz w:val="22"/>
      </w:rPr>
    </w:lvl>
    <w:lvl w:ilvl="2">
      <w:start w:val="1"/>
      <w:numFmt w:val="bullet"/>
      <w:lvlText w:val="▪"/>
      <w:lvlJc w:val="start"/>
      <w:pPr>
        <w:tabs>
          <w:tab w:val="num" w:pos="0"/>
        </w:tabs>
        <w:ind w:start="2226" w:hanging="360"/>
      </w:pPr>
      <w:rPr>
        <w:rFonts w:ascii="Noto Sans Symbols" w:hAnsi="Noto Sans Symbols" w:cs="Noto Sans Symbols" w:hint="default"/>
        <w:vertAlign w:val="baseline"/>
        <w:position w:val="0"/>
        <w:sz w:val="22"/>
        <w:sz w:val="22"/>
      </w:rPr>
    </w:lvl>
    <w:lvl w:ilvl="3">
      <w:start w:val="1"/>
      <w:numFmt w:val="bullet"/>
      <w:lvlText w:val="●"/>
      <w:lvlJc w:val="start"/>
      <w:pPr>
        <w:tabs>
          <w:tab w:val="num" w:pos="0"/>
        </w:tabs>
        <w:ind w:start="2946" w:hanging="360"/>
      </w:pPr>
      <w:rPr>
        <w:rFonts w:ascii="Noto Sans Symbols" w:hAnsi="Noto Sans Symbols" w:cs="Noto Sans Symbols" w:hint="default"/>
        <w:vertAlign w:val="baseline"/>
        <w:position w:val="0"/>
        <w:sz w:val="22"/>
        <w:sz w:val="22"/>
      </w:rPr>
    </w:lvl>
    <w:lvl w:ilvl="4">
      <w:start w:val="1"/>
      <w:numFmt w:val="bullet"/>
      <w:lvlText w:val="o"/>
      <w:lvlJc w:val="start"/>
      <w:pPr>
        <w:tabs>
          <w:tab w:val="num" w:pos="0"/>
        </w:tabs>
        <w:ind w:start="3666" w:hanging="360"/>
      </w:pPr>
      <w:rPr>
        <w:rFonts w:ascii="Courier New" w:hAnsi="Courier New" w:cs="Courier New" w:hint="default"/>
        <w:vertAlign w:val="baseline"/>
        <w:position w:val="0"/>
        <w:sz w:val="22"/>
        <w:sz w:val="22"/>
      </w:rPr>
    </w:lvl>
    <w:lvl w:ilvl="5">
      <w:start w:val="1"/>
      <w:numFmt w:val="bullet"/>
      <w:lvlText w:val="▪"/>
      <w:lvlJc w:val="start"/>
      <w:pPr>
        <w:tabs>
          <w:tab w:val="num" w:pos="0"/>
        </w:tabs>
        <w:ind w:start="4386" w:hanging="360"/>
      </w:pPr>
      <w:rPr>
        <w:rFonts w:ascii="Noto Sans Symbols" w:hAnsi="Noto Sans Symbols" w:cs="Noto Sans Symbols" w:hint="default"/>
        <w:vertAlign w:val="baseline"/>
        <w:position w:val="0"/>
        <w:sz w:val="22"/>
        <w:sz w:val="22"/>
      </w:rPr>
    </w:lvl>
    <w:lvl w:ilvl="6">
      <w:start w:val="1"/>
      <w:numFmt w:val="bullet"/>
      <w:lvlText w:val="●"/>
      <w:lvlJc w:val="start"/>
      <w:pPr>
        <w:tabs>
          <w:tab w:val="num" w:pos="0"/>
        </w:tabs>
        <w:ind w:start="5106" w:hanging="360"/>
      </w:pPr>
      <w:rPr>
        <w:rFonts w:ascii="Noto Sans Symbols" w:hAnsi="Noto Sans Symbols" w:cs="Noto Sans Symbols" w:hint="default"/>
        <w:vertAlign w:val="baseline"/>
        <w:position w:val="0"/>
        <w:sz w:val="22"/>
        <w:sz w:val="22"/>
      </w:rPr>
    </w:lvl>
    <w:lvl w:ilvl="7">
      <w:start w:val="1"/>
      <w:numFmt w:val="bullet"/>
      <w:lvlText w:val="o"/>
      <w:lvlJc w:val="start"/>
      <w:pPr>
        <w:tabs>
          <w:tab w:val="num" w:pos="0"/>
        </w:tabs>
        <w:ind w:start="5826" w:hanging="360"/>
      </w:pPr>
      <w:rPr>
        <w:rFonts w:ascii="Courier New" w:hAnsi="Courier New" w:cs="Courier New" w:hint="default"/>
        <w:vertAlign w:val="baseline"/>
        <w:position w:val="0"/>
        <w:sz w:val="22"/>
        <w:sz w:val="22"/>
      </w:rPr>
    </w:lvl>
    <w:lvl w:ilvl="8">
      <w:start w:val="1"/>
      <w:numFmt w:val="bullet"/>
      <w:lvlText w:val="▪"/>
      <w:lvlJc w:val="start"/>
      <w:pPr>
        <w:tabs>
          <w:tab w:val="num" w:pos="0"/>
        </w:tabs>
        <w:ind w:start="6546" w:hanging="360"/>
      </w:pPr>
      <w:rPr>
        <w:rFonts w:ascii="Noto Sans Symbols" w:hAnsi="Noto Sans Symbols" w:cs="Noto Sans Symbols" w:hint="default"/>
        <w:vertAlign w:val="baseline"/>
        <w:position w:val="0"/>
        <w:sz w:val="22"/>
        <w:sz w:val="22"/>
      </w:rPr>
    </w:lvl>
  </w:abstractNum>
  <w:abstractNum w:abstractNumId="3">
    <w:lvl w:ilvl="0">
      <w:start w:val="1"/>
      <w:numFmt w:val="decimal"/>
      <w:lvlText w:val="%1."/>
      <w:lvlJc w:val="start"/>
      <w:pPr>
        <w:tabs>
          <w:tab w:val="num" w:pos="567"/>
        </w:tabs>
        <w:ind w:start="0" w:hanging="0"/>
      </w:pPr>
      <w:rPr>
        <w:smallCaps w:val="false"/>
        <w:caps w:val="false"/>
        <w:outline w:val="false"/>
        <w:dstrike w:val="false"/>
        <w:strike w:val="false"/>
        <w:vertAlign w:val="baseline"/>
        <w:position w:val="0"/>
        <w:sz w:val="22"/>
        <w:sz w:val="22"/>
        <w:spacing w:val="0"/>
        <w:i w:val="false"/>
        <w:shadow w:val="false"/>
        <w:u w:val="none"/>
        <w:b/>
        <w:kern w:val="0"/>
        <w:effect w:val="none"/>
        <w:iCs w:val="false"/>
        <w:bCs/>
        <w:em w:val="none"/>
        <w:emboss w:val="false"/>
        <w:imprint w:val="false"/>
        <w:vanish w:val="false"/>
        <w:rFonts w:ascii="Times New Roman" w:hAnsi="Times New Roman" w:cs="Times New Roman"/>
      </w:rPr>
    </w:lvl>
    <w:lvl w:ilvl="1">
      <w:start w:val="1"/>
      <w:numFmt w:val="decimal"/>
      <w:lvlText w:val="%1.%2."/>
      <w:lvlJc w:val="start"/>
      <w:pPr>
        <w:tabs>
          <w:tab w:val="num" w:pos="360"/>
        </w:tabs>
        <w:ind w:start="360" w:hanging="360"/>
      </w:pPr>
      <w:rPr>
        <w:i w:val="false"/>
        <w:b w:val="false"/>
        <w:color w:val="auto"/>
      </w:rPr>
    </w:lvl>
    <w:lvl w:ilvl="2">
      <w:start w:val="1"/>
      <w:numFmt w:val="decimal"/>
      <w:lvlText w:val="%1.%2.%3."/>
      <w:lvlJc w:val="start"/>
      <w:pPr>
        <w:tabs>
          <w:tab w:val="num" w:pos="4123"/>
        </w:tabs>
        <w:ind w:start="4123" w:hanging="720"/>
      </w:pPr>
      <w:rPr>
        <w:dstrike w:val="false"/>
        <w:strike w:val="false"/>
        <w:sz w:val="22"/>
        <w:i w:val="false"/>
        <w:b w:val="false"/>
        <w:szCs w:val="22"/>
        <w:rFonts w:ascii="Times New Roman" w:hAnsi="Times New Roman" w:cs="Times New Roman"/>
        <w:color w:val="auto"/>
      </w:rPr>
    </w:lvl>
    <w:lvl w:ilvl="3">
      <w:start w:val="1"/>
      <w:numFmt w:val="decimal"/>
      <w:lvlText w:val="%1.%2.%3.%4."/>
      <w:lvlJc w:val="start"/>
      <w:pPr>
        <w:tabs>
          <w:tab w:val="num" w:pos="1980"/>
        </w:tabs>
        <w:ind w:start="1980" w:hanging="720"/>
      </w:pPr>
      <w:rPr>
        <w:dstrike w:val="false"/>
        <w:strike w:val="false"/>
        <w:sz w:val="22"/>
        <w:i w:val="false"/>
        <w:b w:val="false"/>
        <w:szCs w:val="22"/>
        <w:color w:val="auto"/>
      </w:rPr>
    </w:lvl>
    <w:lvl w:ilvl="4">
      <w:start w:val="1"/>
      <w:numFmt w:val="decimal"/>
      <w:lvlText w:val="%1.%2.%3.%4.%5."/>
      <w:lvlJc w:val="start"/>
      <w:pPr>
        <w:tabs>
          <w:tab w:val="num" w:pos="3600"/>
        </w:tabs>
        <w:ind w:start="3600" w:hanging="1080"/>
      </w:pPr>
      <w:rPr>
        <w:sz w:val="22"/>
        <w:szCs w:val="22"/>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0"/>
        </w:tabs>
        <w:ind w:start="360" w:hanging="360"/>
      </w:pPr>
      <w:rPr>
        <w:b/>
        <w:bCs/>
        <w:rFonts w:ascii="Times New Roman" w:hAnsi="Times New Roman" w:cs="Times New Roman"/>
      </w:rPr>
    </w:lvl>
    <w:lvl w:ilvl="1">
      <w:start w:val="1"/>
      <w:numFmt w:val="decimal"/>
      <w:lvlText w:val="%1.%2."/>
      <w:lvlJc w:val="start"/>
      <w:pPr>
        <w:tabs>
          <w:tab w:val="num" w:pos="0"/>
        </w:tabs>
        <w:ind w:start="574" w:hanging="432"/>
      </w:pPr>
      <w:rPr>
        <w:rFonts w:ascii="Times New Roman" w:hAnsi="Times New Roman" w:cs="Times New Roman"/>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libri" w:hAnsi="Calibri" w:eastAsia="Calibri" w:cs="Tahoma"/>
      <w:color w:val="auto"/>
      <w:kern w:val="0"/>
      <w:sz w:val="22"/>
      <w:szCs w:val="22"/>
      <w:lang w:val="lv-LV" w:eastAsia="lv-LV" w:bidi="ar-SA"/>
    </w:rPr>
  </w:style>
  <w:style w:type="paragraph" w:styleId="Heading1">
    <w:name w:val="Heading 1"/>
    <w:basedOn w:val="Normal"/>
    <w:next w:val="Normal"/>
    <w:link w:val="Heading1Char"/>
    <w:qFormat/>
    <w:pPr>
      <w:keepNext w:val="true"/>
      <w:numPr>
        <w:ilvl w:val="0"/>
        <w:numId w:val="3"/>
      </w:numPr>
      <w:spacing w:lineRule="auto" w:line="240" w:before="0" w:after="0"/>
      <w:outlineLvl w:val="0"/>
    </w:pPr>
    <w:rPr>
      <w:rFonts w:ascii="Times New Roman Bold" w:hAnsi="Times New Roman Bold" w:eastAsia="Times New Roman" w:cs="Times New Roman"/>
      <w:b/>
      <w:sz w:val="24"/>
      <w:szCs w:val="20"/>
      <w:lang w:eastAsia="en-US"/>
    </w:rPr>
  </w:style>
  <w:style w:type="paragraph" w:styleId="Heading2">
    <w:name w:val="Heading 2"/>
    <w:basedOn w:val="Normal"/>
    <w:next w:val="Normal"/>
    <w:link w:val="Heading2Char"/>
    <w:qFormat/>
    <w:pPr>
      <w:keepNext w:val="true"/>
      <w:widowControl w:val="false"/>
      <w:numPr>
        <w:ilvl w:val="0"/>
        <w:numId w:val="0"/>
      </w:numPr>
      <w:spacing w:lineRule="auto" w:line="240" w:before="0" w:after="0"/>
      <w:jc w:val="both"/>
      <w:outlineLvl w:val="1"/>
    </w:pPr>
    <w:rPr>
      <w:rFonts w:ascii="Times New Roman" w:hAnsi="Times New Roman" w:eastAsia="Times New Roman" w:cs="Times New Roman"/>
      <w:b/>
      <w:bCs/>
      <w:sz w:val="24"/>
      <w:szCs w:val="28"/>
      <w:lang w:eastAsia="en-US"/>
    </w:rPr>
  </w:style>
  <w:style w:type="paragraph" w:styleId="Heading3">
    <w:name w:val="Heading 3"/>
    <w:basedOn w:val="Normal"/>
    <w:next w:val="Normal"/>
    <w:link w:val="Heading3Char"/>
    <w:qFormat/>
    <w:pPr>
      <w:keepNext w:val="true"/>
      <w:keepLines/>
      <w:numPr>
        <w:ilvl w:val="0"/>
        <w:numId w:val="0"/>
      </w:numPr>
      <w:spacing w:before="40" w:after="0"/>
      <w:outlineLvl w:val="2"/>
    </w:pPr>
    <w:rPr>
      <w:rFonts w:ascii="Calibri Light" w:hAnsi="Calibri Light" w:eastAsia="Calibri" w:cs="Tahoma"/>
      <w:color w:themeColor="accent1" w:themeShade="7f" w:val="1F3763"/>
      <w:sz w:val="24"/>
      <w:szCs w:val="24"/>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eastAsia="Times New Roman" w:cs="Times New Roman"/>
      <w:sz w:val="24"/>
      <w:szCs w:val="20"/>
      <w:lang w:val="lv-LV" w:eastAsia="ar-SA"/>
    </w:rPr>
  </w:style>
  <w:style w:type="character" w:styleId="Hyperlink">
    <w:name w:val="Hyperlink"/>
    <w:basedOn w:val="DefaultParagraphFont"/>
    <w:rPr>
      <w:color w:themeColor="hyperlink" w:val="0563C1"/>
      <w:u w:val="single"/>
    </w:rPr>
  </w:style>
  <w:style w:type="character" w:styleId="FootnoteTextChar">
    <w:name w:val="Footnote Text Char"/>
    <w:basedOn w:val="DefaultParagraphFont"/>
    <w:qFormat/>
    <w:rPr>
      <w:rFonts w:eastAsia="Calibri"/>
      <w:sz w:val="20"/>
      <w:szCs w:val="20"/>
      <w:lang w:val="lv-LV" w:eastAsia="lv-LV"/>
    </w:rPr>
  </w:style>
  <w:style w:type="character" w:styleId="Vresrakstzmes">
    <w:name w:val="Vēres rakstzīmes"/>
    <w:link w:val="FootnoteRefernece"/>
    <w:qFormat/>
    <w:rPr>
      <w:vertAlign w:val="superscript"/>
    </w:rPr>
  </w:style>
  <w:style w:type="character" w:styleId="FootnoteReference">
    <w:name w:val="Footnote Reference"/>
    <w:rPr>
      <w:vertAlign w:val="superscript"/>
    </w:rPr>
  </w:style>
  <w:style w:type="character" w:styleId="UnresolvedMention1">
    <w:name w:val="Unresolved Mention1"/>
    <w:basedOn w:val="DefaultParagraphFont"/>
    <w:qFormat/>
    <w:rPr>
      <w:color w:val="605E5C"/>
      <w:shd w:fill="E1DFDD" w:val="clear"/>
    </w:rPr>
  </w:style>
  <w:style w:type="character" w:styleId="SubtleEmphasis">
    <w:name w:val="Subtle Emphasis"/>
    <w:qFormat/>
    <w:rPr>
      <w:i/>
      <w:iCs/>
      <w:color w:val="808080"/>
    </w:rPr>
  </w:style>
  <w:style w:type="character" w:styleId="HeaderChar">
    <w:name w:val="Header Char"/>
    <w:basedOn w:val="DefaultParagraphFont"/>
    <w:qFormat/>
    <w:rPr>
      <w:rFonts w:eastAsia="Calibri"/>
      <w:lang w:val="lv-LV" w:eastAsia="lv-LV"/>
    </w:rPr>
  </w:style>
  <w:style w:type="character" w:styleId="FooterChar">
    <w:name w:val="Footer Char"/>
    <w:basedOn w:val="DefaultParagraphFont"/>
    <w:qFormat/>
    <w:rPr>
      <w:rFonts w:eastAsia="Calibri"/>
      <w:lang w:val="lv-LV" w:eastAsia="lv-LV"/>
    </w:rPr>
  </w:style>
  <w:style w:type="character" w:styleId="HeaderChar1">
    <w:name w:val="Header Char1"/>
    <w:qFormat/>
    <w:rPr>
      <w:rFonts w:ascii="Times New Roman" w:hAnsi="Times New Roman" w:eastAsia="Times New Roman" w:cs="Times New Roman"/>
      <w:sz w:val="24"/>
      <w:szCs w:val="24"/>
      <w:lang w:eastAsia="en-US"/>
    </w:rPr>
  </w:style>
  <w:style w:type="character" w:styleId="BodyTextIndent3Char">
    <w:name w:val="Body Text Indent 3 Char"/>
    <w:basedOn w:val="DefaultParagraphFont"/>
    <w:link w:val="BodyTextIndent3"/>
    <w:qFormat/>
    <w:rPr>
      <w:rFonts w:eastAsia="Calibri"/>
      <w:sz w:val="16"/>
      <w:szCs w:val="16"/>
      <w:lang w:val="lv-LV" w:eastAsia="lv-LV"/>
    </w:rPr>
  </w:style>
  <w:style w:type="character" w:styleId="ListParagraphChar">
    <w:name w:val="List Paragraph Char"/>
    <w:link w:val="ListParagraph"/>
    <w:qFormat/>
    <w:rPr>
      <w:rFonts w:eastAsia="Calibri"/>
      <w:lang w:val="lv-LV" w:eastAsia="lv-LV"/>
    </w:rPr>
  </w:style>
  <w:style w:type="character" w:styleId="ApakpunktsChar">
    <w:name w:val="Apakšpunkts Char"/>
    <w:link w:val="Apakpunkts"/>
    <w:qFormat/>
    <w:rPr>
      <w:rFonts w:ascii="Arial" w:hAnsi="Arial" w:eastAsia="Droid Sans Fallback" w:cs="Arial"/>
      <w:b/>
      <w:sz w:val="20"/>
      <w:szCs w:val="24"/>
      <w:lang w:val="lv-LV" w:eastAsia="zh-CN" w:bidi="hi-IN"/>
    </w:rPr>
  </w:style>
  <w:style w:type="character" w:styleId="NoSpacingChar">
    <w:name w:val="No Spacing Char"/>
    <w:basedOn w:val="DefaultParagraphFont"/>
    <w:link w:val="NoSpacing"/>
    <w:qFormat/>
    <w:rPr>
      <w:rFonts w:ascii="Times New Roman" w:hAnsi="Times New Roman" w:eastAsia="Times New Roman" w:cs="Times New Roman"/>
      <w:sz w:val="24"/>
      <w:szCs w:val="24"/>
      <w:lang w:val="lv-LV"/>
    </w:rPr>
  </w:style>
  <w:style w:type="character" w:styleId="FontStyle40">
    <w:name w:val="Font Style40"/>
    <w:qFormat/>
    <w:rPr>
      <w:rFonts w:ascii="Times New Roman" w:hAnsi="Times New Roman" w:cs="Times New Roman"/>
      <w:b/>
      <w:bCs w:val="false"/>
      <w:sz w:val="20"/>
    </w:rPr>
  </w:style>
  <w:style w:type="character" w:styleId="Heading1Char">
    <w:name w:val="Heading 1 Char"/>
    <w:basedOn w:val="DefaultParagraphFont"/>
    <w:qFormat/>
    <w:rPr>
      <w:rFonts w:ascii="Times New Roman Bold" w:hAnsi="Times New Roman Bold" w:eastAsia="Times New Roman" w:cs="Times New Roman"/>
      <w:b/>
      <w:sz w:val="24"/>
      <w:szCs w:val="20"/>
      <w:lang w:val="lv-LV"/>
    </w:rPr>
  </w:style>
  <w:style w:type="character" w:styleId="Heading2Char">
    <w:name w:val="Heading 2 Char"/>
    <w:basedOn w:val="DefaultParagraphFont"/>
    <w:qFormat/>
    <w:rPr>
      <w:rFonts w:ascii="Times New Roman" w:hAnsi="Times New Roman" w:eastAsia="Times New Roman" w:cs="Times New Roman"/>
      <w:b/>
      <w:bCs/>
      <w:sz w:val="24"/>
      <w:szCs w:val="28"/>
      <w:lang w:val="lv-LV"/>
    </w:rPr>
  </w:style>
  <w:style w:type="character" w:styleId="Heading3Char">
    <w:name w:val="Heading 3 Char"/>
    <w:basedOn w:val="DefaultParagraphFont"/>
    <w:qFormat/>
    <w:rPr>
      <w:rFonts w:ascii="Calibri Light" w:hAnsi="Calibri Light" w:eastAsia="Calibri" w:cs="Tahoma"/>
      <w:color w:themeColor="accent1" w:themeShade="7f" w:val="1F3763"/>
      <w:sz w:val="24"/>
      <w:szCs w:val="24"/>
      <w:lang w:val="lv-LV" w:eastAsia="lv-LV"/>
    </w:rPr>
  </w:style>
  <w:style w:type="character" w:styleId="BalloonTextChar">
    <w:name w:val="Balloon Text Char"/>
    <w:basedOn w:val="DefaultParagraphFont"/>
    <w:link w:val="BalloonText"/>
    <w:qFormat/>
    <w:rPr>
      <w:rFonts w:ascii="Segoe UI" w:hAnsi="Segoe UI" w:eastAsia="Calibri" w:cs="Segoe UI"/>
      <w:sz w:val="18"/>
      <w:szCs w:val="18"/>
      <w:lang w:val="lv-LV" w:eastAsia="lv-LV"/>
    </w:rPr>
  </w:style>
  <w:style w:type="character" w:styleId="Strong">
    <w:name w:val="Strong"/>
    <w:qFormat/>
    <w:rPr>
      <w:b/>
      <w:bCs/>
    </w:rPr>
  </w:style>
  <w:style w:type="character" w:styleId="FollowedHyperlink">
    <w:name w:val="FollowedHyperlink"/>
    <w:rPr>
      <w:color w:val="800080"/>
      <w:u w:val="single"/>
    </w:rPr>
  </w:style>
  <w:style w:type="character" w:styleId="Numuranassimboli">
    <w:name w:val="Numurēšanas simboli"/>
    <w:qFormat/>
    <w:rPr/>
  </w:style>
  <w:style w:type="character" w:styleId="Aizzmes">
    <w:name w:val="Aizzīmes"/>
    <w:qFormat/>
    <w:rPr>
      <w:rFonts w:ascii="OpenSymbol" w:hAnsi="OpenSymbol" w:eastAsia="OpenSymbol" w:cs="OpenSymbol"/>
    </w:rPr>
  </w:style>
  <w:style w:type="character" w:styleId="Beiguvresrakstzme">
    <w:name w:val="Beigu vēres rakstzīme"/>
    <w:qFormat/>
    <w:rPr>
      <w:vertAlign w:val="superscript"/>
    </w:rPr>
  </w:style>
  <w:style w:type="character" w:styleId="EndnoteReference">
    <w:name w:val="Endnote Reference"/>
    <w:rPr>
      <w:vertAlign w:val="superscript"/>
    </w:rPr>
  </w:style>
  <w:style w:type="character" w:styleId="UnresolvedMention">
    <w:name w:val="Unresolved Mention"/>
    <w:basedOn w:val="DefaultParagraphFont"/>
    <w:qFormat/>
    <w:rPr>
      <w:color w:val="605E5C"/>
      <w:shd w:fill="E1DFDD" w:val="clear"/>
    </w:rPr>
  </w:style>
  <w:style w:type="character" w:styleId="LineNumber">
    <w:name w:val="Line Number"/>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pPr>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Default">
    <w:name w:val="Default"/>
    <w:qFormat/>
    <w:pPr>
      <w:widowControl/>
      <w:suppressAutoHyphens w:val="true"/>
      <w:overflowPunct w:val="false"/>
      <w:bidi w:val="0"/>
      <w:spacing w:before="0" w:after="0"/>
      <w:jc w:val="start"/>
    </w:pPr>
    <w:rPr>
      <w:rFonts w:ascii="Times New Roman" w:hAnsi="Times New Roman" w:eastAsia="Calibri" w:cs="Times New Roman"/>
      <w:color w:val="000000"/>
      <w:kern w:val="0"/>
      <w:sz w:val="24"/>
      <w:szCs w:val="24"/>
      <w:lang w:val="lv-LV" w:eastAsia="lv-LV" w:bidi="ar-SA"/>
    </w:rPr>
  </w:style>
  <w:style w:type="paragraph" w:styleId="FootnoteText">
    <w:name w:val="Footnote Text"/>
    <w:basedOn w:val="Normal"/>
    <w:link w:val="FootnoteTextChar"/>
    <w:pPr>
      <w:spacing w:lineRule="auto" w:line="240" w:before="0" w:after="0"/>
    </w:pPr>
    <w:rPr>
      <w:sz w:val="20"/>
      <w:szCs w:val="20"/>
    </w:rPr>
  </w:style>
  <w:style w:type="paragraph" w:styleId="Galveneunkjene">
    <w:name w:val="Galvene un kājene"/>
    <w:basedOn w:val="Normal"/>
    <w:qFormat/>
    <w:pPr/>
    <w:rPr/>
  </w:style>
  <w:style w:type="paragraph" w:styleId="Header">
    <w:name w:val="Header"/>
    <w:basedOn w:val="Normal"/>
    <w:link w:val="HeaderChar"/>
    <w:pPr>
      <w:tabs>
        <w:tab w:val="clear" w:pos="720"/>
        <w:tab w:val="center" w:pos="4320" w:leader="none"/>
        <w:tab w:val="right" w:pos="8640" w:leader="none"/>
      </w:tabs>
      <w:spacing w:lineRule="auto" w:line="240" w:before="0" w:after="0"/>
    </w:pPr>
    <w:rPr/>
  </w:style>
  <w:style w:type="paragraph" w:styleId="Footer">
    <w:name w:val="Footer"/>
    <w:basedOn w:val="Normal"/>
    <w:link w:val="FooterChar"/>
    <w:pPr>
      <w:tabs>
        <w:tab w:val="clear" w:pos="720"/>
        <w:tab w:val="center" w:pos="4320" w:leader="none"/>
        <w:tab w:val="right" w:pos="8640" w:leader="none"/>
      </w:tabs>
      <w:spacing w:lineRule="auto" w:line="240" w:before="0" w:after="0"/>
    </w:pPr>
    <w:rPr/>
  </w:style>
  <w:style w:type="paragraph" w:styleId="FootnoteRefernece">
    <w:name w:val="Footnote Refernece"/>
    <w:basedOn w:val="Normal"/>
    <w:next w:val="Normal"/>
    <w:qFormat/>
    <w:pPr>
      <w:spacing w:lineRule="exact" w:line="240" w:before="0" w:after="160"/>
      <w:jc w:val="both"/>
      <w:textAlignment w:val="baseline"/>
    </w:pPr>
    <w:rPr>
      <w:rFonts w:eastAsia="Calibri"/>
      <w:vertAlign w:val="superscript"/>
      <w:lang w:val="en-US" w:eastAsia="en-US"/>
    </w:rPr>
  </w:style>
  <w:style w:type="paragraph" w:styleId="BodyTextIndent3">
    <w:name w:val="Body Text Indent 3"/>
    <w:basedOn w:val="Normal"/>
    <w:link w:val="BodyTextIndent3Char"/>
    <w:qFormat/>
    <w:pPr>
      <w:spacing w:before="0" w:after="120"/>
      <w:ind w:start="283"/>
    </w:pPr>
    <w:rPr>
      <w:sz w:val="16"/>
      <w:szCs w:val="16"/>
    </w:rPr>
  </w:style>
  <w:style w:type="paragraph" w:styleId="ListParagraph">
    <w:name w:val="List Paragraph"/>
    <w:basedOn w:val="Normal"/>
    <w:link w:val="ListParagraphChar"/>
    <w:qFormat/>
    <w:pPr>
      <w:spacing w:before="0" w:after="200"/>
      <w:ind w:start="720"/>
      <w:contextualSpacing/>
    </w:pPr>
    <w:rPr/>
  </w:style>
  <w:style w:type="paragraph" w:styleId="Apakpunkts">
    <w:name w:val="Apakšpunkts"/>
    <w:basedOn w:val="Normal"/>
    <w:link w:val="ApakpunktsChar"/>
    <w:qFormat/>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NoSpacing">
    <w:name w:val="No Spacing"/>
    <w:link w:val="NoSpacingChar"/>
    <w:qFormat/>
    <w:pPr>
      <w:widowControl w:val="false"/>
      <w:suppressAutoHyphens w:val="true"/>
      <w:overflowPunct w:val="fals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Numeracija">
    <w:name w:val="Numeracija"/>
    <w:basedOn w:val="Normal"/>
    <w:qFormat/>
    <w:pPr>
      <w:numPr>
        <w:ilvl w:val="0"/>
        <w:numId w:val="1"/>
      </w:numPr>
      <w:spacing w:lineRule="auto" w:line="240" w:before="0" w:after="0"/>
      <w:jc w:val="both"/>
    </w:pPr>
    <w:rPr>
      <w:rFonts w:ascii="Times New Roman" w:hAnsi="Times New Roman" w:eastAsia="Times New Roman" w:cs="Times New Roman"/>
      <w:sz w:val="26"/>
      <w:szCs w:val="24"/>
      <w:lang w:eastAsia="en-US"/>
    </w:rPr>
  </w:style>
  <w:style w:type="paragraph" w:styleId="Style11">
    <w:name w:val="Style1"/>
    <w:autoRedefine/>
    <w:qFormat/>
    <w:pPr>
      <w:widowControl/>
      <w:numPr>
        <w:ilvl w:val="1"/>
        <w:numId w:val="1"/>
      </w:numPr>
      <w:suppressAutoHyphens w:val="true"/>
      <w:overflowPunct w:val="false"/>
      <w:bidi w:val="0"/>
      <w:spacing w:before="0" w:after="0"/>
      <w:ind w:hanging="426" w:start="993"/>
      <w:jc w:val="both"/>
    </w:pPr>
    <w:rPr>
      <w:rFonts w:ascii="Times New Roman" w:hAnsi="Times New Roman" w:eastAsia="Times New Roman" w:cs="Times New Roman"/>
      <w:bCs/>
      <w:color w:val="000000"/>
      <w:kern w:val="0"/>
      <w:sz w:val="24"/>
      <w:szCs w:val="24"/>
      <w:lang w:val="lv-LV" w:eastAsia="en-US" w:bidi="ar-SA"/>
    </w:rPr>
  </w:style>
  <w:style w:type="paragraph" w:styleId="Bezatstarpm1">
    <w:name w:val="Bez atstarpēm1"/>
    <w:qFormat/>
    <w:pPr>
      <w:widowControl/>
      <w:suppressAutoHyphens w:val="true"/>
      <w:overflowPunct w:val="false"/>
      <w:bidi w:val="0"/>
      <w:spacing w:before="0" w:after="0"/>
      <w:jc w:val="start"/>
    </w:pPr>
    <w:rPr>
      <w:rFonts w:ascii="Calibri" w:hAnsi="Calibri" w:eastAsia="Times New Roman" w:cs="Times New Roman"/>
      <w:color w:val="auto"/>
      <w:kern w:val="0"/>
      <w:sz w:val="22"/>
      <w:szCs w:val="22"/>
      <w:lang w:val="lv-LV" w:eastAsia="lv-LV" w:bidi="ar-SA"/>
    </w:rPr>
  </w:style>
  <w:style w:type="paragraph" w:styleId="Naisf">
    <w:name w:val="naisf"/>
    <w:basedOn w:val="Normal"/>
    <w:qFormat/>
    <w:pPr>
      <w:spacing w:lineRule="auto" w:line="240" w:before="280" w:after="280"/>
      <w:jc w:val="both"/>
    </w:pPr>
    <w:rPr>
      <w:rFonts w:ascii="Times New Roman" w:hAnsi="Times New Roman" w:eastAsia="Times New Roman" w:cs="Calibri"/>
      <w:kern w:val="2"/>
      <w:sz w:val="24"/>
      <w:szCs w:val="24"/>
      <w:lang w:val="en-GB" w:eastAsia="ar-SA"/>
    </w:rPr>
  </w:style>
  <w:style w:type="paragraph" w:styleId="Lmenis1">
    <w:name w:val="Līmenis1"/>
    <w:basedOn w:val="Normal"/>
    <w:qFormat/>
    <w:pPr>
      <w:keepNext w:val="true"/>
      <w:keepLines/>
      <w:numPr>
        <w:ilvl w:val="0"/>
        <w:numId w:val="2"/>
      </w:numPr>
      <w:spacing w:lineRule="auto" w:line="288" w:before="120" w:after="0"/>
      <w:ind w:hanging="1" w:start="360"/>
      <w:textAlignment w:val="top"/>
      <w:outlineLvl w:val="0"/>
    </w:pPr>
    <w:rPr>
      <w:rFonts w:eastAsia="Arial" w:cs="Times New Roman"/>
      <w:b/>
      <w:position w:val="-1"/>
      <w:sz w:val="24"/>
      <w:lang w:eastAsia="en-US"/>
    </w:rPr>
  </w:style>
  <w:style w:type="paragraph" w:styleId="Lmenis2">
    <w:name w:val="Līmenis2"/>
    <w:basedOn w:val="Normal"/>
    <w:qFormat/>
    <w:pPr>
      <w:keepLines/>
      <w:numPr>
        <w:ilvl w:val="1"/>
        <w:numId w:val="2"/>
      </w:numPr>
      <w:tabs>
        <w:tab w:val="clear" w:pos="720"/>
        <w:tab w:val="left" w:pos="709" w:leader="none"/>
      </w:tabs>
      <w:spacing w:lineRule="auto" w:line="288" w:before="0" w:after="120"/>
      <w:ind w:hanging="1" w:start="502"/>
      <w:jc w:val="both"/>
      <w:textAlignment w:val="top"/>
      <w:outlineLvl w:val="0"/>
    </w:pPr>
    <w:rPr>
      <w:rFonts w:eastAsia="Arial" w:cs="Times New Roman"/>
      <w:position w:val="-1"/>
      <w:lang w:eastAsia="en-US"/>
    </w:rPr>
  </w:style>
  <w:style w:type="paragraph" w:styleId="Lmenis3">
    <w:name w:val="Līmenis3"/>
    <w:basedOn w:val="Normal"/>
    <w:qFormat/>
    <w:pPr>
      <w:keepLines/>
      <w:numPr>
        <w:ilvl w:val="2"/>
        <w:numId w:val="2"/>
      </w:numPr>
      <w:tabs>
        <w:tab w:val="clear" w:pos="720"/>
        <w:tab w:val="left" w:pos="993" w:leader="none"/>
      </w:tabs>
      <w:spacing w:lineRule="auto" w:line="288" w:before="0" w:after="120"/>
      <w:ind w:hanging="720" w:start="1004"/>
      <w:jc w:val="both"/>
      <w:textAlignment w:val="top"/>
      <w:outlineLvl w:val="0"/>
    </w:pPr>
    <w:rPr>
      <w:rFonts w:eastAsia="Arial" w:cs="Times New Roman"/>
      <w:position w:val="-1"/>
      <w:lang w:eastAsia="en-US"/>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Saturardtjs">
    <w:name w:val="Satura rādītājs"/>
    <w:basedOn w:val="Normal"/>
    <w:qFormat/>
    <w:pPr>
      <w:widowControl w:val="false"/>
      <w:suppressLineNumbers/>
    </w:pPr>
    <w:rPr/>
  </w:style>
  <w:style w:type="paragraph" w:styleId="Tabulasvirsraksts">
    <w:name w:val="Tabulas virsraksts"/>
    <w:basedOn w:val="Saturardtjs"/>
    <w:qFormat/>
    <w:pPr>
      <w:jc w:val="center"/>
    </w:pPr>
    <w:rPr>
      <w:b/>
      <w:bCs/>
    </w:rPr>
  </w:style>
  <w:style w:type="paragraph" w:styleId="Revision">
    <w:name w:val="Revision"/>
    <w:qFormat/>
    <w:pPr>
      <w:widowControl/>
      <w:suppressAutoHyphens w:val="false"/>
      <w:overflowPunct w:val="false"/>
      <w:bidi w:val="0"/>
      <w:spacing w:before="0" w:after="0"/>
      <w:jc w:val="start"/>
    </w:pPr>
    <w:rPr>
      <w:rFonts w:ascii="Calibri" w:hAnsi="Calibri" w:eastAsia="Calibri" w:cs="Tahoma"/>
      <w:color w:val="auto"/>
      <w:kern w:val="0"/>
      <w:sz w:val="22"/>
      <w:szCs w:val="22"/>
      <w:lang w:val="lv-LV" w:eastAsia="lv-LV" w:bidi="ar-SA"/>
    </w:rPr>
  </w:style>
  <w:style w:type="numbering" w:styleId="NoList">
    <w:name w:val="No List"/>
    <w:qFormat/>
  </w:style>
  <w:style w:type="numbering" w:styleId="Style11121">
    <w:name w:val="Style111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ekretars@mfd.lv" TargetMode="External"/><Relationship Id="rId4" Type="http://schemas.openxmlformats.org/officeDocument/2006/relationships/hyperlink" Target="mailto:inese.volka@mfd.lv" TargetMode="External"/><Relationship Id="rId5" Type="http://schemas.openxmlformats.org/officeDocument/2006/relationships/hyperlink" Target="mailto:lviepirkumi@mfd.lv" TargetMode="External"/><Relationship Id="rId6" Type="http://schemas.openxmlformats.org/officeDocument/2006/relationships/hyperlink" Target="http://www.ur.gov.lv/" TargetMode="External"/><Relationship Id="rId7" Type="http://schemas.openxmlformats.org/officeDocument/2006/relationships/hyperlink" Target="https://bis.gov.lv/registri/buvniecibas-informacijas-sistemas-registri" TargetMode="External"/><Relationship Id="rId8" Type="http://schemas.openxmlformats.org/officeDocument/2006/relationships/hyperlink" Target="mailto:iepirkumi@mfd.lv"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431</TotalTime>
  <Application>LibreOffice/24.2.1.2$Windows_X86_64 LibreOffice_project/db4def46b0453cc22e2d0305797cf981b68ef5ac</Application>
  <AppVersion>15.0000</AppVersion>
  <Pages>8</Pages>
  <Words>2691</Words>
  <Characters>19833</Characters>
  <CharactersWithSpaces>22352</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2025-08-01T08:36:00Z</cp:lastPrinted>
  <dcterms:modified xsi:type="dcterms:W3CDTF">2026-03-16T11:13:22Z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6356e973-9dc1-4581-b262-ff1625992239</vt:lpwstr>
  </property>
</Properties>
</file>