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end"/>
        <w:rPr>
          <w:b/>
          <w:bCs/>
          <w:sz w:val="20"/>
          <w:szCs w:val="20"/>
        </w:rPr>
      </w:pPr>
      <w:bookmarkStart w:id="0" w:name="_Hlk204611695"/>
      <w:bookmarkEnd w:id="0"/>
      <w:r>
        <w:rPr>
          <w:b/>
          <w:bCs/>
          <w:sz w:val="20"/>
          <w:szCs w:val="20"/>
        </w:rPr>
        <w:t>APSTIPRINĀTS</w:t>
      </w:r>
    </w:p>
    <w:p>
      <w:pPr>
        <w:pStyle w:val="Normal"/>
        <w:spacing w:before="0" w:after="0"/>
        <w:jc w:val="end"/>
        <w:rPr/>
      </w:pPr>
      <w:r>
        <w:rPr>
          <w:b w:val="false"/>
          <w:bCs w:val="false"/>
          <w:sz w:val="20"/>
          <w:szCs w:val="20"/>
        </w:rPr>
        <w:t xml:space="preserve">ar </w:t>
      </w:r>
      <w:r>
        <w:rPr>
          <w:rStyle w:val="Strong"/>
          <w:rFonts w:cs="Times New Roman"/>
          <w:b w:val="false"/>
          <w:bCs w:val="false"/>
          <w:i/>
          <w:iCs/>
          <w:sz w:val="20"/>
          <w:szCs w:val="20"/>
        </w:rPr>
        <w:t>Sabiedrības ar ierobežotu atbildību</w:t>
      </w:r>
      <w:r>
        <w:rPr>
          <w:b w:val="false"/>
          <w:bCs w:val="false"/>
          <w:sz w:val="20"/>
          <w:szCs w:val="20"/>
        </w:rPr>
        <w:t xml:space="preserve"> “Možums-1” </w:t>
      </w:r>
    </w:p>
    <w:p>
      <w:pPr>
        <w:pStyle w:val="Normal"/>
        <w:spacing w:before="0" w:after="0"/>
        <w:jc w:val="end"/>
        <w:rPr>
          <w:b w:val="false"/>
          <w:bCs w:val="false"/>
          <w:sz w:val="20"/>
          <w:szCs w:val="20"/>
          <w:highlight w:val="none"/>
          <w:shd w:fill="auto" w:val="clear"/>
        </w:rPr>
      </w:pPr>
      <w:r>
        <w:rPr>
          <w:rFonts w:cs="Times New Roman"/>
          <w:b w:val="false"/>
          <w:bCs w:val="false"/>
          <w:sz w:val="20"/>
          <w:szCs w:val="20"/>
          <w:shd w:fill="auto" w:val="clear"/>
        </w:rPr>
        <w:t>19.03.2025. rīkojumu Nr. 02/05</w:t>
      </w:r>
    </w:p>
    <w:p>
      <w:pPr>
        <w:pStyle w:val="Normal"/>
        <w:jc w:val="center"/>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rPr>
      </w:r>
    </w:p>
    <w:p>
      <w:pPr>
        <w:pStyle w:val="Normal"/>
        <w:spacing w:lineRule="auto" w:line="240" w:before="0" w:after="0"/>
        <w:jc w:val="center"/>
        <w:rPr>
          <w:rFonts w:ascii="Times New Roman" w:hAnsi="Times New Roman"/>
        </w:rPr>
      </w:pPr>
      <w:r>
        <w:rPr/>
      </w:r>
    </w:p>
    <w:p>
      <w:pPr>
        <w:pStyle w:val="Normal"/>
        <w:jc w:val="center"/>
        <w:rPr>
          <w:rFonts w:ascii="Times New Roman" w:hAnsi="Times New Roman" w:cs="Times New Roman"/>
          <w:sz w:val="28"/>
          <w:szCs w:val="28"/>
        </w:rPr>
      </w:pPr>
      <w:r>
        <w:rPr>
          <w:rFonts w:cs="Times New Roman"/>
          <w:sz w:val="28"/>
          <w:szCs w:val="28"/>
        </w:rPr>
      </w:r>
    </w:p>
    <w:p>
      <w:pPr>
        <w:pStyle w:val="Normal"/>
        <w:tabs>
          <w:tab w:val="clear" w:pos="720"/>
          <w:tab w:val="left" w:pos="5670" w:leader="none"/>
        </w:tabs>
        <w:spacing w:lineRule="auto" w:line="240"/>
        <w:jc w:val="center"/>
        <w:textAlignment w:val="baseline"/>
        <w:rPr>
          <w:rFonts w:ascii="Times New Roman" w:hAnsi="Times New Roman"/>
        </w:rPr>
      </w:pPr>
      <w:r>
        <w:rPr/>
      </w:r>
    </w:p>
    <w:p>
      <w:pPr>
        <w:pStyle w:val="Normal"/>
        <w:tabs>
          <w:tab w:val="clear" w:pos="720"/>
          <w:tab w:val="left" w:pos="5670" w:leader="none"/>
        </w:tabs>
        <w:spacing w:lineRule="auto" w:line="240" w:before="0" w:after="0"/>
        <w:jc w:val="center"/>
        <w:textAlignment w:val="baseline"/>
        <w:rPr>
          <w:rFonts w:ascii="Times New Roman" w:hAnsi="Times New Roman"/>
        </w:rPr>
      </w:pPr>
      <w:r>
        <w:rPr>
          <w:rFonts w:eastAsia="Arial Unicode MS" w:cs="Times New Roman"/>
          <w:b/>
          <w:sz w:val="36"/>
          <w:szCs w:val="36"/>
          <w:lang w:eastAsia="hi-IN" w:bidi="hi-IN"/>
        </w:rPr>
        <w:t>„</w:t>
      </w:r>
      <w:r>
        <w:rPr>
          <w:rFonts w:eastAsia="Arial Unicode MS" w:cs="Times New Roman"/>
          <w:b/>
          <w:sz w:val="36"/>
          <w:szCs w:val="36"/>
          <w:lang w:eastAsia="hi-IN" w:bidi="hi-IN"/>
        </w:rPr>
        <w:t>Ventilācijas sistēmas izbūve</w:t>
      </w:r>
    </w:p>
    <w:p>
      <w:pPr>
        <w:pStyle w:val="Normal"/>
        <w:tabs>
          <w:tab w:val="clear" w:pos="720"/>
          <w:tab w:val="left" w:pos="5670" w:leader="none"/>
        </w:tabs>
        <w:spacing w:lineRule="auto" w:line="240" w:before="0" w:after="0"/>
        <w:jc w:val="center"/>
        <w:textAlignment w:val="baseline"/>
        <w:rPr>
          <w:rFonts w:ascii="Times New Roman" w:hAnsi="Times New Roman"/>
        </w:rPr>
      </w:pPr>
      <w:r>
        <w:rPr>
          <w:rFonts w:eastAsia="Arial Unicode MS" w:cs="Times New Roman"/>
          <w:b/>
          <w:sz w:val="36"/>
          <w:szCs w:val="36"/>
          <w:lang w:eastAsia="hi-IN" w:bidi="hi-IN"/>
        </w:rPr>
        <w:t>ģimenes ārstu praksēs Buļļu ielā 7, Rīga”</w:t>
      </w:r>
    </w:p>
    <w:p>
      <w:pPr>
        <w:pStyle w:val="Normal"/>
        <w:spacing w:lineRule="auto" w:line="240" w:before="0" w:after="0"/>
        <w:jc w:val="center"/>
        <w:rPr>
          <w:rFonts w:ascii="Times New Roman" w:hAnsi="Times New Roman" w:eastAsia="Times New Roman" w:cs="Times New Roman"/>
          <w:b/>
          <w:i/>
          <w:i/>
          <w:iCs/>
          <w:sz w:val="24"/>
          <w:szCs w:val="24"/>
          <w:lang w:eastAsia="hi-IN" w:bidi="hi-IN"/>
        </w:rPr>
      </w:pPr>
      <w:r>
        <w:rPr>
          <w:rFonts w:eastAsia="Times New Roman" w:cs="Times New Roman"/>
          <w:b/>
          <w:i/>
          <w:iCs/>
          <w:sz w:val="24"/>
          <w:szCs w:val="24"/>
          <w:lang w:eastAsia="hi-IN" w:bidi="hi-IN"/>
        </w:rPr>
      </w:r>
    </w:p>
    <w:p>
      <w:pPr>
        <w:pStyle w:val="Normal"/>
        <w:spacing w:lineRule="auto" w:line="240" w:before="0" w:after="0"/>
        <w:jc w:val="center"/>
        <w:rPr>
          <w:rFonts w:ascii="Times New Roman" w:hAnsi="Times New Roman" w:eastAsia="Times New Roman" w:cs="Times New Roman"/>
          <w:b/>
          <w:i/>
          <w:i/>
          <w:iCs/>
          <w:sz w:val="24"/>
          <w:szCs w:val="24"/>
          <w:lang w:eastAsia="hi-IN" w:bidi="hi-IN"/>
        </w:rPr>
      </w:pPr>
      <w:r>
        <w:rPr>
          <w:rFonts w:eastAsia="Times New Roman" w:cs="Times New Roman"/>
          <w:b/>
          <w:i/>
          <w:iCs/>
          <w:sz w:val="24"/>
          <w:szCs w:val="24"/>
          <w:lang w:eastAsia="hi-IN" w:bidi="hi-IN"/>
        </w:rPr>
      </w:r>
    </w:p>
    <w:p>
      <w:pPr>
        <w:pStyle w:val="BodyText"/>
        <w:spacing w:lineRule="auto" w:line="360"/>
        <w:jc w:val="center"/>
        <w:rPr>
          <w:b/>
          <w:sz w:val="28"/>
          <w:szCs w:val="28"/>
        </w:rPr>
      </w:pPr>
      <w:r>
        <w:rPr>
          <w:rFonts w:eastAsia="Times New Roman" w:cs="Times New Roman"/>
          <w:b/>
          <w:bCs/>
          <w:iCs/>
          <w:sz w:val="28"/>
          <w:szCs w:val="28"/>
          <w:lang w:eastAsia="hi-IN" w:bidi="hi-IN"/>
        </w:rPr>
        <w:t>IEPIRKUMA PROCEDŪRAS NOLIKUMS</w:t>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spacing w:lineRule="auto" w:line="240" w:before="0" w:after="0"/>
        <w:jc w:val="center"/>
        <w:rPr/>
      </w:pPr>
      <w:r>
        <w:rPr>
          <w:rFonts w:cs="Times New Roman"/>
          <w:bCs/>
          <w:i/>
          <w:iCs/>
          <w:sz w:val="24"/>
          <w:szCs w:val="24"/>
        </w:rPr>
        <w:t xml:space="preserve">Iepirkums tiek realizēts projekta Nr. 4.1.1.3/2/25/A/068 </w:t>
      </w:r>
      <w:r>
        <w:rPr>
          <w:rStyle w:val="Strong"/>
          <w:rFonts w:cs="Times New Roman"/>
          <w:b w:val="false"/>
          <w:bCs w:val="false"/>
          <w:i/>
          <w:iCs/>
          <w:sz w:val="24"/>
          <w:szCs w:val="24"/>
        </w:rPr>
        <w:t>Primārās veselības aprūpes lomas stiprināšana, attīstot infrastruktūru Sabiedrības ar ierobežotu atbildību “MOŽUMS-1” telpās</w:t>
      </w:r>
      <w:r>
        <w:rPr>
          <w:rFonts w:cs="Times New Roman"/>
          <w:bCs/>
          <w:i/>
          <w:iCs/>
          <w:sz w:val="24"/>
          <w:szCs w:val="24"/>
        </w:rPr>
        <w:t>.</w:t>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center"/>
        <w:rPr>
          <w:rFonts w:ascii="Times New Roman" w:hAnsi="Times New Roman" w:cs="Times New Roman"/>
        </w:rPr>
      </w:pPr>
      <w:r>
        <w:rPr>
          <w:color w:val="auto"/>
          <w:kern w:val="0"/>
          <w:sz w:val="22"/>
          <w:szCs w:val="22"/>
          <w:lang w:val="lv-LV" w:eastAsia="lv-LV" w:bidi="ar-SA"/>
        </w:rPr>
        <w:t>I</w:t>
      </w:r>
      <w:r>
        <w:rPr>
          <w:rFonts w:eastAsia="Times New Roman" w:cs="Times New Roman"/>
          <w:color w:val="auto"/>
          <w:kern w:val="0"/>
          <w:sz w:val="22"/>
          <w:szCs w:val="22"/>
          <w:lang w:val="lv-LV" w:eastAsia="lv-LV" w:bidi="ar-SA"/>
        </w:rPr>
        <w:t>D Nr.  M-1-B7_01-2026</w:t>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spacing w:lineRule="auto" w:line="240" w:before="0" w:after="0"/>
        <w:jc w:val="center"/>
        <w:rPr>
          <w:rFonts w:ascii="Times New Roman" w:hAnsi="Times New Roman"/>
        </w:rPr>
      </w:pPr>
      <w:r>
        <w:rPr>
          <w:i/>
        </w:rPr>
        <w:t>(</w:t>
      </w:r>
      <w:r>
        <w:rPr>
          <w:i/>
          <w:sz w:val="24"/>
          <w:szCs w:val="24"/>
        </w:rPr>
        <w:t>Eiropas Savienības kohēzijas fonda</w:t>
      </w:r>
      <w:r>
        <w:rPr>
          <w:i/>
        </w:rPr>
        <w:t xml:space="preserve"> ietvaros)</w:t>
      </w:r>
    </w:p>
    <w:p>
      <w:pPr>
        <w:pStyle w:val="Normal"/>
        <w:spacing w:lineRule="auto" w:line="240" w:before="0" w:after="0"/>
        <w:rPr>
          <w:rFonts w:ascii="Times New Roman" w:hAnsi="Times New Roman"/>
          <w:bCs/>
          <w:sz w:val="28"/>
          <w:szCs w:val="28"/>
        </w:rPr>
      </w:pPr>
      <w:r>
        <w:rPr>
          <w:bCs/>
          <w:sz w:val="28"/>
          <w:szCs w:val="28"/>
        </w:rPr>
      </w:r>
    </w:p>
    <w:p>
      <w:pPr>
        <w:pStyle w:val="Normal"/>
        <w:spacing w:lineRule="auto" w:line="240" w:before="0" w:after="0"/>
        <w:jc w:val="center"/>
        <w:rPr>
          <w:rFonts w:ascii="Times New Roman" w:hAnsi="Times New Roman"/>
        </w:rPr>
      </w:pPr>
      <w:r>
        <w:rPr/>
        <w:drawing>
          <wp:inline distT="0" distB="0" distL="0" distR="0">
            <wp:extent cx="1871980" cy="1014730"/>
            <wp:effectExtent l="0" t="0" r="0" b="0"/>
            <wp:docPr id="1"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title=""/>
                    <pic:cNvPicPr>
                      <a:picLocks noChangeAspect="1" noChangeArrowheads="1"/>
                    </pic:cNvPicPr>
                  </pic:nvPicPr>
                  <pic:blipFill>
                    <a:blip r:embed="rId2"/>
                    <a:stretch>
                      <a:fillRect/>
                    </a:stretch>
                  </pic:blipFill>
                  <pic:spPr bwMode="auto">
                    <a:xfrm>
                      <a:off x="0" y="0"/>
                      <a:ext cx="1871980" cy="1014730"/>
                    </a:xfrm>
                    <a:prstGeom prst="rect">
                      <a:avLst/>
                    </a:prstGeom>
                  </pic:spPr>
                </pic:pic>
              </a:graphicData>
            </a:graphic>
          </wp:inline>
        </w:drawing>
      </w:r>
    </w:p>
    <w:p>
      <w:pPr>
        <w:pStyle w:val="Normal"/>
        <w:spacing w:lineRule="auto" w:line="240" w:before="0" w:after="0"/>
        <w:jc w:val="center"/>
        <w:rPr>
          <w:rFonts w:ascii="Times New Roman" w:hAnsi="Times New Roman"/>
          <w:bCs/>
          <w:sz w:val="28"/>
          <w:szCs w:val="28"/>
        </w:rPr>
      </w:pPr>
      <w:r>
        <w:rPr>
          <w:bCs/>
          <w:sz w:val="28"/>
          <w:szCs w:val="28"/>
        </w:rPr>
      </w:r>
    </w:p>
    <w:p>
      <w:pPr>
        <w:pStyle w:val="Normal"/>
        <w:spacing w:lineRule="auto" w:line="240" w:before="0" w:after="0"/>
        <w:jc w:val="center"/>
        <w:rPr>
          <w:rFonts w:ascii="Times New Roman" w:hAnsi="Times New Roman"/>
          <w:bCs/>
          <w:sz w:val="28"/>
          <w:szCs w:val="28"/>
        </w:rPr>
      </w:pPr>
      <w:r>
        <w:rPr>
          <w:bCs/>
          <w:sz w:val="28"/>
          <w:szCs w:val="28"/>
        </w:rPr>
      </w:r>
    </w:p>
    <w:p>
      <w:pPr>
        <w:pStyle w:val="Normal"/>
        <w:spacing w:lineRule="auto" w:line="240" w:before="0" w:after="0"/>
        <w:jc w:val="center"/>
        <w:rPr>
          <w:rFonts w:ascii="Times New Roman" w:hAnsi="Times New Roman"/>
          <w:bCs/>
          <w:sz w:val="28"/>
          <w:szCs w:val="28"/>
        </w:rPr>
      </w:pPr>
      <w:r>
        <w:rPr>
          <w:bCs/>
          <w:sz w:val="28"/>
          <w:szCs w:val="28"/>
        </w:rPr>
      </w:r>
    </w:p>
    <w:p>
      <w:pPr>
        <w:pStyle w:val="BodyText"/>
        <w:spacing w:lineRule="auto" w:line="360"/>
        <w:jc w:val="center"/>
        <w:rPr>
          <w:rFonts w:ascii="Times New Roman" w:hAnsi="Times New Roman"/>
        </w:rPr>
      </w:pPr>
      <w:r>
        <w:rPr>
          <w:rFonts w:cs="Times New Roman"/>
          <w:sz w:val="24"/>
          <w:szCs w:val="28"/>
        </w:rPr>
        <w:t>Rīgā, 2026</w:t>
      </w:r>
      <w:r>
        <w:br w:type="page"/>
      </w:r>
    </w:p>
    <w:p>
      <w:pPr>
        <w:pStyle w:val="ListParagraph"/>
        <w:numPr>
          <w:ilvl w:val="0"/>
          <w:numId w:val="2"/>
        </w:numPr>
        <w:spacing w:before="0" w:after="160"/>
        <w:contextualSpacing/>
        <w:jc w:val="center"/>
        <w:rPr>
          <w:rFonts w:ascii="Times New Roman" w:hAnsi="Times New Roman"/>
        </w:rPr>
      </w:pPr>
      <w:r>
        <w:rPr>
          <w:rFonts w:cs="Times New Roman"/>
          <w:b/>
          <w:bCs/>
          <w:sz w:val="24"/>
          <w:szCs w:val="24"/>
        </w:rPr>
        <w:t>VISPĀRĪGĀ INFORMĀCIJA</w:t>
      </w:r>
    </w:p>
    <w:p>
      <w:pPr>
        <w:pStyle w:val="ListParagraph"/>
        <w:ind w:start="360"/>
        <w:rPr>
          <w:rFonts w:ascii="Times New Roman" w:hAnsi="Times New Roman" w:cs="Times New Roman"/>
        </w:rPr>
      </w:pPr>
      <w:r>
        <w:rPr>
          <w:rFonts w:cs="Times New Roman"/>
        </w:rPr>
      </w:r>
    </w:p>
    <w:p>
      <w:pPr>
        <w:pStyle w:val="ListParagraph"/>
        <w:numPr>
          <w:ilvl w:val="1"/>
          <w:numId w:val="2"/>
        </w:numPr>
        <w:ind w:hanging="432" w:start="0"/>
        <w:jc w:val="both"/>
        <w:rPr>
          <w:rFonts w:ascii="Times New Roman" w:hAnsi="Times New Roman"/>
        </w:rPr>
      </w:pPr>
      <w:r>
        <w:rPr>
          <w:rFonts w:cs="Times New Roman"/>
        </w:rPr>
        <w:t>Iepirkuma identifikācijas numu</w:t>
      </w:r>
      <w:r>
        <w:rPr>
          <w:rFonts w:eastAsia="Times New Roman" w:cs="Times New Roman"/>
          <w:color w:val="auto"/>
          <w:kern w:val="0"/>
          <w:sz w:val="24"/>
          <w:szCs w:val="24"/>
          <w:lang w:val="lv-LV" w:eastAsia="zh-CN" w:bidi="ar-SA"/>
        </w:rPr>
        <w:t>rs –  M-1-B7_01-2026</w:t>
      </w:r>
    </w:p>
    <w:p>
      <w:pPr>
        <w:pStyle w:val="ListParagraph"/>
        <w:numPr>
          <w:ilvl w:val="1"/>
          <w:numId w:val="2"/>
        </w:numPr>
        <w:ind w:hanging="432" w:start="0"/>
        <w:jc w:val="both"/>
        <w:rPr>
          <w:rFonts w:ascii="Times New Roman" w:hAnsi="Times New Roman"/>
        </w:rPr>
      </w:pPr>
      <w:r>
        <w:rPr>
          <w:rFonts w:cs="Times New Roman"/>
          <w:b/>
          <w:bCs/>
        </w:rPr>
        <w:t>Pasūtītājs:</w:t>
      </w:r>
    </w:p>
    <w:tbl>
      <w:tblPr>
        <w:tblW w:w="8970"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969"/>
        <w:gridCol w:w="6000"/>
      </w:tblGrid>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Pasūtītāja nosaukums:</w:t>
            </w:r>
          </w:p>
        </w:tc>
        <w:tc>
          <w:tcPr>
            <w:tcW w:w="6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val="false"/>
                <w:bCs w:val="false"/>
              </w:rPr>
              <w:t>Sabiedrība ar ierobežotu atbildību “MOŽUMS-1”</w:t>
            </w:r>
            <w:r>
              <w:rPr>
                <w:rFonts w:cs="Times New Roman"/>
                <w:b/>
                <w:bCs/>
              </w:rPr>
              <w:t xml:space="preserve"> </w:t>
            </w:r>
            <w:r>
              <w:rPr>
                <w:rFonts w:cs="Times New Roman"/>
              </w:rPr>
              <w:t xml:space="preserve">(turpmāk – </w:t>
            </w:r>
            <w:r>
              <w:rPr>
                <w:rFonts w:cs="Times New Roman"/>
                <w:b/>
                <w:bCs/>
              </w:rPr>
              <w:t>Pasūtītājs</w:t>
            </w:r>
            <w:r>
              <w:rPr>
                <w:rFonts w:cs="Times New Roman"/>
              </w:rPr>
              <w:t>)</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Juridiskā adrese:</w:t>
            </w:r>
          </w:p>
        </w:tc>
        <w:tc>
          <w:tcPr>
            <w:tcW w:w="6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rPr>
              <w:t>Bruņinieku iela 8, Rīga, LV-1010</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Reģistrācijas numurs:</w:t>
            </w:r>
          </w:p>
        </w:tc>
        <w:tc>
          <w:tcPr>
            <w:tcW w:w="6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rPr>
            </w:pPr>
            <w:r>
              <w:rPr>
                <w:rFonts w:eastAsia="Times New Roman" w:cs="Times New Roman"/>
              </w:rPr>
              <w:t>40103146679</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Tālr.:</w:t>
            </w:r>
          </w:p>
        </w:tc>
        <w:tc>
          <w:tcPr>
            <w:tcW w:w="60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rPr>
            </w:pPr>
            <w:r>
              <w:rPr>
                <w:rFonts w:cs="Times New Roman"/>
              </w:rPr>
              <w:t>67255823</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E – pasta adrese:</w:t>
            </w:r>
          </w:p>
        </w:tc>
        <w:tc>
          <w:tcPr>
            <w:tcW w:w="60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pPr>
            <w:hyperlink r:id="rId3">
              <w:r>
                <w:rPr>
                  <w:rStyle w:val="Hyperlink"/>
                  <w:rFonts w:cs="Times New Roman"/>
                  <w:color w:val="auto"/>
                </w:rPr>
                <w:t>sekretars@mfd.lv</w:t>
              </w:r>
            </w:hyperlink>
          </w:p>
        </w:tc>
      </w:tr>
      <w:tr>
        <w:trPr>
          <w:trHeight w:val="176" w:hRule="atLeast"/>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Kontaktpersona:</w:t>
            </w:r>
          </w:p>
        </w:tc>
        <w:tc>
          <w:tcPr>
            <w:tcW w:w="6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cs="Times New Roman"/>
              </w:rPr>
              <w:t xml:space="preserve">Inese Volka, e-pasta adrese: </w:t>
            </w:r>
            <w:hyperlink r:id="rId4">
              <w:r>
                <w:rPr>
                  <w:rStyle w:val="Hyperlink"/>
                  <w:rFonts w:cs="Times New Roman"/>
                </w:rPr>
                <w:t>inese.volka@mfd.lv</w:t>
              </w:r>
            </w:hyperlink>
            <w:r>
              <w:rPr>
                <w:rFonts w:cs="Times New Roman"/>
              </w:rPr>
              <w:t>; tālrunis: 28715970</w:t>
            </w:r>
          </w:p>
        </w:tc>
      </w:tr>
    </w:tbl>
    <w:p>
      <w:pPr>
        <w:pStyle w:val="ListParagraph"/>
        <w:ind w:start="0"/>
        <w:jc w:val="both"/>
        <w:rPr>
          <w:rFonts w:ascii="Times New Roman" w:hAnsi="Times New Roman" w:cs="Times New Roman"/>
        </w:rPr>
      </w:pPr>
      <w:r>
        <w:rPr>
          <w:rFonts w:cs="Times New Roman"/>
        </w:rPr>
      </w:r>
    </w:p>
    <w:p>
      <w:pPr>
        <w:pStyle w:val="ListParagraph"/>
        <w:widowControl/>
        <w:numPr>
          <w:ilvl w:val="1"/>
          <w:numId w:val="2"/>
        </w:numPr>
        <w:suppressAutoHyphens w:val="true"/>
        <w:bidi w:val="0"/>
        <w:spacing w:lineRule="auto" w:line="259"/>
        <w:ind w:hanging="432" w:start="0"/>
        <w:jc w:val="both"/>
        <w:rPr/>
      </w:pPr>
      <w:r>
        <w:rPr>
          <w:rFonts w:cs="Times New Roman"/>
        </w:rPr>
        <w:t xml:space="preserve">Pasūtītājs organizē iepirkumu </w:t>
      </w:r>
      <w:r>
        <w:rPr>
          <w:rFonts w:eastAsia="Times New Roman" w:cs="Times New Roman"/>
          <w:color w:val="auto"/>
          <w:sz w:val="24"/>
          <w:szCs w:val="24"/>
          <w:lang w:val="lv-LV" w:bidi="ar-SA"/>
        </w:rPr>
        <w:t>“Ventilācijas sistēmas izbūve ģimenes ārstu praksēs Buļļu ielā 7, Rīga”.</w:t>
      </w:r>
    </w:p>
    <w:p>
      <w:pPr>
        <w:pStyle w:val="ListParagraph"/>
        <w:widowControl/>
        <w:numPr>
          <w:ilvl w:val="1"/>
          <w:numId w:val="2"/>
        </w:numPr>
        <w:suppressAutoHyphens w:val="true"/>
        <w:bidi w:val="0"/>
        <w:spacing w:lineRule="auto" w:line="259" w:before="0" w:after="200"/>
        <w:ind w:hanging="432" w:start="0"/>
        <w:contextualSpacing/>
        <w:jc w:val="both"/>
        <w:rPr/>
      </w:pPr>
      <w:r>
        <w:rPr>
          <w:rFonts w:eastAsia="Calibri" w:cs="Times New Roman"/>
          <w:kern w:val="2"/>
          <w:lang w:eastAsia="en-US"/>
        </w:rPr>
        <w:t xml:space="preserve">Iepirkums tiek organizēts saskaņā ar Ministru kabineta (turpmāk – </w:t>
      </w:r>
      <w:r>
        <w:rPr>
          <w:rFonts w:eastAsia="Calibri" w:cs="Times New Roman"/>
          <w:b/>
          <w:bCs/>
          <w:kern w:val="2"/>
          <w:lang w:eastAsia="en-US"/>
        </w:rPr>
        <w:t>MK</w:t>
      </w:r>
      <w:r>
        <w:rPr>
          <w:rFonts w:eastAsia="Calibri" w:cs="Times New Roman"/>
          <w:kern w:val="2"/>
          <w:lang w:eastAsia="en-US"/>
        </w:rPr>
        <w:t>) 2025.gada 7.janvāra no</w:t>
      </w:r>
      <w:r>
        <w:rPr>
          <w:rFonts w:eastAsia="Calibri" w:cs="Times New Roman"/>
          <w:b w:val="false"/>
          <w:bCs w:val="false"/>
          <w:kern w:val="2"/>
          <w:lang w:eastAsia="en-US"/>
        </w:rPr>
        <w:t xml:space="preserve">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ES un Latvijas Republikas normatīvajiem aktiem par ES fondu vadību un Sadarbības iestādes 25.07.2025. lēmumu Nr. 39-2-10/3716 par projekta iesnieguma “Primārās veselības aprūpes lomas stiprināšana, attīstot infrastruktūru SIA “Možums-1” telpās” (turpmāk — Projekts) apstiprināšanu ar nosacījumu un 21.10.2025. atzinumu Nr. 39-2-10/5180 par lēmumā ietverto nosacījumu izpildi, </w:t>
      </w:r>
      <w:r>
        <w:rPr>
          <w:rFonts w:eastAsia="Calibri" w:cs="Times New Roman"/>
          <w:b/>
          <w:bCs/>
          <w:kern w:val="2"/>
          <w:lang w:eastAsia="en-US"/>
        </w:rPr>
        <w:t>projekts Nr. 4.1.1.3/2/25/A/068 Primārās veselības aprūpes lomas stiprināšana, attīstot infrastruktūru Pasūtītāja telpās.</w:t>
      </w:r>
    </w:p>
    <w:p>
      <w:pPr>
        <w:pStyle w:val="ListParagraph"/>
        <w:widowControl/>
        <w:numPr>
          <w:ilvl w:val="1"/>
          <w:numId w:val="2"/>
        </w:numPr>
        <w:suppressAutoHyphens w:val="true"/>
        <w:bidi w:val="0"/>
        <w:spacing w:lineRule="auto" w:line="259" w:before="0" w:after="200"/>
        <w:ind w:hanging="432" w:start="0"/>
        <w:contextualSpacing/>
        <w:jc w:val="both"/>
        <w:rPr/>
      </w:pPr>
      <w:r>
        <w:rPr>
          <w:rFonts w:eastAsia="Calibri" w:cs="Times New Roman"/>
          <w:kern w:val="2"/>
          <w:lang w:eastAsia="en-US"/>
        </w:rPr>
        <w:t xml:space="preserve">Iepirkumu veikšanai Pasūtītājs ir izveidojis iepirkumu komisiju (turpmāk </w:t>
      </w:r>
      <w:r>
        <w:rPr>
          <w:rFonts w:eastAsia="Calibri" w:cs="Times New Roman"/>
          <w:b/>
          <w:bCs/>
          <w:kern w:val="2"/>
          <w:lang w:eastAsia="en-US"/>
        </w:rPr>
        <w:t>-</w:t>
      </w:r>
      <w:r>
        <w:rPr>
          <w:rFonts w:eastAsia="Calibri" w:cs="Times New Roman"/>
          <w:kern w:val="2"/>
          <w:lang w:eastAsia="en-US"/>
        </w:rPr>
        <w:t xml:space="preserve"> </w:t>
      </w:r>
      <w:r>
        <w:rPr>
          <w:rFonts w:eastAsia="Calibri" w:cs="Times New Roman"/>
          <w:b/>
          <w:bCs/>
          <w:kern w:val="2"/>
          <w:lang w:eastAsia="en-US"/>
        </w:rPr>
        <w:t>Komisija</w:t>
      </w:r>
      <w:r>
        <w:rPr>
          <w:rFonts w:eastAsia="Calibri" w:cs="Times New Roman"/>
          <w:kern w:val="2"/>
          <w:lang w:eastAsia="en-US"/>
        </w:rPr>
        <w:t>), kas pārstāv Pasūtītāja intereses.</w:t>
      </w:r>
    </w:p>
    <w:p>
      <w:pPr>
        <w:pStyle w:val="ListParagraph"/>
        <w:widowControl/>
        <w:numPr>
          <w:ilvl w:val="1"/>
          <w:numId w:val="2"/>
        </w:numPr>
        <w:suppressAutoHyphens w:val="true"/>
        <w:bidi w:val="0"/>
        <w:spacing w:lineRule="auto" w:line="259" w:before="0" w:after="200"/>
        <w:ind w:hanging="432" w:start="0"/>
        <w:contextualSpacing/>
        <w:jc w:val="both"/>
        <w:rPr>
          <w:b w:val="false"/>
          <w:bCs w:val="false"/>
        </w:rPr>
      </w:pPr>
      <w:r>
        <w:rPr>
          <w:rFonts w:eastAsia="Calibri" w:cs="Times New Roman"/>
          <w:b w:val="false"/>
          <w:bCs w:val="false"/>
          <w:iCs/>
          <w:color w:val="auto"/>
          <w:kern w:val="2"/>
          <w:sz w:val="24"/>
          <w:szCs w:val="24"/>
          <w:lang w:val="lv-LV" w:eastAsia="en-US" w:bidi="ar-SA"/>
        </w:rPr>
        <w:t>Saziņa starp Pasūtītāju un ieinteresētajiem Pretendentiem iepirkuma ietvaros notiek valsts valodā, rakstiski, pa pastu vai elektroniski (e-pastu). Pa e-pastu sūtītā informācija uzskatāma par saņemtu, ja pasūtītāja kontaktpersona nosūtījusi apstiprinošu e-pasta atbildes vēstuli tās sūtītājam vienas darba dienas laikā.</w:t>
      </w:r>
    </w:p>
    <w:p>
      <w:pPr>
        <w:pStyle w:val="ListParagraph"/>
        <w:numPr>
          <w:ilvl w:val="0"/>
          <w:numId w:val="0"/>
        </w:numPr>
        <w:ind w:hanging="0" w:start="0"/>
        <w:jc w:val="both"/>
        <w:rPr>
          <w:rFonts w:ascii="Times New Roman" w:hAnsi="Times New Roman" w:cs="Times New Roman"/>
        </w:rPr>
      </w:pPr>
      <w:r>
        <w:rPr>
          <w:rFonts w:cs="Times New Roman"/>
        </w:rPr>
      </w:r>
    </w:p>
    <w:p>
      <w:pPr>
        <w:pStyle w:val="Normal"/>
        <w:numPr>
          <w:ilvl w:val="0"/>
          <w:numId w:val="2"/>
        </w:numPr>
        <w:spacing w:lineRule="auto" w:line="240" w:before="0" w:after="0"/>
        <w:jc w:val="center"/>
        <w:rPr>
          <w:b/>
          <w:bCs/>
          <w:sz w:val="24"/>
          <w:szCs w:val="24"/>
        </w:rPr>
      </w:pPr>
      <w:r>
        <w:rPr>
          <w:rFonts w:eastAsia="Calibri" w:cs="Times New Roman"/>
          <w:b/>
          <w:bCs/>
          <w:kern w:val="2"/>
          <w:sz w:val="24"/>
          <w:szCs w:val="24"/>
          <w:lang w:eastAsia="en-US"/>
        </w:rPr>
        <w:t>INFORMĀCIJA PAR IEPIRKUMA PRIEKŠMETU</w:t>
      </w:r>
    </w:p>
    <w:p>
      <w:pPr>
        <w:pStyle w:val="ListParagraph"/>
        <w:numPr>
          <w:ilvl w:val="1"/>
          <w:numId w:val="2"/>
        </w:numPr>
        <w:ind w:hanging="432" w:start="0"/>
        <w:jc w:val="both"/>
        <w:rPr>
          <w:rFonts w:ascii="Times New Roman" w:hAnsi="Times New Roman" w:cs="Times New Roman"/>
        </w:rPr>
      </w:pPr>
      <w:r>
        <w:rPr>
          <w:rFonts w:cs="Times New Roman"/>
        </w:rPr>
        <w:t xml:space="preserve">Iepirkuma priekšmets ir </w:t>
      </w:r>
      <w:r>
        <w:rPr>
          <w:rFonts w:eastAsia="Calibri" w:cs="Times New Roman"/>
        </w:rPr>
        <w:t xml:space="preserve">MFD poliklīnikas </w:t>
      </w:r>
      <w:r>
        <w:rPr>
          <w:rFonts w:eastAsia="Times New Roman" w:cs="Times New Roman"/>
          <w:kern w:val="0"/>
          <w:lang w:eastAsia="lv-LV"/>
        </w:rPr>
        <w:t>ēkas Buļļu</w:t>
      </w:r>
      <w:r>
        <w:rPr>
          <w:rStyle w:val="Strong"/>
          <w:rFonts w:eastAsia="Times New Roman" w:cs="Times New Roman"/>
          <w:b w:val="false"/>
          <w:bCs w:val="false"/>
          <w:kern w:val="0"/>
          <w:lang w:eastAsia="lv-LV"/>
        </w:rPr>
        <w:t xml:space="preserve"> ielā 7, Rīgā</w:t>
      </w:r>
      <w:r>
        <w:rPr>
          <w:rFonts w:eastAsia="Times New Roman" w:cs="Times New Roman"/>
          <w:kern w:val="0"/>
          <w:lang w:eastAsia="lv-LV"/>
        </w:rPr>
        <w:t xml:space="preserve"> telpu pielāgošana </w:t>
      </w:r>
      <w:r>
        <w:rPr>
          <w:rStyle w:val="Strong"/>
          <w:rFonts w:eastAsia="Times New Roman" w:cs="Times New Roman"/>
          <w:b w:val="false"/>
          <w:bCs w:val="false"/>
          <w:kern w:val="0"/>
          <w:lang w:eastAsia="lv-LV"/>
        </w:rPr>
        <w:t>vides un funkcionālās pieejamības nodrošināšanai personām ar funkcionāliem traucējumiem</w:t>
      </w:r>
      <w:r>
        <w:rPr>
          <w:rFonts w:eastAsia="Times New Roman" w:cs="Times New Roman"/>
          <w:kern w:val="0"/>
          <w:lang w:eastAsia="lv-LV"/>
        </w:rPr>
        <w:t xml:space="preserve">, ietverot </w:t>
      </w:r>
      <w:r>
        <w:rPr>
          <w:rFonts w:eastAsia="Times New Roman" w:cs="Times New Roman"/>
          <w:b/>
          <w:bCs/>
          <w:i/>
          <w:iCs/>
          <w:kern w:val="0"/>
          <w:lang w:eastAsia="lv-LV"/>
        </w:rPr>
        <w:t xml:space="preserve">jaunas ventilācijas sistēmas izbūvi ģimenes ārstu prakšu telpās, uzgaidāmajā telpā un procedūru kabinetā, </w:t>
      </w:r>
    </w:p>
    <w:p>
      <w:pPr>
        <w:pStyle w:val="ListParagraph"/>
        <w:numPr>
          <w:ilvl w:val="0"/>
          <w:numId w:val="0"/>
        </w:numPr>
        <w:ind w:hanging="0" w:start="0"/>
        <w:jc w:val="both"/>
        <w:rPr>
          <w:rFonts w:ascii="Times New Roman" w:hAnsi="Times New Roman" w:cs="Times New Roman"/>
        </w:rPr>
      </w:pPr>
      <w:r>
        <w:rPr>
          <w:rFonts w:eastAsia="Times New Roman" w:cs="Times New Roman"/>
          <w:kern w:val="0"/>
          <w:lang w:eastAsia="lv-LV"/>
        </w:rPr>
        <w:t xml:space="preserve">visas </w:t>
      </w:r>
      <w:r>
        <w:rPr>
          <w:rFonts w:cs="Times New Roman"/>
        </w:rPr>
        <w:t>vajadzības</w:t>
      </w:r>
      <w:r>
        <w:rPr>
          <w:rFonts w:cs="Times New Roman"/>
          <w:bCs/>
        </w:rPr>
        <w:t xml:space="preserve">, kuru detalizēts apraksts norādīts tehniskās dokumentācijas Nolikuma </w:t>
      </w:r>
      <w:r>
        <w:rPr>
          <w:rFonts w:cs="Times New Roman"/>
          <w:bCs/>
          <w:shd w:fill="auto" w:val="clear"/>
        </w:rPr>
        <w:t>pielikumos piev</w:t>
      </w:r>
      <w:r>
        <w:rPr>
          <w:rFonts w:cs="Times New Roman"/>
          <w:bCs/>
        </w:rPr>
        <w:t>ienotajās tehniskajās specifikācijās.</w:t>
      </w:r>
    </w:p>
    <w:p>
      <w:pPr>
        <w:pStyle w:val="ListParagraph"/>
        <w:numPr>
          <w:ilvl w:val="1"/>
          <w:numId w:val="2"/>
        </w:numPr>
        <w:ind w:hanging="432" w:start="0"/>
        <w:jc w:val="both"/>
        <w:rPr>
          <w:rFonts w:ascii="Times New Roman" w:hAnsi="Times New Roman" w:cs="Times New Roman"/>
        </w:rPr>
      </w:pPr>
      <w:r>
        <w:rPr>
          <w:rFonts w:cs="Times New Roman"/>
          <w:bCs/>
        </w:rPr>
        <w:t>Iepirkuma priekšmeta CPV kods</w:t>
      </w:r>
      <w:r>
        <w:rPr>
          <w:rFonts w:cs="Times New Roman"/>
        </w:rPr>
        <w:t>: 45000000-7 Celtniecības darbi</w:t>
      </w:r>
      <w:r>
        <w:rPr/>
        <w:t>, 45331210-1 (ventilācijas ierīkošana).</w:t>
      </w:r>
    </w:p>
    <w:p>
      <w:pPr>
        <w:pStyle w:val="ListParagraph"/>
        <w:widowControl/>
        <w:numPr>
          <w:ilvl w:val="1"/>
          <w:numId w:val="2"/>
        </w:numPr>
        <w:suppressAutoHyphens w:val="true"/>
        <w:bidi w:val="0"/>
        <w:spacing w:lineRule="auto" w:line="259" w:before="0" w:after="200"/>
        <w:ind w:hanging="432" w:start="0"/>
        <w:contextualSpacing/>
        <w:jc w:val="both"/>
        <w:rPr/>
      </w:pPr>
      <w:r>
        <w:rPr>
          <w:rFonts w:cs="Times New Roman"/>
        </w:rPr>
        <w:t>Darbu izpildes vietas - Ventilācijas izbūve Buļļu ielā 7, Rīgā, MFD Iļģuciema poliklīnikā;</w:t>
      </w:r>
    </w:p>
    <w:p>
      <w:pPr>
        <w:pStyle w:val="ListParagraph"/>
        <w:widowControl/>
        <w:numPr>
          <w:ilvl w:val="1"/>
          <w:numId w:val="2"/>
        </w:numPr>
        <w:suppressAutoHyphens w:val="true"/>
        <w:bidi w:val="0"/>
        <w:spacing w:lineRule="auto" w:line="259" w:before="0" w:after="200"/>
        <w:ind w:hanging="432" w:start="0"/>
        <w:contextualSpacing/>
        <w:jc w:val="both"/>
        <w:rPr>
          <w:b w:val="false"/>
          <w:bCs w:val="false"/>
        </w:rPr>
      </w:pPr>
      <w:bookmarkStart w:id="1" w:name="_Hlk136000239_Copy_1"/>
      <w:r>
        <w:rPr>
          <w:rFonts w:cs="Times New Roman"/>
          <w:b w:val="false"/>
          <w:bCs w:val="false"/>
        </w:rPr>
        <w:t xml:space="preserve">Līguma izpildes termiņš:  ne ilgāk par </w:t>
      </w:r>
      <w:r>
        <w:rPr>
          <w:rFonts w:cs="Times New Roman"/>
          <w:b/>
          <w:bCs/>
          <w:shd w:fill="auto" w:val="clear"/>
        </w:rPr>
        <w:t xml:space="preserve">3 (trīs) mēnešiem no līguma noslēgšanas dienas, līguma izpildes laikā </w:t>
      </w:r>
      <w:r>
        <w:rPr>
          <w:rStyle w:val="Strong"/>
          <w:rFonts w:eastAsia="Calibri" w:cs="Times New Roman"/>
          <w:b/>
          <w:bCs/>
          <w:shd w:fill="auto" w:val="clear"/>
        </w:rPr>
        <w:t>MFD poliklīnikas darbība turpināsies</w:t>
      </w:r>
      <w:r>
        <w:rPr>
          <w:rStyle w:val="Strong"/>
          <w:rFonts w:eastAsia="Calibri" w:cs="Times New Roman"/>
        </w:rPr>
        <w:t xml:space="preserve"> un netiks pārtraukta</w:t>
      </w:r>
      <w:r>
        <w:rPr>
          <w:rFonts w:cs="Times New Roman"/>
          <w:b w:val="false"/>
          <w:bCs w:val="false"/>
        </w:rPr>
        <w:t xml:space="preserve">, </w:t>
      </w:r>
      <w:r>
        <w:rPr>
          <w:rFonts w:eastAsia="Calibri" w:cs="Times New Roman"/>
          <w:b w:val="false"/>
          <w:bCs w:val="false"/>
        </w:rPr>
        <w:t>t</w:t>
      </w:r>
      <w:bookmarkEnd w:id="1"/>
      <w:r>
        <w:rPr>
          <w:rFonts w:eastAsia="Calibri" w:cs="Times New Roman"/>
          <w:b w:val="false"/>
          <w:bCs w:val="false"/>
        </w:rPr>
        <w:t xml:space="preserve">ādēļ darbi jāorganizē tā, lai netraucētu ārstniecības iestādes darbību.  </w:t>
      </w:r>
    </w:p>
    <w:p>
      <w:pPr>
        <w:pStyle w:val="ListParagraph"/>
        <w:widowControl/>
        <w:suppressAutoHyphens w:val="true"/>
        <w:bidi w:val="0"/>
        <w:spacing w:lineRule="auto" w:line="259" w:before="0" w:after="200"/>
        <w:ind w:hanging="432" w:start="0"/>
        <w:contextualSpacing/>
        <w:jc w:val="both"/>
        <w:rPr>
          <w:b w:val="false"/>
          <w:bCs w:val="false"/>
        </w:rPr>
      </w:pPr>
      <w:r>
        <w:rPr>
          <w:b w:val="false"/>
          <w:bCs w:val="false"/>
        </w:rPr>
      </w:r>
    </w:p>
    <w:p>
      <w:pPr>
        <w:pStyle w:val="ListParagraph"/>
        <w:widowControl/>
        <w:suppressAutoHyphens w:val="true"/>
        <w:bidi w:val="0"/>
        <w:spacing w:lineRule="auto" w:line="259" w:before="0" w:after="200"/>
        <w:ind w:hanging="432" w:start="0"/>
        <w:contextualSpacing/>
        <w:jc w:val="both"/>
        <w:rPr>
          <w:b w:val="false"/>
          <w:bCs w:val="false"/>
        </w:rPr>
      </w:pPr>
      <w:r>
        <w:rPr>
          <w:b w:val="false"/>
          <w:bCs w:val="false"/>
        </w:rPr>
      </w:r>
    </w:p>
    <w:p>
      <w:pPr>
        <w:pStyle w:val="ListParagraph"/>
        <w:widowControl/>
        <w:suppressAutoHyphens w:val="true"/>
        <w:bidi w:val="0"/>
        <w:spacing w:lineRule="auto" w:line="259" w:before="0" w:after="200"/>
        <w:ind w:hanging="432" w:start="0"/>
        <w:contextualSpacing/>
        <w:jc w:val="both"/>
        <w:rPr>
          <w:b w:val="false"/>
          <w:bCs w:val="false"/>
        </w:rPr>
      </w:pPr>
      <w:r>
        <w:rPr>
          <w:b w:val="false"/>
          <w:bCs w:val="false"/>
        </w:rPr>
      </w:r>
    </w:p>
    <w:p>
      <w:pPr>
        <w:pStyle w:val="ListParagraph"/>
        <w:widowControl/>
        <w:suppressAutoHyphens w:val="true"/>
        <w:bidi w:val="0"/>
        <w:spacing w:lineRule="auto" w:line="259" w:before="0" w:after="200"/>
        <w:ind w:hanging="432" w:start="0"/>
        <w:contextualSpacing/>
        <w:jc w:val="both"/>
        <w:rPr>
          <w:b w:val="false"/>
          <w:bCs w:val="false"/>
        </w:rPr>
      </w:pPr>
      <w:r>
        <w:rPr>
          <w:b w:val="false"/>
          <w:bCs w:val="false"/>
        </w:rPr>
      </w:r>
    </w:p>
    <w:p>
      <w:pPr>
        <w:pStyle w:val="ListParagraph"/>
        <w:widowControl/>
        <w:suppressAutoHyphens w:val="true"/>
        <w:bidi w:val="0"/>
        <w:spacing w:lineRule="auto" w:line="259" w:before="0" w:after="200"/>
        <w:ind w:hanging="432" w:start="0"/>
        <w:contextualSpacing/>
        <w:jc w:val="both"/>
        <w:rPr>
          <w:b w:val="false"/>
          <w:bCs w:val="false"/>
        </w:rPr>
      </w:pPr>
      <w:r>
        <w:rPr>
          <w:b w:val="false"/>
          <w:bCs w:val="false"/>
        </w:rPr>
      </w:r>
    </w:p>
    <w:p>
      <w:pPr>
        <w:pStyle w:val="ListParagraph"/>
        <w:numPr>
          <w:ilvl w:val="1"/>
          <w:numId w:val="2"/>
        </w:numPr>
        <w:ind w:hanging="432" w:start="0"/>
        <w:jc w:val="both"/>
        <w:rPr>
          <w:rFonts w:ascii="Times New Roman" w:hAnsi="Times New Roman" w:cs="Times New Roman"/>
        </w:rPr>
      </w:pPr>
      <w:r>
        <w:rPr>
          <w:rFonts w:cs="Times New Roman"/>
          <w:b/>
        </w:rPr>
        <w:t>Paredzamā līgumcena</w:t>
      </w:r>
      <w:r>
        <w:rPr>
          <w:rFonts w:cs="Times New Roman"/>
          <w:bCs/>
        </w:rPr>
        <w:t>:</w:t>
      </w:r>
    </w:p>
    <w:p>
      <w:pPr>
        <w:pStyle w:val="ListParagraph"/>
        <w:numPr>
          <w:ilvl w:val="0"/>
          <w:numId w:val="0"/>
        </w:numPr>
        <w:spacing w:lineRule="auto" w:line="240" w:before="0" w:after="0"/>
        <w:ind w:hanging="0" w:start="862" w:end="-1"/>
        <w:contextualSpacing/>
        <w:jc w:val="both"/>
        <w:rPr/>
      </w:pPr>
      <w:r>
        <w:rPr/>
      </w:r>
    </w:p>
    <w:tbl>
      <w:tblPr>
        <w:tblW w:w="5000" w:type="pct"/>
        <w:jc w:val="center"/>
        <w:tblInd w:w="0" w:type="dxa"/>
        <w:tblLayout w:type="fixed"/>
        <w:tblCellMar>
          <w:top w:w="0" w:type="dxa"/>
          <w:start w:w="108" w:type="dxa"/>
          <w:bottom w:w="0" w:type="dxa"/>
          <w:end w:w="108" w:type="dxa"/>
        </w:tblCellMar>
        <w:tblLook w:firstRow="1" w:noVBand="1" w:lastRow="0" w:firstColumn="1" w:lastColumn="0" w:noHBand="0" w:val="04a0"/>
      </w:tblPr>
      <w:tblGrid>
        <w:gridCol w:w="6261"/>
        <w:gridCol w:w="3098"/>
      </w:tblGrid>
      <w:tr>
        <w:trPr>
          <w:trHeight w:val="430" w:hRule="atLeast"/>
        </w:trPr>
        <w:tc>
          <w:tcPr>
            <w:tcW w:w="6261"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spacing w:before="0" w:after="160"/>
              <w:ind w:start="720"/>
              <w:jc w:val="center"/>
              <w:rPr>
                <w:rFonts w:ascii="Times New Roman" w:hAnsi="Times New Roman"/>
              </w:rPr>
            </w:pPr>
            <w:r>
              <w:rPr>
                <w:rFonts w:cs="Times New Roman"/>
                <w:szCs w:val="24"/>
              </w:rPr>
              <w:t>Iepirkuma priekšmets</w:t>
            </w:r>
          </w:p>
        </w:tc>
        <w:tc>
          <w:tcPr>
            <w:tcW w:w="3098"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spacing w:before="0" w:after="160"/>
              <w:ind w:start="181" w:end="106"/>
              <w:jc w:val="center"/>
              <w:rPr>
                <w:rFonts w:ascii="Times New Roman" w:hAnsi="Times New Roman"/>
              </w:rPr>
            </w:pPr>
            <w:r>
              <w:rPr>
                <w:rFonts w:cs="Times New Roman"/>
                <w:szCs w:val="24"/>
              </w:rPr>
              <w:t>Paredzamā līguma summa, EUR bez PVN</w:t>
            </w:r>
          </w:p>
        </w:tc>
      </w:tr>
      <w:tr>
        <w:trPr>
          <w:trHeight w:val="236" w:hRule="atLeast"/>
        </w:trPr>
        <w:tc>
          <w:tcPr>
            <w:tcW w:w="626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160"/>
              <w:ind w:start="283"/>
              <w:rPr>
                <w:rFonts w:ascii="Times New Roman" w:hAnsi="Times New Roman"/>
              </w:rPr>
            </w:pPr>
            <w:r>
              <w:rPr/>
              <w:t>Nodrošināt t</w:t>
            </w:r>
            <w:r>
              <w:rPr>
                <w:rFonts w:eastAsia="Calibri" w:cs="Times New Roman"/>
                <w:color w:val="auto"/>
                <w:kern w:val="2"/>
                <w:sz w:val="22"/>
                <w:szCs w:val="22"/>
                <w:lang w:val="lv-LV" w:eastAsia="en-US" w:bidi="ar-SA"/>
              </w:rPr>
              <w:t>elpu pielāgošanu vides pieejamības uzlabošanai paredzot ventilācijas izbūvi Buļļu ielā 7</w:t>
            </w:r>
          </w:p>
        </w:tc>
        <w:tc>
          <w:tcPr>
            <w:tcW w:w="30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eastAsia="Times New Roman" w:cs="Times New Roman"/>
                <w:bCs/>
                <w:color w:themeColor="dark1" w:val="000000"/>
                <w:szCs w:val="24"/>
              </w:rPr>
              <w:t>70 827.27</w:t>
            </w:r>
          </w:p>
        </w:tc>
      </w:tr>
    </w:tbl>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Ja pretendenta piedāvātā kopējā līgumcena pārsniegs noteikto līgumcenas apmēru, pretendenta piedāvājums tiks noraidīts kā neatbilstošs, nevērtējot pretendenta kvalifikācijas un tehniskā piedāvājuma atbilstību Nolikuma prasībām.</w:t>
      </w:r>
    </w:p>
    <w:p>
      <w:pPr>
        <w:pStyle w:val="ListParagraph"/>
        <w:widowControl/>
        <w:numPr>
          <w:ilvl w:val="1"/>
          <w:numId w:val="2"/>
        </w:numPr>
        <w:suppressAutoHyphens w:val="true"/>
        <w:bidi w:val="0"/>
        <w:spacing w:lineRule="auto" w:line="259" w:before="0" w:after="200"/>
        <w:ind w:hanging="432" w:start="0"/>
        <w:contextualSpacing/>
        <w:jc w:val="both"/>
        <w:rPr/>
      </w:pPr>
      <w:r>
        <w:rPr>
          <w:rFonts w:eastAsia="Times New Roman" w:cs="Times New Roman"/>
          <w:b w:val="false"/>
          <w:bCs w:val="false"/>
          <w:color w:val="auto"/>
          <w:kern w:val="0"/>
          <w:sz w:val="24"/>
          <w:szCs w:val="24"/>
          <w:lang w:val="lv-LV" w:eastAsia="zh-CN" w:bidi="ar-SA"/>
        </w:rPr>
        <w:t xml:space="preserve">Pirms piedāvājuma iesniegšanas Pretendentam </w:t>
      </w:r>
      <w:r>
        <w:rPr>
          <w:rFonts w:eastAsia="Times New Roman" w:cs="Times New Roman"/>
          <w:b/>
          <w:bCs/>
          <w:color w:val="auto"/>
          <w:kern w:val="0"/>
          <w:sz w:val="24"/>
          <w:szCs w:val="24"/>
          <w:lang w:val="lv-LV" w:eastAsia="zh-CN" w:bidi="ar-SA"/>
        </w:rPr>
        <w:t>obligāti jāveic Objekta, kurā tiks veikti Darbi, apsekošana</w:t>
      </w:r>
      <w:r>
        <w:rPr>
          <w:rFonts w:eastAsia="Times New Roman" w:cs="Times New Roman"/>
          <w:b w:val="false"/>
          <w:bCs w:val="false"/>
          <w:color w:val="auto"/>
          <w:kern w:val="0"/>
          <w:sz w:val="24"/>
          <w:szCs w:val="24"/>
          <w:lang w:val="lv-LV" w:eastAsia="zh-CN" w:bidi="ar-SA"/>
        </w:rPr>
        <w:t xml:space="preserve">. Pretendents piesakās uz Objekta apsekošanu, nosūtot vēstuli uz elektroniskā pasta adresi: </w:t>
      </w:r>
      <w:hyperlink r:id="rId5">
        <w:r>
          <w:rPr>
            <w:rStyle w:val="Hyperlink"/>
            <w:rFonts w:eastAsia="Times New Roman" w:cs="Times New Roman"/>
            <w:b w:val="false"/>
            <w:bCs w:val="false"/>
            <w:color w:val="auto"/>
            <w:kern w:val="0"/>
            <w:sz w:val="24"/>
            <w:szCs w:val="24"/>
            <w:lang w:val="lv-LV" w:eastAsia="zh-CN" w:bidi="ar-SA"/>
          </w:rPr>
          <w:t>iepirkumi@mfd.lv</w:t>
        </w:r>
      </w:hyperlink>
      <w:r>
        <w:rPr>
          <w:rFonts w:eastAsia="Times New Roman" w:cs="Times New Roman"/>
          <w:b w:val="false"/>
          <w:bCs w:val="false"/>
          <w:color w:val="auto"/>
          <w:kern w:val="0"/>
          <w:sz w:val="24"/>
          <w:szCs w:val="24"/>
          <w:lang w:val="lv-LV" w:eastAsia="zh-CN" w:bidi="ar-SA"/>
        </w:rPr>
        <w:t xml:space="preserve">  ne vēlāk kā vienu darba dienu pirms noteiktās sanāksmes dienas, tas ir attiecīgi līdz </w:t>
      </w:r>
      <w:r>
        <w:rPr>
          <w:rFonts w:eastAsia="Times New Roman" w:cs="Times New Roman"/>
          <w:b/>
          <w:bCs/>
          <w:color w:val="000000"/>
          <w:kern w:val="0"/>
          <w:sz w:val="24"/>
          <w:szCs w:val="24"/>
          <w:shd w:fill="auto" w:val="clear"/>
          <w:lang w:val="lv-LV" w:eastAsia="zh-CN" w:bidi="ar-SA"/>
        </w:rPr>
        <w:t>1</w:t>
      </w:r>
      <w:r>
        <w:rPr>
          <w:rFonts w:eastAsia="Times New Roman" w:cs="Times New Roman"/>
          <w:b/>
          <w:bCs/>
          <w:color w:val="000000"/>
          <w:kern w:val="0"/>
          <w:sz w:val="24"/>
          <w:szCs w:val="24"/>
          <w:shd w:fill="auto" w:val="clear"/>
          <w:lang w:val="lv-LV" w:eastAsia="zh-CN" w:bidi="ar-SA"/>
        </w:rPr>
        <w:t>6</w:t>
      </w:r>
      <w:r>
        <w:rPr>
          <w:rFonts w:eastAsia="Times New Roman" w:cs="Times New Roman"/>
          <w:b/>
          <w:bCs/>
          <w:color w:val="000000"/>
          <w:kern w:val="0"/>
          <w:sz w:val="24"/>
          <w:szCs w:val="24"/>
          <w:shd w:fill="auto" w:val="clear"/>
          <w:lang w:val="lv-LV" w:eastAsia="zh-CN" w:bidi="ar-SA"/>
        </w:rPr>
        <w:t xml:space="preserve">.aprīļa plkst. 16:00. </w:t>
      </w:r>
      <w:r>
        <w:rPr>
          <w:rFonts w:eastAsia="Times New Roman" w:cs="Times New Roman"/>
          <w:b w:val="false"/>
          <w:bCs w:val="false"/>
          <w:color w:val="auto"/>
          <w:kern w:val="0"/>
          <w:sz w:val="24"/>
          <w:szCs w:val="24"/>
          <w:lang w:val="lv-LV" w:eastAsia="zh-CN" w:bidi="ar-SA"/>
        </w:rPr>
        <w:t xml:space="preserve">Iesniedzot piedāvājumu pretendents piedāvājumam pievieno apskates laikā abpusēji parakstītu objekta apsekošanas aktu (nolikuma 7.pielikums). </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 xml:space="preserve">Objekta apsekošanas neveikušo pretendentu piedāvājumi tiks noraidīti un tie nepiedalīsies piedāvājuma vērtēšanas procesā. </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Paredzēts avansa maksājums 30% apmērā saskaņā ar iepirkuma līguma nosacījumiem.</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Piedāvājuma izvēles kritērijs: Pasūtītājs piešķir iepirkuma līguma slēgšanas tiesības saimnieciski visizdevīgākajam piedāvājumam, kuru nosaka, ņemot vērā tikai cenu.</w:t>
      </w:r>
    </w:p>
    <w:p>
      <w:pPr>
        <w:pStyle w:val="ListParagraph"/>
        <w:widowControl/>
        <w:numPr>
          <w:ilvl w:val="1"/>
          <w:numId w:val="2"/>
        </w:numPr>
        <w:suppressAutoHyphens w:val="true"/>
        <w:bidi w:val="0"/>
        <w:ind w:hanging="432" w:start="0"/>
        <w:jc w:val="both"/>
        <w:rPr>
          <w:sz w:val="24"/>
          <w:szCs w:val="24"/>
        </w:rPr>
      </w:pP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en-US" w:bidi="ar-SA"/>
        </w:rPr>
        <w:t>Veiktajiem b</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ūvdarbiem</w:t>
      </w:r>
      <w:r>
        <w:rPr>
          <w:rFonts w:eastAsia="Times New Roman" w:cs="Times New Roman"/>
          <w:b w:val="false"/>
          <w:bCs/>
          <w:i w:val="false"/>
          <w:strike w:val="false"/>
          <w:dstrike w:val="false"/>
          <w:outline w:val="false"/>
          <w:shadow w:val="false"/>
          <w:color w:val="auto"/>
          <w:kern w:val="0"/>
          <w:sz w:val="24"/>
          <w:szCs w:val="24"/>
          <w:u w:val="none"/>
          <w:em w:val="none"/>
          <w:lang w:val="lv-LV" w:eastAsia="zh-CN" w:bidi="ar-SA"/>
        </w:rPr>
        <w:t xml:space="preserve"> garantijas termiņš</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 xml:space="preserve"> ir </w:t>
      </w:r>
      <w:r>
        <w:rPr>
          <w:rFonts w:eastAsia="Times New Roman" w:cs="Times New Roman"/>
          <w:b/>
          <w:bCs/>
          <w:i w:val="false"/>
          <w:strike w:val="false"/>
          <w:dstrike w:val="false"/>
          <w:outline w:val="false"/>
          <w:shadow w:val="false"/>
          <w:color w:val="000000"/>
          <w:kern w:val="0"/>
          <w:sz w:val="24"/>
          <w:szCs w:val="24"/>
          <w:u w:val="none"/>
          <w:shd w:fill="auto" w:val="clear"/>
          <w:em w:val="none"/>
          <w:lang w:val="lv-LV" w:eastAsia="zh-CN" w:bidi="ar-SA"/>
        </w:rPr>
        <w:t>ne mazāks kā 24 (divdesmit četri) mēneši</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 xml:space="preserve"> no nodošanas–pieņemšanas akta parakstīšanas dienas. Uzstādītajām iekārtām garantija tiek nodrošināta saskaņā ar ražotāja noteikumiem, bet </w:t>
      </w:r>
      <w:r>
        <w:rPr>
          <w:rFonts w:eastAsia="Times New Roman" w:cs="Times New Roman"/>
          <w:b/>
          <w:bCs/>
          <w:i w:val="false"/>
          <w:strike w:val="false"/>
          <w:dstrike w:val="false"/>
          <w:outline w:val="false"/>
          <w:shadow w:val="false"/>
          <w:color w:val="000000"/>
          <w:kern w:val="0"/>
          <w:sz w:val="24"/>
          <w:szCs w:val="24"/>
          <w:u w:val="none"/>
          <w:shd w:fill="auto" w:val="clear"/>
          <w:em w:val="none"/>
          <w:lang w:val="lv-LV" w:eastAsia="zh-CN" w:bidi="ar-SA"/>
        </w:rPr>
        <w:t>ne mazāk kā 24 mēnešus</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color w:val="auto"/>
          <w:kern w:val="0"/>
          <w:sz w:val="24"/>
          <w:szCs w:val="24"/>
          <w:lang w:val="lv-LV" w:eastAsia="zh-CN" w:bidi="ar-SA"/>
        </w:rPr>
        <w:t xml:space="preserve">Ja iekārtu ražotājs tehniskajā dokumentācijā ir noteicis </w:t>
      </w:r>
      <w:r>
        <w:rPr>
          <w:rStyle w:val="Strong"/>
          <w:rFonts w:eastAsia="Times New Roman" w:cs="Times New Roman"/>
          <w:bCs/>
          <w:color w:val="auto"/>
          <w:kern w:val="0"/>
          <w:sz w:val="24"/>
          <w:szCs w:val="24"/>
          <w:lang w:val="lv-LV" w:eastAsia="zh-CN" w:bidi="ar-SA"/>
        </w:rPr>
        <w:t>citu garantijas termiņu</w:t>
      </w:r>
      <w:r>
        <w:rPr>
          <w:rFonts w:eastAsia="Times New Roman" w:cs="Times New Roman"/>
          <w:b w:val="false"/>
          <w:bCs/>
          <w:color w:val="auto"/>
          <w:kern w:val="0"/>
          <w:sz w:val="24"/>
          <w:szCs w:val="24"/>
          <w:lang w:val="lv-LV" w:eastAsia="zh-CN" w:bidi="ar-SA"/>
        </w:rPr>
        <w:t xml:space="preserve">, attiecīgajai iekārtai piemēro </w:t>
      </w:r>
      <w:r>
        <w:rPr>
          <w:rStyle w:val="Strong"/>
          <w:rFonts w:eastAsia="Times New Roman" w:cs="Times New Roman"/>
          <w:bCs/>
          <w:color w:val="auto"/>
          <w:kern w:val="0"/>
          <w:sz w:val="24"/>
          <w:szCs w:val="24"/>
          <w:lang w:val="lv-LV" w:eastAsia="zh-CN" w:bidi="ar-SA"/>
        </w:rPr>
        <w:t>ražotāja noteikto garantijas termiņu</w:t>
      </w:r>
      <w:r>
        <w:rPr>
          <w:rFonts w:eastAsia="Times New Roman" w:cs="Times New Roman"/>
          <w:b w:val="false"/>
          <w:bCs/>
          <w:color w:val="auto"/>
          <w:kern w:val="0"/>
          <w:sz w:val="24"/>
          <w:szCs w:val="24"/>
          <w:lang w:val="lv-LV" w:eastAsia="zh-CN" w:bidi="ar-SA"/>
        </w:rPr>
        <w:t>.</w:t>
      </w:r>
      <w:r>
        <w:rPr>
          <w:rFonts w:eastAsia="Times New Roman" w:cs="Times New Roman"/>
          <w:b w:val="false"/>
          <w:bCs w:val="false"/>
          <w:color w:val="auto"/>
          <w:kern w:val="0"/>
          <w:sz w:val="24"/>
          <w:szCs w:val="24"/>
          <w:lang w:val="lv-LV" w:eastAsia="zh-CN" w:bidi="ar-SA"/>
        </w:rPr>
        <w:t xml:space="preserve"> </w:t>
      </w:r>
    </w:p>
    <w:p>
      <w:pPr>
        <w:pStyle w:val="ListParagraph"/>
        <w:widowControl/>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r>
    </w:p>
    <w:p>
      <w:pPr>
        <w:pStyle w:val="Normal"/>
        <w:numPr>
          <w:ilvl w:val="0"/>
          <w:numId w:val="2"/>
        </w:numPr>
        <w:spacing w:lineRule="auto" w:line="240" w:before="0" w:after="0"/>
        <w:jc w:val="center"/>
        <w:rPr>
          <w:rFonts w:ascii="Times New Roman" w:hAnsi="Times New Roman"/>
          <w:sz w:val="24"/>
          <w:szCs w:val="24"/>
        </w:rPr>
      </w:pPr>
      <w:r>
        <w:rPr>
          <w:rFonts w:eastAsia="Calibri" w:cs="Times New Roman"/>
          <w:b/>
          <w:bCs/>
          <w:kern w:val="2"/>
          <w:sz w:val="24"/>
          <w:szCs w:val="24"/>
          <w:lang w:val="lv-LV" w:eastAsia="en-US"/>
        </w:rPr>
        <w:t>PRETENDENTS</w:t>
      </w:r>
      <w:r>
        <w:rPr>
          <w:rFonts w:eastAsia="Calibri" w:cs="Times New Roman"/>
          <w:b/>
          <w:bCs/>
          <w:kern w:val="2"/>
          <w:sz w:val="24"/>
          <w:szCs w:val="24"/>
          <w:lang w:eastAsia="en-US"/>
        </w:rPr>
        <w:t xml:space="preserve"> </w:t>
      </w:r>
    </w:p>
    <w:p>
      <w:pPr>
        <w:pStyle w:val="Normal"/>
        <w:numPr>
          <w:ilvl w:val="0"/>
          <w:numId w:val="0"/>
        </w:numPr>
        <w:spacing w:lineRule="auto" w:line="240" w:before="0" w:after="0"/>
        <w:ind w:hanging="0" w:start="360"/>
        <w:jc w:val="center"/>
        <w:rPr>
          <w:rFonts w:ascii="Times New Roman" w:hAnsi="Times New Roman"/>
          <w:sz w:val="24"/>
          <w:szCs w:val="24"/>
        </w:rPr>
      </w:pPr>
      <w:r>
        <w:rPr>
          <w:sz w:val="24"/>
          <w:szCs w:val="24"/>
        </w:rPr>
      </w:r>
    </w:p>
    <w:p>
      <w:pPr>
        <w:pStyle w:val="ListParagraph"/>
        <w:widowControl/>
        <w:numPr>
          <w:ilvl w:val="1"/>
          <w:numId w:val="2"/>
        </w:numPr>
        <w:suppressAutoHyphens w:val="true"/>
        <w:bidi w:val="0"/>
        <w:spacing w:lineRule="auto" w:line="259"/>
        <w:ind w:hanging="432" w:start="0"/>
        <w:jc w:val="both"/>
        <w:rPr>
          <w:sz w:val="24"/>
          <w:szCs w:val="24"/>
        </w:rPr>
      </w:pPr>
      <w:r>
        <w:rPr>
          <w:rFonts w:cs="Times New Roman"/>
          <w:color w:val="auto"/>
          <w:kern w:val="0"/>
          <w:sz w:val="24"/>
          <w:szCs w:val="24"/>
          <w:lang w:val="lv-LV" w:eastAsia="lv-LV" w:bidi="ar-SA"/>
        </w:rPr>
        <w:t xml:space="preserve">Piedāvājumu drīkst iesniegt piegādātājs, kas ir juridiska vai fiziska persona (turpmāk – Pretendents), šādu personu apvienība jebkurā to kombinācijā (turpmāk arī – Pretendents), kas atbilst šādiem kritērijiem: </w:t>
      </w:r>
    </w:p>
    <w:p>
      <w:pPr>
        <w:pStyle w:val="ListParagraph"/>
        <w:widowControl/>
        <w:numPr>
          <w:ilvl w:val="0"/>
          <w:numId w:val="0"/>
        </w:numPr>
        <w:suppressAutoHyphens w:val="true"/>
        <w:bidi w:val="0"/>
        <w:spacing w:lineRule="auto" w:line="259" w:before="0" w:after="200"/>
        <w:ind w:hanging="0" w:start="-449" w:end="0"/>
        <w:contextualSpacing/>
        <w:jc w:val="both"/>
        <w:rPr>
          <w:sz w:val="24"/>
          <w:szCs w:val="24"/>
        </w:rPr>
      </w:pPr>
      <w:r>
        <w:rPr>
          <w:rFonts w:cs="Times New Roman"/>
          <w:color w:val="auto"/>
          <w:kern w:val="0"/>
          <w:sz w:val="24"/>
          <w:szCs w:val="24"/>
          <w:lang w:val="lv-LV" w:eastAsia="lv-LV" w:bidi="ar-SA"/>
        </w:rPr>
        <w:t xml:space="preserve">3.1.1. Pretendents nav pasludināts par maksātnespējīgu, neatrodas likvidācijas procesā, tā saimnieciskā darbība nav </w:t>
        <w:tab/>
        <w:t>apgrūtināta vai pārtraukta, kā arī Pretendents nav iekļauts sankciju sarakstā.</w:t>
      </w:r>
    </w:p>
    <w:p>
      <w:pPr>
        <w:pStyle w:val="ListParagraph"/>
        <w:widowControl/>
        <w:numPr>
          <w:ilvl w:val="0"/>
          <w:numId w:val="0"/>
        </w:numPr>
        <w:suppressAutoHyphens w:val="true"/>
        <w:bidi w:val="0"/>
        <w:spacing w:lineRule="auto" w:line="259" w:before="0" w:after="200"/>
        <w:ind w:hanging="0" w:start="-449" w:end="0"/>
        <w:contextualSpacing/>
        <w:jc w:val="both"/>
        <w:rPr>
          <w:sz w:val="24"/>
          <w:szCs w:val="24"/>
        </w:rPr>
      </w:pPr>
      <w:r>
        <w:rPr>
          <w:rFonts w:cs="Times New Roman"/>
          <w:color w:val="auto"/>
          <w:kern w:val="0"/>
          <w:sz w:val="24"/>
          <w:szCs w:val="24"/>
          <w:lang w:val="lv-LV" w:eastAsia="lv-LV" w:bidi="ar-SA"/>
        </w:rPr>
        <w:t xml:space="preserve">3.1.2. Pretendents nav saistīts ar pasūtītāju Latvijas Republikas likuma “Par nodokļiem un nodevām” izpratnē un </w:t>
        <w:tab/>
        <w:t xml:space="preserve">neatrodas interešu konfliktā saskaņā ar Latvijas Republikas Ministru kabineta 2017.gada 28. februāra </w:t>
        <w:tab/>
        <w:t xml:space="preserve">noteikumu Nr. 104 “Noteikumi par iepirkuma procedūru un tās piemērošanas kārtību pasūtītāja finansētiem </w:t>
        <w:tab/>
        <w:t>projektiem” 12. un 13. punktu.</w:t>
      </w:r>
    </w:p>
    <w:p>
      <w:pPr>
        <w:pStyle w:val="Normal"/>
        <w:spacing w:lineRule="auto" w:line="240" w:before="0" w:after="0"/>
        <w:ind w:hanging="567" w:start="567"/>
        <w:jc w:val="both"/>
        <w:rPr>
          <w:rFonts w:ascii="Times New Roman" w:hAnsi="Times New Roman" w:eastAsia="Times New Roman" w:cs="Times New Roman"/>
          <w:color w:val="000000"/>
          <w:sz w:val="24"/>
          <w:szCs w:val="24"/>
          <w:u w:val="none"/>
        </w:rPr>
      </w:pPr>
      <w:r>
        <w:rPr>
          <w:rFonts w:eastAsia="Times New Roman" w:cs="Times New Roman"/>
          <w:color w:val="000000"/>
          <w:sz w:val="24"/>
          <w:szCs w:val="24"/>
          <w:u w:val="none"/>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PRETENDENTU KVALIFIKĀCIJA</w:t>
      </w:r>
    </w:p>
    <w:p>
      <w:pPr>
        <w:pStyle w:val="ListParagraph"/>
        <w:widowControl/>
        <w:numPr>
          <w:ilvl w:val="1"/>
          <w:numId w:val="2"/>
        </w:numPr>
        <w:suppressAutoHyphens w:val="true"/>
        <w:bidi w:val="0"/>
        <w:spacing w:lineRule="auto" w:line="259"/>
        <w:ind w:hanging="432" w:start="0"/>
        <w:jc w:val="both"/>
        <w:rPr>
          <w:rFonts w:ascii="Times New Roman" w:hAnsi="Times New Roman" w:eastAsia="Times New Roman" w:cs="Times New Roman"/>
          <w:color w:val="auto"/>
          <w:kern w:val="0"/>
          <w:sz w:val="24"/>
          <w:szCs w:val="24"/>
          <w:lang w:val="lv-LV" w:eastAsia="lv-LV" w:bidi="ar-SA"/>
        </w:rPr>
      </w:pPr>
      <w:r>
        <w:rPr>
          <w:rFonts w:eastAsia="Times New Roman" w:cs="Times New Roman"/>
          <w:color w:val="auto"/>
          <w:kern w:val="0"/>
          <w:sz w:val="24"/>
          <w:szCs w:val="24"/>
          <w:lang w:val="lv-LV" w:eastAsia="lv-LV" w:bidi="ar-SA"/>
        </w:rPr>
        <w:t xml:space="preserve">Pretendentiem jāatbilst šādām Pretendentu kvalifikācijas prasībām attiecībā uz Pretendentu atbilstību profesionālās darbības veikšanai, kā arī tehniskajām un profesionālajām spējām un jāiesniedz šādi dokumenti: </w:t>
      </w:r>
    </w:p>
    <w:tbl>
      <w:tblPr>
        <w:tblW w:w="10393" w:type="dxa"/>
        <w:jc w:val="start"/>
        <w:tblInd w:w="-464" w:type="dxa"/>
        <w:tblLayout w:type="fixed"/>
        <w:tblCellMar>
          <w:top w:w="0" w:type="dxa"/>
          <w:start w:w="108" w:type="dxa"/>
          <w:bottom w:w="0" w:type="dxa"/>
          <w:end w:w="108" w:type="dxa"/>
        </w:tblCellMar>
      </w:tblPr>
      <w:tblGrid>
        <w:gridCol w:w="5196"/>
        <w:gridCol w:w="5196"/>
      </w:tblGrid>
      <w:tr>
        <w:trPr/>
        <w:tc>
          <w:tcPr>
            <w:tcW w:w="5196" w:type="dxa"/>
            <w:tcBorders>
              <w:top w:val="single" w:sz="4" w:space="0" w:color="000000"/>
              <w:start w:val="single" w:sz="4" w:space="0" w:color="000000"/>
              <w:bottom w:val="single" w:sz="4" w:space="0" w:color="000000"/>
            </w:tcBorders>
          </w:tcPr>
          <w:p>
            <w:pPr>
              <w:pStyle w:val="Normal"/>
              <w:widowControl/>
              <w:tabs>
                <w:tab w:val="clear" w:pos="720"/>
                <w:tab w:val="left" w:pos="426" w:leader="none"/>
              </w:tabs>
              <w:suppressAutoHyphens w:val="true"/>
              <w:spacing w:lineRule="auto" w:line="240" w:before="0" w:after="0"/>
              <w:jc w:val="start"/>
              <w:rPr>
                <w:sz w:val="24"/>
                <w:szCs w:val="24"/>
              </w:rPr>
            </w:pPr>
            <w:r>
              <w:rPr>
                <w:b/>
                <w:bCs/>
                <w:kern w:val="0"/>
                <w:sz w:val="24"/>
                <w:szCs w:val="24"/>
                <w:lang w:bidi="ar-SA"/>
              </w:rPr>
              <w:t>Kvalifikācijas prasības</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sz w:val="24"/>
                <w:szCs w:val="24"/>
              </w:rPr>
            </w:pPr>
            <w:r>
              <w:rPr>
                <w:rFonts w:cs="Times New Roman"/>
                <w:b/>
                <w:bCs/>
                <w:kern w:val="0"/>
                <w:sz w:val="24"/>
                <w:szCs w:val="24"/>
                <w:lang w:bidi="ar-SA"/>
              </w:rPr>
              <w:t>Iesniedzamie dokumenti</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(tai skaitā, piegādātāju apvienības biedrs, personālsabiedrība, persona, uz kuras iespējām Pretendents balstās) ir reģistrēts Uzņēmumu reģistrā vai līdzvērtīgā normatīvajos reģistrā aktos ārvalstīs Par Latvijas Republikā reģistrētiem Pretendentiem Pasūtītājs informāciju par to, vai Pretendents ir reģistrēts atbilstoši normatīvo aktu prasībām, iegūst publiski pieejamās datu bāzēs. noteiktajos gadījumos un normatīvajos aktos noteiktajā kārtībā - Pretendentam ir tiesībspēja un rīcībspēja.</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cs="Times New Roman"/>
                <w:kern w:val="0"/>
                <w:sz w:val="22"/>
                <w:szCs w:val="22"/>
                <w:lang w:bidi="ar-SA"/>
              </w:rPr>
              <w:t>Par Latvijas Republikā reģistrētiem Pretendentiem Pasūtītājs informāciju par to, vai Pretendents ir reģistrēts atbilstoši normatīvo aktu prasībām, iegūst publiski pieejamās datu bāzēs. noteiktajos gadījumos un normatīvajos aktos noteiktajā kārtībā - Pretendentam ir tiesībspēja un rīcībspēja. Ārvalsts jāapliecina pretendentam atbilstoši noteikumiem reģistrācija attiecīgās (piemēram, ir valsts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 Piezīme: Ja Pieteikumu iesniedz Pretendents, kas ir piegādātāju apvienība, Pretendentam iepirkuma līguma slēgšanas tiesību iegūšanas gadījumā ir pienākums pirms iepirkuma līguma noslēgšanas pēc savas izvēles noformēts 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trPr>
          <w:trHeight w:val="2394" w:hRule="atLeast"/>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Pretendenta amatpersonai, kas parakstījusi Piedāvājuma dokumentus, ir paraksta (pārstāvības) tiesības. 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Times New Roman" w:hAnsi="Times New Roman"/>
              </w:rPr>
            </w:pPr>
            <w:r>
              <w:rPr>
                <w:rFonts w:cs="Times New Roman"/>
                <w:bCs/>
                <w:kern w:val="0"/>
                <w:sz w:val="22"/>
                <w:szCs w:val="22"/>
                <w:lang w:bidi="ar-SA"/>
              </w:rPr>
              <w:t>Pasūtītājs pārliecināsies publiski pieejamās datu bāzēs par to, vai Pretendenta amatpersonai, kas parakstījusi Piedāvājuma dokumentus, ir paraksta (pārstāvības) tiesības. 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Pasūtītājs var pārliecināties par Pretendenta amatpersonas paraksta (pārstāvības) tiesībām un iesniedzot informācijas par pretendenta amatpersonas paraksta (pārstāvības) tiesībām tulkojumu). Ja Piedāvājuma dokumentus paraksta persona, kurai nav paraksta (pārstāvības) tiesības, Pretendentam jāiesniedz amatpersonas ar paraksta tiesībām izdots pilnvarojums citai personai parakstīt Piedāvājuma dokumentus.</w:t>
            </w:r>
          </w:p>
          <w:p>
            <w:pPr>
              <w:pStyle w:val="Normal"/>
              <w:widowControl/>
              <w:tabs>
                <w:tab w:val="clear" w:pos="720"/>
                <w:tab w:val="left" w:pos="426" w:leader="none"/>
              </w:tabs>
              <w:suppressAutoHyphens w:val="true"/>
              <w:spacing w:lineRule="auto" w:line="240" w:before="0" w:after="0"/>
              <w:jc w:val="start"/>
              <w:rPr>
                <w:rFonts w:ascii="Times New Roman" w:hAnsi="Times New Roman" w:cs="Times New Roman"/>
              </w:rPr>
            </w:pPr>
            <w:r>
              <w:rPr>
                <w:rFonts w:cs="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Pretendentam (tai skaitā, piegādātāju apvienības biedram, personālsabiedrībai, personai, uz kuras iespējām Pretendents balstās) būs jābūt reģistrētam Latvijas Republikas Būvkomersantu reģistrā.</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200"/>
              <w:jc w:val="both"/>
              <w:rPr>
                <w:rFonts w:ascii="Times New Roman" w:hAnsi="Times New Roman"/>
              </w:rPr>
            </w:pPr>
            <w:r>
              <w:rPr>
                <w:rFonts w:cs="Times New Roman"/>
                <w:color w:themeColor="dark1" w:val="000000"/>
                <w:kern w:val="0"/>
                <w:sz w:val="22"/>
                <w:szCs w:val="22"/>
                <w:lang w:bidi="ar-SA"/>
              </w:rPr>
              <w:t>Pasūtītājs publiski pieejamās datu bāzēs pārliecinās, vai Pretendents (tai skaitā, piegādātāju apvienības biedrs, personālsabiedrība, persona, uz kuras iespējām Pretendents balstās) ir reģistrējies Latvijas Republikas Būvkomersantu reģistrā. Ja Pretendents nav reģistrēts Latvijas Republikas Būvkomersantu reģistrā un Darbu izpildē paredz iesaistīt gan ārvalstu, gan Latvijas Republikas Būvspeciālistu reģistrā reģistrētos speciālistus, tam jāiesniedz apliecinājums, ka gadījumā, ja tam tiks piešķirtas iepirkuma līguma slēgšanas tiesības, tas līdz iepirkuma līguma noslēgšanai reģistrēsies Latvijas Republikas Būvkomersantu reģistrā. Ja Pretendents nav reģistrēts Latvijas Republikas Būvkomersantu reģistrā un Darbu izpildē paredz iesaistīt tikai ārvalstu speciālistus, tam jāiesniedz apliecinājums, ka gadījumā, ja tam tiks piešķirtas līguma slēgšanas tiesības, tas ne vēlāk kā 10 (desmit) darba dienu laikā pēc speciālistu iekļaušanas Latvijas Republikas Būvspeciālistu reģistrā reģistrēsies Latvijas Republikas Būvkomersantu reģistrā.</w:t>
            </w:r>
          </w:p>
          <w:p>
            <w:pPr>
              <w:pStyle w:val="Normal"/>
              <w:widowControl/>
              <w:suppressAutoHyphens w:val="true"/>
              <w:spacing w:lineRule="auto" w:line="240" w:before="0" w:after="200"/>
              <w:jc w:val="both"/>
              <w:rPr>
                <w:rFonts w:ascii="Times New Roman" w:hAnsi="Times New Roman" w:cs="Times New Roman"/>
                <w:color w:themeColor="dark1" w:val="000000"/>
              </w:rPr>
            </w:pPr>
            <w:r>
              <w:rPr>
                <w:rFonts w:cs="Times New Roman"/>
                <w:color w:themeColor="dark1" w:val="000000"/>
              </w:rPr>
            </w:r>
          </w:p>
          <w:p>
            <w:pPr>
              <w:pStyle w:val="Normal"/>
              <w:widowControl w:val="false"/>
              <w:suppressAutoHyphens w:val="true"/>
              <w:spacing w:lineRule="auto" w:line="240" w:before="0" w:after="0"/>
              <w:jc w:val="start"/>
              <w:rPr>
                <w:rFonts w:ascii="Times New Roman" w:hAnsi="Times New Roman" w:cs="Times New Roman"/>
                <w:lang w:eastAsia="zh-CN"/>
              </w:rPr>
            </w:pPr>
            <w:r>
              <w:rPr>
                <w:rFonts w:cs="Times New Roman"/>
                <w:lang w:eastAsia="zh-C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pēdējo 5 (piecu) gadu laikā (pieci pilni gadi un periods līdz piedāvājumu iesniegšanai) vismaz 2 (divu) līgumu ietvaros ir izpildījis ventilācijas sistēmu būvdarbus vai remonta darbus. 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eastAsia="Times New Roman" w:cs="Times New Roman"/>
                <w:kern w:val="0"/>
                <w:sz w:val="22"/>
                <w:szCs w:val="22"/>
                <w:lang w:eastAsia="ar-SA" w:bidi="ar-SA"/>
              </w:rPr>
              <w:t>Aizpildīts un parakstīts Pretendenta pieredzes saraksts saskaņā ar Nolikuma</w:t>
            </w:r>
            <w:r>
              <w:rPr>
                <w:rFonts w:eastAsia="Times New Roman" w:cs="Times New Roman"/>
                <w:b w:val="false"/>
                <w:bCs w:val="false"/>
                <w:kern w:val="0"/>
                <w:sz w:val="22"/>
                <w:szCs w:val="22"/>
                <w:lang w:eastAsia="ar-SA" w:bidi="ar-SA"/>
              </w:rPr>
              <w:t xml:space="preserve"> 5.pielikumā </w:t>
            </w:r>
            <w:r>
              <w:rPr>
                <w:rFonts w:eastAsia="Times New Roman" w:cs="Times New Roman"/>
                <w:kern w:val="0"/>
                <w:sz w:val="22"/>
                <w:szCs w:val="22"/>
                <w:lang w:eastAsia="ar-SA" w:bidi="ar-SA"/>
              </w:rPr>
              <w:t>pievienoto formu. Minētajā formā jānorāda informācija, kas ļauj pārliecināties par Nolikuma prasību izpildi. Nepieciešamības gadījumā (pēc Pasūtītāja pieprasījuma saņemšanas) Pretendentam būs jāiesniedz dokuments, kas apliecina Nolikuma prasības izpildi, piemēram, rakstveida atsauksmes no Pretendenta pieredzes sarakstā norādīto objektu pasūtītājiem par Pretendenta pieredzes sarakstā norādītiem darbiem, līgumu izrakstu apliecinātas kopijas (vai tam pielīdzināms dokuments), kas pierāda prasības izpildi, akta par būvdarbu nodošanu ekspluatācijā apliecināta kopija (vai tam pielīdzināms dokuments). Ja Pretendents balstās uz citas personas iespējām, lai apliecinātu Nolikuma izpildi, Pretendents iesniedz informāciju un apliecinājumu saskaņā ar Nolikuma 1</w:t>
            </w:r>
            <w:r>
              <w:rPr>
                <w:rFonts w:eastAsia="Times New Roman" w:cs="Times New Roman"/>
                <w:b w:val="false"/>
                <w:bCs w:val="false"/>
                <w:kern w:val="0"/>
                <w:sz w:val="22"/>
                <w:szCs w:val="22"/>
                <w:lang w:eastAsia="ar-SA" w:bidi="ar-SA"/>
              </w:rPr>
              <w:t>.pielikumu.</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Darbu izpildei Līguma darbības laikā var nodrošināt darbu vadītāju:</w:t>
            </w:r>
          </w:p>
          <w:p>
            <w:pPr>
              <w:pStyle w:val="ListParagraph"/>
              <w:widowControl/>
              <w:numPr>
                <w:ilvl w:val="0"/>
                <w:numId w:val="3"/>
              </w:numPr>
              <w:tabs>
                <w:tab w:val="clear" w:pos="720"/>
                <w:tab w:val="left" w:pos="180" w:leader="none"/>
              </w:tabs>
              <w:suppressAutoHyphens w:val="true"/>
              <w:spacing w:before="0" w:after="20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kuram ir spēkā esošs būvspeciālista sertifikāts siltumapgādes, ventilācijas un gaisa kondicionēšanas sistēmu būvdarbu vadīšanā;</w:t>
            </w:r>
          </w:p>
          <w:p>
            <w:pPr>
              <w:pStyle w:val="ListParagraph"/>
              <w:widowControl/>
              <w:numPr>
                <w:ilvl w:val="0"/>
                <w:numId w:val="3"/>
              </w:numPr>
              <w:tabs>
                <w:tab w:val="clear" w:pos="720"/>
                <w:tab w:val="left" w:pos="180" w:leader="none"/>
              </w:tabs>
              <w:suppressAutoHyphens w:val="true"/>
              <w:spacing w:before="0" w:after="20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kurš pēdējo 3 (trīs) gadu laikā (trīs pilni gadi un periods līdz piedāvājumu iesniegšanai) kā darbu vadītājs vismaz 2 (divu) līgumu ietvaros ir vadījis ventilācijas sistēmu būvdarbus vai remonta darbus.</w:t>
            </w:r>
          </w:p>
          <w:p>
            <w:pPr>
              <w:pStyle w:val="ListParagraph"/>
              <w:widowControl/>
              <w:tabs>
                <w:tab w:val="clear" w:pos="720"/>
                <w:tab w:val="left" w:pos="180" w:leader="none"/>
              </w:tabs>
              <w:suppressAutoHyphens w:val="true"/>
              <w:bidi w:val="0"/>
              <w:spacing w:before="0" w:after="200"/>
              <w:ind w:hanging="0" w:start="0" w:end="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bCs/>
                <w:kern w:val="0"/>
                <w:sz w:val="22"/>
                <w:szCs w:val="22"/>
                <w:lang w:bidi="ar-SA"/>
              </w:rPr>
              <w:t xml:space="preserve">Pretendenta piedāvātā būvdarbu vadītāja parakstīts pieejamības apliecinājums saskaņā ar Nolikuma </w:t>
            </w:r>
            <w:r>
              <w:rPr>
                <w:rFonts w:cs="Times New Roman"/>
                <w:b/>
                <w:bCs/>
                <w:kern w:val="0"/>
                <w:sz w:val="22"/>
                <w:szCs w:val="22"/>
                <w:lang w:bidi="ar-SA"/>
              </w:rPr>
              <w:t>7.pielikumā</w:t>
            </w:r>
            <w:r>
              <w:rPr>
                <w:rFonts w:cs="Times New Roman"/>
                <w:bCs/>
                <w:kern w:val="0"/>
                <w:sz w:val="22"/>
                <w:szCs w:val="22"/>
                <w:lang w:bidi="ar-SA"/>
              </w:rPr>
              <w:t xml:space="preserve"> pievienoto veidni. Apliecinājumā norādāma informācija par darbu vadītāja pieredzi, kas ļauj pārliecināties par Nolikuma prasību izpildi.</w:t>
            </w:r>
          </w:p>
          <w:p>
            <w:pPr>
              <w:pStyle w:val="Normal"/>
              <w:widowControl/>
              <w:suppressAutoHyphens w:val="true"/>
              <w:spacing w:lineRule="auto" w:line="240" w:before="0" w:after="0"/>
              <w:jc w:val="start"/>
              <w:rPr>
                <w:rFonts w:ascii="Times New Roman" w:hAnsi="Times New Roman"/>
              </w:rPr>
            </w:pPr>
            <w:r>
              <w:rPr/>
            </w:r>
          </w:p>
          <w:p>
            <w:pPr>
              <w:pStyle w:val="Normal"/>
              <w:widowControl/>
              <w:suppressAutoHyphens w:val="true"/>
              <w:spacing w:lineRule="auto" w:line="240" w:before="0" w:after="0"/>
              <w:jc w:val="start"/>
              <w:rPr>
                <w:rFonts w:ascii="Times New Roman" w:hAnsi="Times New Roman"/>
              </w:rPr>
            </w:pPr>
            <w:r>
              <w:rPr>
                <w:rFonts w:cs="Times New Roman"/>
                <w:bCs/>
                <w:kern w:val="0"/>
                <w:sz w:val="22"/>
                <w:szCs w:val="22"/>
                <w:lang w:bidi="ar-SA"/>
              </w:rPr>
              <w:t>Nepieciešamības gadījumā (pēc Pasūtītāja pieprasījuma saņemšanas) Pretendentam būs jāiesniedz dokumenti, kas apliecina Darbu vadītāja pieredzi.</w:t>
            </w:r>
          </w:p>
          <w:p>
            <w:pPr>
              <w:pStyle w:val="Normal"/>
              <w:widowControl/>
              <w:suppressAutoHyphens w:val="true"/>
              <w:spacing w:lineRule="auto" w:line="240" w:before="0" w:after="0"/>
              <w:jc w:val="start"/>
              <w:rPr>
                <w:rFonts w:ascii="Times New Roman" w:hAnsi="Times New Roman"/>
              </w:rPr>
            </w:pPr>
            <w:r>
              <w:rPr>
                <w:rFonts w:cs="Times New Roman"/>
                <w:bCs/>
                <w:kern w:val="0"/>
                <w:sz w:val="22"/>
                <w:szCs w:val="22"/>
                <w:lang w:bidi="ar-SA"/>
              </w:rPr>
              <w:t xml:space="preserve">Par Pretendenta piedāvātā speciālista būvprakses sertifikātu un tā spēkā esību Pasūtītājs pārliecināsies Būvspeciālistu informācijas sistēmas Būvspeciālistu reģistrā </w:t>
            </w:r>
            <w:hyperlink r:id="rId6">
              <w:r>
                <w:rPr>
                  <w:rStyle w:val="Hyperlink"/>
                  <w:rFonts w:cs="Times New Roman"/>
                  <w:bCs/>
                  <w:kern w:val="0"/>
                  <w:sz w:val="22"/>
                  <w:szCs w:val="22"/>
                  <w:lang w:bidi="ar-SA"/>
                </w:rPr>
                <w:t>https://bis.gov.lv/bisp/lv/specialist_certificates</w:t>
              </w:r>
            </w:hyperlink>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iesniedz Pasūtītāja sagatavoto tehnisko specifikāciju, ietverot tajā prasīto informāciju.</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kern w:val="0"/>
                <w:sz w:val="22"/>
                <w:szCs w:val="22"/>
                <w:lang w:bidi="ar-SA"/>
              </w:rPr>
              <w:t>Tehniskā specifikācija (2.pielikums)</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iesniedz tāmi, kas sagatavota atbilstoši LR spēkā esošo normatīvi aktu prasībām un saskaņā ar Pasūtītāja sagatavoto tehnisko specifikāciju (2.pielikums).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Ja tehniskajā specifikācijā minēti konkrēti ražotāji vai produktu nosaukumi, konkrētas metodes, Pretendents drīkst piedāvāt citu ražotāju analogus, kuri kvalitātes, izpildījuma, ekspluatācijas īpašību, savietojamības un funkcionalitātes ziņā ir līdzvērtīgi.</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kern w:val="0"/>
                <w:sz w:val="22"/>
                <w:szCs w:val="22"/>
                <w:lang w:bidi="ar-SA"/>
              </w:rPr>
              <w:t>Tāme</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sagatavo un iesniedz finanšu piedāvājumu (3.pielikums) atbilstoši publicētajai veidlapai (formai)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Piedāvājuma cenā jābūt iekļautiem visiem plānotajiem izdevumiem par darbu, pakalpojumiem, materiāliem un iekārtām, kas nepieciešami iepirkuma līguma izpildei pilnā apmērā un atbilstošā kvalitātē. Darbu izpildītājam ir jāparedz visi iespējamie riski saistībā ar iespējamo izdevumu palielināšanos.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Piedāvājuma cena jānorāda ar precizitāti 2 (divas) zīmes aiz komata.</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kern w:val="0"/>
                <w:sz w:val="22"/>
                <w:szCs w:val="22"/>
                <w:lang w:bidi="ar-SA"/>
              </w:rPr>
              <w:t>Finanšu piedāvājums (3.pielikums).</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Citi dokumenti.</w:t>
            </w:r>
          </w:p>
        </w:tc>
        <w:tc>
          <w:tcPr>
            <w:tcW w:w="5196" w:type="dxa"/>
            <w:tcBorders>
              <w:top w:val="single" w:sz="4" w:space="0" w:color="000000"/>
              <w:bottom w:val="single" w:sz="4" w:space="0" w:color="000000"/>
              <w:end w:val="single" w:sz="4" w:space="0" w:color="000000"/>
            </w:tcBorders>
          </w:tcPr>
          <w:p>
            <w:pPr>
              <w:pStyle w:val="Normal"/>
              <w:widowControl w:val="false"/>
              <w:suppressAutoHyphens w:val="true"/>
              <w:spacing w:lineRule="auto" w:line="240" w:before="40" w:after="40"/>
              <w:jc w:val="both"/>
              <w:rPr>
                <w:rFonts w:ascii="Times New Roman" w:hAnsi="Times New Roman"/>
              </w:rPr>
            </w:pPr>
            <w:r>
              <w:rPr>
                <w:rFonts w:eastAsia="Times New Roman" w:cs="Times New Roman"/>
                <w:bCs/>
                <w:kern w:val="0"/>
                <w:sz w:val="22"/>
                <w:szCs w:val="22"/>
                <w:lang w:bidi="ar-SA"/>
              </w:rPr>
              <w:t xml:space="preserve">Pretendents iesniedz citus ar </w:t>
            </w:r>
            <w:r>
              <w:rPr>
                <w:rFonts w:eastAsia="Times New Roman" w:cs="Times New Roman"/>
                <w:bCs/>
                <w:kern w:val="0"/>
                <w:sz w:val="22"/>
                <w:szCs w:val="22"/>
                <w:lang w:eastAsia="en-US" w:bidi="ar-SA"/>
              </w:rPr>
              <w:t>piedāvājumu saistītus dokumentus, lai apliecinātu atbilstību Nolikumā noteiktajām prasībām.</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tabs>
                <w:tab w:val="clear" w:pos="720"/>
                <w:tab w:val="left" w:pos="743" w:leader="none"/>
              </w:tabs>
              <w:suppressAutoHyphens w:val="true"/>
              <w:bidi w:val="0"/>
              <w:spacing w:lineRule="auto" w:line="240" w:before="40" w:after="40"/>
              <w:ind w:hanging="0" w:start="0" w:end="360"/>
              <w:contextualSpacing/>
              <w:jc w:val="both"/>
              <w:rPr>
                <w:rFonts w:ascii="Times New Roman" w:hAnsi="Times New Roman"/>
              </w:rPr>
            </w:pPr>
            <w:r>
              <w:rPr>
                <w:iCs/>
                <w:kern w:val="0"/>
                <w:sz w:val="22"/>
                <w:szCs w:val="22"/>
                <w:lang w:bidi="ar-SA"/>
              </w:rPr>
              <w:t xml:space="preserve">Pretendents var balstīties uz citu personu tehniskajām un profesionālajām iespējām, ja tas ir nepieciešams konkrētā līguma izpildei, neatkarīgi no savstarpējo attiecību tiesiskā rakstura. Šādā gadījumā </w:t>
            </w:r>
            <w:r>
              <w:rPr>
                <w:kern w:val="0"/>
                <w:sz w:val="22"/>
                <w:szCs w:val="22"/>
                <w:lang w:eastAsia="en-US" w:bidi="ar-SA"/>
              </w:rPr>
              <w:t>P</w:t>
            </w:r>
            <w:r>
              <w:rPr>
                <w:iCs/>
                <w:kern w:val="0"/>
                <w:sz w:val="22"/>
                <w:szCs w:val="22"/>
                <w:lang w:bidi="ar-SA"/>
              </w:rPr>
              <w:t>retendents pierāda pasūtītājam, ka viņa rīcībā būs nepieciešamie resursi, iesniedzot šī uzņēmēja apliecinājumu vai vienošanos par sadarbību konkrētā līguma izpildei ar norādi par nepieciešamo resursu nodošanas veidu (kā tiks nodoti resursi) un apjomu.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Times New Roman" w:cs="Times New Roman"/>
                <w:bCs/>
              </w:rPr>
            </w:pPr>
            <w:r>
              <w:rPr>
                <w:iCs/>
                <w:kern w:val="0"/>
                <w:sz w:val="22"/>
                <w:szCs w:val="22"/>
                <w:lang w:bidi="ar-SA"/>
              </w:rPr>
              <w:t xml:space="preserve">Pretendents var balstīties uz citu </w:t>
            </w:r>
            <w:r>
              <w:rPr>
                <w:rFonts w:eastAsia="Calibri" w:cs="Times New Roman"/>
                <w:color w:val="000000"/>
                <w:kern w:val="0"/>
                <w:sz w:val="22"/>
                <w:szCs w:val="22"/>
                <w:lang w:bidi="ar-SA"/>
              </w:rPr>
              <w:t>personu saimnieciskajām un finansiālajām iespējām</w:t>
            </w:r>
            <w:r>
              <w:rPr>
                <w:iCs/>
                <w:kern w:val="0"/>
                <w:sz w:val="22"/>
                <w:szCs w:val="22"/>
                <w:lang w:bidi="ar-SA"/>
              </w:rPr>
              <w:t xml:space="preserve">, ja tas ir nepieciešams konkrētā līguma izpildei, neatkarīgi no savstarpējo attiecību tiesiskā rakstura. </w:t>
            </w:r>
            <w:r>
              <w:rPr>
                <w:rFonts w:eastAsia="Calibri" w:cs="Times New Roman"/>
                <w:color w:val="000000"/>
                <w:kern w:val="0"/>
                <w:sz w:val="22"/>
                <w:szCs w:val="22"/>
                <w:lang w:bidi="ar-SA"/>
              </w:rPr>
              <w:t>Šajā gadījumā Pretendents un persona, uz kuras saimnieciskajām un finansiālajām iespējām tas balstās, ir solidāri atbildīgi par iepirkuma līguma izpildi. Pretendents pierāda, ka tā rīcībā būs nepieciešamie resursi, iesniedzot šo personu apliecinājumu vai vienošanos par sadarbību konkrētā līguma izpildē.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līguma izpildi, kā arī norāda, kādā veidā šī persona ir paredzējusi uzņemties solidāro atbildību par līguma izpildi.</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Calibri" w:cs="Times New Roman"/>
                <w:color w:val="000000"/>
                <w:kern w:val="0"/>
                <w:sz w:val="22"/>
                <w:szCs w:val="22"/>
                <w:lang w:val="lv-LV" w:eastAsia="lv-LV" w:bidi="ar-SA"/>
              </w:rPr>
            </w:pPr>
            <w:r>
              <w:rPr>
                <w:rFonts w:eastAsia="Calibri" w:cs="Times New Roman"/>
                <w:color w:val="000000"/>
                <w:kern w:val="0"/>
                <w:sz w:val="22"/>
                <w:szCs w:val="22"/>
                <w:lang w:val="lv-LV" w:eastAsia="lv-LV" w:bidi="ar-SA"/>
              </w:rPr>
              <w:t>Pretendentam jānorāda visus apakšuzņēmējus un apakšuzņēmēja apakšuzņēmējus, ja tādi tiek piesaistīti. Ar apakšuzņēmēju ir saprotama Pretendenta nolīgta persona vai tās nolīgta persona, kura piedalās iepirkuma līguma izpildē. Pretendentam jāiesniedz piesaistīto apakšuzņēmēju saraksts (6.pielikums), norādot tajā katram apakšuzņēmējam izpildei nododamo līguma daļu saskaņā ar tehnisko specifikāciju vai tāmi, un pievienojot finanšu aprēķinus, kas norāda līguma nododamo daļu procentuālo vērtību.</w:t>
            </w:r>
          </w:p>
        </w:tc>
      </w:tr>
    </w:tbl>
    <w:p>
      <w:pPr>
        <w:pStyle w:val="Normal"/>
        <w:numPr>
          <w:ilvl w:val="0"/>
          <w:numId w:val="2"/>
        </w:numPr>
        <w:spacing w:lineRule="auto" w:line="240" w:before="285" w:after="285"/>
        <w:ind w:hanging="360" w:start="72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PIEDĀVĀJUMA SAGATAVOŠANAS UN IESNIEGŠANAS KĀRTĪBA</w:t>
      </w:r>
    </w:p>
    <w:p>
      <w:pPr>
        <w:pStyle w:val="ListParagraph"/>
        <w:numPr>
          <w:ilvl w:val="1"/>
          <w:numId w:val="2"/>
        </w:numPr>
        <w:spacing w:lineRule="auto" w:line="259"/>
        <w:ind w:hanging="432" w:start="0"/>
        <w:jc w:val="both"/>
        <w:rPr>
          <w:rFonts w:ascii="Times New Roman" w:hAnsi="Times New Roman"/>
        </w:rPr>
      </w:pPr>
      <w:r>
        <w:rPr>
          <w:rFonts w:eastAsia="Calibri" w:cs="Times New Roman"/>
          <w:bCs/>
          <w:kern w:val="2"/>
          <w:lang w:eastAsia="en-US"/>
        </w:rPr>
        <w:t>Pretendentam jāaizpilda un jāiesniedz atbilstoši Nolikuma pielikumā sagatavotajām veidlapām:</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pretendenta pieteikums dalībai konkursā (Nolikuma 1. pielikums);</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tehniskā specifikācija (Nolikuma 2. un 2.1.pielikums);</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finanšu piedāvājums (Nolikuma 3. pielikums);</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līguma projekts (Nolikuma 4.pielikums);</w:t>
      </w:r>
    </w:p>
    <w:p>
      <w:pPr>
        <w:pStyle w:val="ListParagraph"/>
        <w:numPr>
          <w:ilvl w:val="2"/>
          <w:numId w:val="2"/>
        </w:numPr>
        <w:spacing w:lineRule="auto" w:line="259"/>
        <w:ind w:hanging="504" w:start="567"/>
        <w:jc w:val="both"/>
        <w:rPr>
          <w:highlight w:val="none"/>
          <w:shd w:fill="auto" w:val="clear"/>
        </w:rPr>
      </w:pPr>
      <w:r>
        <w:rPr>
          <w:rFonts w:eastAsia="Calibri" w:cs="Times New Roman"/>
          <w:bCs/>
          <w:kern w:val="2"/>
          <w:shd w:fill="auto" w:val="clear"/>
          <w:lang w:eastAsia="en-US"/>
        </w:rPr>
        <w:t xml:space="preserve"> </w:t>
      </w:r>
      <w:r>
        <w:rPr>
          <w:rFonts w:eastAsia="Calibri" w:cs="Times New Roman"/>
          <w:bCs/>
          <w:kern w:val="2"/>
          <w:shd w:fill="auto" w:val="clear"/>
          <w:lang w:eastAsia="en-US"/>
        </w:rPr>
        <w:t>pretendenta pieredze (Nolikuma 5.pielikums);</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apakšuz</w:t>
      </w:r>
      <w:r>
        <w:rPr>
          <w:rFonts w:eastAsia="Calibri" w:cs="Times New Roman"/>
          <w:b w:val="false"/>
          <w:bCs w:val="false"/>
          <w:kern w:val="2"/>
          <w:u w:val="none"/>
          <w:lang w:eastAsia="en-US"/>
        </w:rPr>
        <w:t>ņēmēju apliecinājums (Nolikuma 6.pielikums);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apliecinājums par neatkarīgi izstrādātu piedāvājumu (Nolikuma 7. 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speciālista pieejamības apliecinājums (Nolikuma 8.pielikums);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objektu apsekošanas veidlapa (Nolikuma 9.pielikums);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apliecinājums par interešu konflikta neesamību (Nolikuma 10.pielikums).</w:t>
      </w:r>
    </w:p>
    <w:p>
      <w:pPr>
        <w:pStyle w:val="ListParagraph"/>
        <w:numPr>
          <w:ilvl w:val="1"/>
          <w:numId w:val="2"/>
        </w:numPr>
        <w:spacing w:lineRule="auto" w:line="259"/>
        <w:ind w:hanging="432" w:start="0"/>
        <w:jc w:val="both"/>
        <w:rPr>
          <w:b w:val="false"/>
          <w:bCs w:val="false"/>
          <w:u w:val="none"/>
        </w:rPr>
      </w:pPr>
      <w:r>
        <w:rPr>
          <w:rFonts w:eastAsia="Calibri" w:cs="Times New Roman"/>
          <w:b w:val="false"/>
          <w:bCs w:val="false"/>
          <w:kern w:val="2"/>
          <w:u w:val="none"/>
          <w:lang w:eastAsia="en-US"/>
        </w:rPr>
        <w:t>Pretendents var pievienot piedāvājumam citu informāciju pēc saviem ieskatiem.</w:t>
      </w:r>
    </w:p>
    <w:p>
      <w:pPr>
        <w:pStyle w:val="ListParagraph"/>
        <w:numPr>
          <w:ilvl w:val="1"/>
          <w:numId w:val="2"/>
        </w:numPr>
        <w:spacing w:lineRule="auto" w:line="259"/>
        <w:ind w:hanging="432" w:start="0"/>
        <w:jc w:val="both"/>
        <w:rPr/>
      </w:pPr>
      <w:r>
        <w:rPr>
          <w:rFonts w:eastAsia="Calibri" w:cs="Times New Roman"/>
          <w:b/>
          <w:bCs/>
          <w:kern w:val="2"/>
          <w:lang w:eastAsia="en-US"/>
        </w:rPr>
        <w:t>Piedāvājums iesniedzams elektroniski, parakstīts ar drošu elektronisko parakstu, kas satur laika zīmogu līd</w:t>
      </w:r>
      <w:r>
        <w:rPr>
          <w:rFonts w:eastAsia="Calibri" w:cs="Times New Roman"/>
          <w:b/>
          <w:bCs/>
          <w:kern w:val="2"/>
          <w:shd w:fill="auto" w:val="clear"/>
          <w:lang w:eastAsia="en-US"/>
        </w:rPr>
        <w:t>z 2026. gada 1</w:t>
      </w:r>
      <w:r>
        <w:rPr>
          <w:rFonts w:eastAsia="Calibri" w:cs="Times New Roman"/>
          <w:b/>
          <w:bCs/>
          <w:kern w:val="2"/>
          <w:shd w:fill="auto" w:val="clear"/>
          <w:lang w:eastAsia="en-US"/>
        </w:rPr>
        <w:t>6</w:t>
      </w:r>
      <w:r>
        <w:rPr>
          <w:rFonts w:eastAsia="Calibri" w:cs="Times New Roman"/>
          <w:b/>
          <w:bCs/>
          <w:kern w:val="2"/>
          <w:shd w:fill="auto" w:val="clear"/>
          <w:lang w:eastAsia="en-US"/>
        </w:rPr>
        <w:t xml:space="preserve">. aprīlim plkst. 16.00 uz e-pasta </w:t>
      </w:r>
      <w:r>
        <w:rPr>
          <w:rFonts w:eastAsia="Calibri" w:cs="Times New Roman"/>
          <w:b/>
          <w:bCs/>
          <w:kern w:val="2"/>
          <w:lang w:eastAsia="en-US"/>
        </w:rPr>
        <w:t>adresi</w:t>
      </w:r>
      <w:r>
        <w:rPr>
          <w:rFonts w:eastAsia="Calibri" w:cs="Times New Roman"/>
          <w:bCs/>
          <w:kern w:val="2"/>
          <w:lang w:eastAsia="en-US"/>
        </w:rPr>
        <w:t xml:space="preserve">: </w:t>
      </w:r>
      <w:hyperlink r:id="rId7">
        <w:r>
          <w:rPr>
            <w:rStyle w:val="Hyperlink"/>
          </w:rPr>
          <w:t>iepirkumi@mfd.lv</w:t>
        </w:r>
      </w:hyperlink>
      <w:r>
        <w:rPr>
          <w:rStyle w:val="Hyperlink"/>
          <w:rFonts w:eastAsia="Calibri" w:cs="Times New Roman"/>
          <w:bCs/>
          <w:color w:val="auto"/>
          <w:kern w:val="2"/>
          <w:lang w:eastAsia="en-US"/>
        </w:rPr>
        <w:t xml:space="preserve">. </w:t>
      </w:r>
    </w:p>
    <w:p>
      <w:pPr>
        <w:pStyle w:val="ListParagraph"/>
        <w:numPr>
          <w:ilvl w:val="1"/>
          <w:numId w:val="2"/>
        </w:numPr>
        <w:spacing w:lineRule="auto" w:line="259"/>
        <w:ind w:hanging="432" w:start="0"/>
        <w:jc w:val="both"/>
        <w:rPr>
          <w:rFonts w:ascii="Times New Roman" w:hAnsi="Times New Roman"/>
        </w:rPr>
      </w:pPr>
      <w:r>
        <w:rPr>
          <w:rFonts w:eastAsia="Calibri" w:cs="Times New Roman"/>
          <w:bCs/>
          <w:kern w:val="2"/>
          <w:lang w:eastAsia="en-US"/>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pPr>
        <w:pStyle w:val="ListParagraph"/>
        <w:numPr>
          <w:ilvl w:val="1"/>
          <w:numId w:val="2"/>
        </w:numPr>
        <w:spacing w:lineRule="auto" w:line="259"/>
        <w:ind w:hanging="432" w:start="0"/>
        <w:jc w:val="both"/>
        <w:rPr>
          <w:rFonts w:ascii="Times New Roman" w:hAnsi="Times New Roman"/>
        </w:rPr>
      </w:pPr>
      <w:bookmarkStart w:id="2" w:name="_Toc64264072_Copy_2_Copy_1"/>
      <w:bookmarkStart w:id="3" w:name="_Toc65454241_Copy_2_Copy_1"/>
      <w:bookmarkStart w:id="4" w:name="_Toc65862771_Copy_2_Copy_1"/>
      <w:bookmarkStart w:id="5" w:name="_Toc65956610_Copy_2_Copy_1"/>
      <w:bookmarkStart w:id="6" w:name="_Toc65967969_Copy_2_Copy_1"/>
      <w:bookmarkStart w:id="7" w:name="_Toc72766066_Copy_2_Copy_1"/>
      <w:bookmarkStart w:id="8" w:name="_Toc73116766_Copy_2_Copy_1"/>
      <w:bookmarkStart w:id="9" w:name="_Toc79552066_Copy_2_Copy_1"/>
      <w:bookmarkStart w:id="10" w:name="_Toc141341762_Copy_2_Copy_1"/>
      <w:bookmarkStart w:id="11" w:name="_Toc141785293_Copy_2_Copy_1"/>
      <w:bookmarkStart w:id="12" w:name="_Toc45663519_Copy_2_Copy_1"/>
      <w:bookmarkStart w:id="13" w:name="_Toc64201623_Copy_2_Copy_1"/>
      <w:r>
        <w:rPr/>
        <w:t>Iesniedzot piedāvājumu, Pretendents pilnībā atzīst visus Nolikumā ietvertos nosacījumus.</w:t>
      </w:r>
      <w:bookmarkEnd w:id="2"/>
      <w:bookmarkEnd w:id="3"/>
      <w:bookmarkEnd w:id="4"/>
      <w:bookmarkEnd w:id="5"/>
      <w:bookmarkEnd w:id="6"/>
      <w:bookmarkEnd w:id="7"/>
      <w:bookmarkEnd w:id="8"/>
      <w:bookmarkEnd w:id="9"/>
      <w:bookmarkEnd w:id="10"/>
      <w:bookmarkEnd w:id="11"/>
      <w:bookmarkEnd w:id="12"/>
      <w:bookmarkEnd w:id="13"/>
    </w:p>
    <w:p>
      <w:pPr>
        <w:pStyle w:val="ListParagraph"/>
        <w:spacing w:lineRule="auto" w:line="259"/>
        <w:ind w:start="0"/>
        <w:jc w:val="both"/>
        <w:rPr/>
      </w:pPr>
      <w:r>
        <w:rPr/>
      </w:r>
    </w:p>
    <w:p>
      <w:pPr>
        <w:pStyle w:val="Normal"/>
        <w:numPr>
          <w:ilvl w:val="0"/>
          <w:numId w:val="2"/>
        </w:numPr>
        <w:spacing w:lineRule="auto" w:line="240" w:before="0" w:after="0"/>
        <w:jc w:val="center"/>
        <w:rPr>
          <w:sz w:val="24"/>
          <w:szCs w:val="24"/>
        </w:rPr>
      </w:pPr>
      <w:r>
        <w:rPr>
          <w:rFonts w:eastAsia="Calibri" w:cs="Times New Roman"/>
          <w:b/>
          <w:bCs/>
          <w:kern w:val="2"/>
          <w:sz w:val="24"/>
          <w:szCs w:val="24"/>
          <w:lang w:eastAsia="en-US"/>
        </w:rPr>
        <w:t xml:space="preserve">PIEDĀVĀJUMU </w:t>
      </w:r>
      <w:bookmarkStart w:id="14" w:name="_Toc64201623_Copy_1_Copy_1"/>
      <w:bookmarkStart w:id="15" w:name="_Toc64264072_Copy_1_Copy_1"/>
      <w:bookmarkStart w:id="16" w:name="_Toc65454241_Copy_1_Copy_1"/>
      <w:bookmarkStart w:id="17" w:name="_Toc65862771_Copy_1_Copy_1"/>
      <w:bookmarkStart w:id="18" w:name="_Toc65956610_Copy_1_Copy_1"/>
      <w:bookmarkStart w:id="19" w:name="_Toc65967969_Copy_1_Copy_1"/>
      <w:bookmarkStart w:id="20" w:name="_Toc72766066_Copy_1_Copy_1"/>
      <w:bookmarkStart w:id="21" w:name="_Toc73116766_Copy_1_Copy_1"/>
      <w:bookmarkStart w:id="22" w:name="_Toc79552066_Copy_1_Copy_1"/>
      <w:bookmarkStart w:id="23" w:name="_Toc141341762_Copy_1_Copy_1"/>
      <w:bookmarkStart w:id="24" w:name="_Toc141785293_Copy_1_Copy_1"/>
      <w:bookmarkStart w:id="25" w:name="_Toc45663519_Copy_1_Copy_1"/>
      <w:r>
        <w:rPr>
          <w:rFonts w:eastAsia="Calibri" w:cs="Times New Roman"/>
          <w:b/>
          <w:bCs/>
          <w:kern w:val="2"/>
          <w:sz w:val="24"/>
          <w:szCs w:val="24"/>
          <w:lang w:eastAsia="en-US"/>
        </w:rPr>
        <w:t>VĒRTĒŠANA</w:t>
      </w:r>
      <w:bookmarkEnd w:id="14"/>
      <w:bookmarkEnd w:id="15"/>
      <w:bookmarkEnd w:id="16"/>
      <w:bookmarkEnd w:id="17"/>
      <w:bookmarkEnd w:id="18"/>
      <w:bookmarkEnd w:id="19"/>
      <w:bookmarkEnd w:id="20"/>
      <w:bookmarkEnd w:id="21"/>
      <w:bookmarkEnd w:id="22"/>
      <w:bookmarkEnd w:id="23"/>
      <w:bookmarkEnd w:id="24"/>
      <w:bookmarkEnd w:id="25"/>
    </w:p>
    <w:p>
      <w:pPr>
        <w:pStyle w:val="ListParagraph"/>
        <w:widowControl/>
        <w:numPr>
          <w:ilvl w:val="1"/>
          <w:numId w:val="2"/>
        </w:numPr>
        <w:suppressAutoHyphens w:val="true"/>
        <w:bidi w:val="0"/>
        <w:spacing w:lineRule="auto" w:line="259"/>
        <w:ind w:hanging="432" w:start="0"/>
        <w:jc w:val="both"/>
        <w:rPr>
          <w:sz w:val="24"/>
          <w:szCs w:val="24"/>
        </w:rPr>
      </w:pPr>
      <w:r>
        <w:rPr>
          <w:rFonts w:eastAsia="Calibri" w:cs="Tahoma"/>
          <w:color w:val="auto"/>
          <w:kern w:val="0"/>
          <w:sz w:val="24"/>
          <w:szCs w:val="24"/>
          <w:lang w:val="lv-LV" w:eastAsia="lv-LV" w:bidi="ar-SA"/>
        </w:rPr>
        <w:t xml:space="preserve">Pretendentu atlasi, piedāvājumu atbilstības pārbaudi un piedāvājumu vērtēšanu Iepirkumu komisija veic slēgtā sēdē.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Piedāvājumu vērtēšanu Komisija veic šādos posmos:</w:t>
      </w:r>
    </w:p>
    <w:p>
      <w:pPr>
        <w:pStyle w:val="ListParagraph"/>
        <w:numPr>
          <w:ilvl w:val="2"/>
          <w:numId w:val="2"/>
        </w:numPr>
        <w:tabs>
          <w:tab w:val="clear" w:pos="720"/>
          <w:tab w:val="left" w:pos="180" w:leader="none"/>
        </w:tabs>
        <w:spacing w:before="0" w:after="29"/>
        <w:ind w:hanging="504" w:start="567"/>
        <w:contextualSpacing/>
        <w:jc w:val="both"/>
        <w:rPr>
          <w:sz w:val="24"/>
          <w:szCs w:val="24"/>
        </w:rPr>
      </w:pPr>
      <w:r>
        <w:rPr>
          <w:rFonts w:cs="Times New Roman"/>
          <w:b/>
          <w:bCs/>
          <w:sz w:val="24"/>
          <w:szCs w:val="24"/>
        </w:rPr>
        <w:t xml:space="preserve"> </w:t>
      </w:r>
      <w:r>
        <w:rPr>
          <w:rFonts w:cs="Times New Roman"/>
          <w:b/>
          <w:bCs/>
          <w:sz w:val="24"/>
          <w:szCs w:val="24"/>
          <w:u w:val="single"/>
        </w:rPr>
        <w:t>1. posms – Piedāvājumu noformējuma pārbaude</w:t>
      </w:r>
    </w:p>
    <w:p>
      <w:pPr>
        <w:pStyle w:val="BodyText"/>
        <w:spacing w:before="0" w:after="0"/>
        <w:jc w:val="both"/>
        <w:rPr>
          <w:sz w:val="24"/>
          <w:szCs w:val="24"/>
        </w:rPr>
      </w:pPr>
      <w:r>
        <w:rPr>
          <w:sz w:val="24"/>
          <w:szCs w:val="24"/>
        </w:rPr>
        <w:t xml:space="preserve">Komisija pārbauda, vai piedāvājums sagatavots un noformēts atbilstoši Nolikumā norādītajām noformēšanas prasībām.  </w:t>
      </w:r>
    </w:p>
    <w:p>
      <w:pPr>
        <w:pStyle w:val="BodyText"/>
        <w:numPr>
          <w:ilvl w:val="2"/>
          <w:numId w:val="2"/>
        </w:numPr>
        <w:spacing w:before="0" w:after="0"/>
        <w:ind w:hanging="504" w:start="567"/>
        <w:jc w:val="both"/>
        <w:rPr>
          <w:sz w:val="24"/>
          <w:szCs w:val="24"/>
        </w:rPr>
      </w:pPr>
      <w:r>
        <w:rPr>
          <w:b/>
          <w:bCs/>
          <w:sz w:val="24"/>
          <w:szCs w:val="24"/>
        </w:rPr>
        <w:t xml:space="preserve"> </w:t>
      </w:r>
      <w:r>
        <w:rPr>
          <w:b/>
          <w:bCs/>
          <w:sz w:val="24"/>
          <w:szCs w:val="24"/>
          <w:u w:val="single"/>
        </w:rPr>
        <w:t>2. posms – Pretendentu atlase</w:t>
      </w:r>
      <w:r>
        <w:rPr>
          <w:sz w:val="24"/>
          <w:szCs w:val="24"/>
        </w:rPr>
        <w:t xml:space="preserve"> </w:t>
      </w:r>
    </w:p>
    <w:p>
      <w:pPr>
        <w:pStyle w:val="BodyText"/>
        <w:spacing w:before="0" w:after="0"/>
        <w:jc w:val="both"/>
        <w:rPr>
          <w:sz w:val="24"/>
          <w:szCs w:val="24"/>
        </w:rPr>
      </w:pPr>
      <w:r>
        <w:rPr>
          <w:sz w:val="24"/>
          <w:szCs w:val="24"/>
        </w:rPr>
        <w:t xml:space="preserve">Komisija pārbauda, vai </w:t>
      </w:r>
      <w:r>
        <w:rPr>
          <w:sz w:val="24"/>
          <w:szCs w:val="24"/>
          <w:lang w:eastAsia="en-US"/>
        </w:rPr>
        <w:t>P</w:t>
      </w:r>
      <w:r>
        <w:rPr>
          <w:sz w:val="24"/>
          <w:szCs w:val="24"/>
        </w:rPr>
        <w:t xml:space="preserve">retendenta iesniegtie atlases dokumenti un publiski pieejamās datu bāzēs iegūtā informācija apliecina Pretendenta atbilstību Nolikumā norādītajām prasībām.  </w:t>
      </w:r>
    </w:p>
    <w:p>
      <w:pPr>
        <w:pStyle w:val="BodyText"/>
        <w:numPr>
          <w:ilvl w:val="2"/>
          <w:numId w:val="2"/>
        </w:numPr>
        <w:suppressAutoHyphens w:val="false"/>
        <w:overflowPunct w:val="false"/>
        <w:spacing w:before="0" w:after="0"/>
        <w:ind w:hanging="504" w:start="567"/>
        <w:jc w:val="both"/>
        <w:textAlignment w:val="auto"/>
        <w:rPr>
          <w:sz w:val="24"/>
          <w:szCs w:val="24"/>
        </w:rPr>
      </w:pPr>
      <w:r>
        <w:rPr>
          <w:b/>
          <w:bCs/>
          <w:sz w:val="24"/>
          <w:szCs w:val="24"/>
        </w:rPr>
        <w:t xml:space="preserve"> </w:t>
      </w:r>
      <w:r>
        <w:rPr>
          <w:b/>
          <w:bCs/>
          <w:sz w:val="24"/>
          <w:szCs w:val="24"/>
          <w:u w:val="single"/>
        </w:rPr>
        <w:t>3. posms – Tehniskā piedāvājuma un Finanšu piedāvājumu pārbaude:</w:t>
      </w:r>
    </w:p>
    <w:p>
      <w:pPr>
        <w:pStyle w:val="Normal"/>
        <w:tabs>
          <w:tab w:val="clear" w:pos="720"/>
          <w:tab w:val="left" w:pos="426" w:leader="none"/>
        </w:tabs>
        <w:spacing w:lineRule="auto" w:line="240" w:before="0" w:after="0"/>
        <w:jc w:val="both"/>
        <w:rPr>
          <w:sz w:val="24"/>
          <w:szCs w:val="24"/>
        </w:rPr>
      </w:pPr>
      <w:r>
        <w:rPr>
          <w:sz w:val="24"/>
          <w:szCs w:val="24"/>
        </w:rPr>
        <w:t xml:space="preserve">Komisija izvērtē atbilstību </w:t>
      </w:r>
      <w:r>
        <w:rPr>
          <w:rFonts w:cs="Times New Roman"/>
          <w:sz w:val="24"/>
          <w:szCs w:val="24"/>
        </w:rPr>
        <w:t>N</w:t>
      </w:r>
      <w:r>
        <w:rPr>
          <w:sz w:val="24"/>
          <w:szCs w:val="24"/>
        </w:rPr>
        <w:t xml:space="preserve">olikumā noteiktajām prasībām </w:t>
      </w:r>
      <w:r>
        <w:rPr>
          <w:rFonts w:cs="Times New Roman"/>
          <w:sz w:val="24"/>
          <w:szCs w:val="24"/>
        </w:rPr>
        <w:t xml:space="preserve">un pārbauda, vai iesniegtajā tāmē un finanšu piedāvājumā nav aritmētisko kļūdu. </w:t>
      </w:r>
      <w:r>
        <w:rPr>
          <w:sz w:val="24"/>
          <w:szCs w:val="24"/>
        </w:rPr>
        <w:t>Ja tādas tiek konstatētas, tad Komisija šīs kļūdas labo un par konstatētajām kļūdām un labojumiem informē Pretendentu, kura piedāvājumā kļūdas tika konstatētas un labotas. Vērtējot piedāvājumu, Komisija ņem vērā veiktos labojumus.</w:t>
      </w:r>
      <w:r>
        <w:rPr>
          <w:color w:val="000000"/>
          <w:sz w:val="24"/>
          <w:szCs w:val="24"/>
        </w:rPr>
        <w:t xml:space="preserve">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Ja iesniegtajos dokumentos ietvertā informācija par Pretendenta kvalifikāciju ir neskaidra vai nepilnīga, Komisija prasa, lai Pretendents vai kompetenta institūcija izskaidro, papildina un/vai precizē piedāvājuma dokumentos ietverto informāciju.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Ja piedāvājumu vērtēšanas laikā Komisija konstatē, ka kāds no Pretendentiem iesniedzis nepamatoti lētu piedāvājumu, Komisija var pieprasīt Pretendentam detalizētu skaidrojumu par šo piedāvājumu, tajā skaitā par īpašiem nosacījumiem, tehnoloģijām vai cita veida nosacījumiem, kas ļauj piedāvāt šādu cenu. Ja Komisija konstatē, ka Pretendents iesniedzis nepamatoti lētu piedāvājumu, to izslēdz no turpmākas dalības iepirkumā PIL 53.panta noteiktajā kārtībā.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Iepirkuma komisija starp Nolikuma prasībām atbilstošajiem piedāvājumiem izvēlas piedāvājumu ar viszemāko cenu.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Ja pirms lēmuma par iepirkuma līguma slēgšanas tiesību piešķiršanu, tiks konstatēts, ka vairāku Pretendentu piedāvājumu līgumcena ir vienāda, tad </w:t>
      </w:r>
      <w:bookmarkStart w:id="26" w:name="_Hlk128736641_Copy_1"/>
      <w:r>
        <w:rPr>
          <w:rFonts w:eastAsia="Times New Roman" w:cs="Times New Roman"/>
          <w:color w:val="000000"/>
          <w:sz w:val="24"/>
          <w:szCs w:val="24"/>
          <w:u w:val="none"/>
        </w:rPr>
        <w:t>Pasūtītājs dos priekšroku tam Pretendentam, kurš norādīji</w:t>
      </w:r>
      <w:bookmarkEnd w:id="26"/>
      <w:r>
        <w:rPr>
          <w:rFonts w:eastAsia="Times New Roman" w:cs="Times New Roman"/>
          <w:color w:val="000000"/>
          <w:sz w:val="24"/>
          <w:szCs w:val="24"/>
          <w:u w:val="none"/>
        </w:rPr>
        <w:t>s zemāku līgumcenu. Ja Pretendentu līgumcena būs vienāda, tad Pasūtītājs dos priekšroku tam Pretendentam, kurš norādījis ātrāku reaģēšanas laiku defektu un bojājumu novēršanai. Savukārt, ja arī šis kritērijs būs vienāds, tad uzvarētājs tiks noteikts veicot izlozi. Par izlozes norisi (datumu un laiku) katrs izlozes dalībnieks tiks informēts 3 (trīs) darba dienas iepriekš, nosūtot tam elektroniski vēstuli uz norādīto e-pasta adresi. Izlozes laiks un datums pēc Pretendenta lūguma netiek mainīts. Pretendentam ir tiesības, bet ne pienākums piedalīties izlozē. Izlozes process tiek dokumentēts.</w:t>
      </w:r>
    </w:p>
    <w:p>
      <w:pPr>
        <w:pStyle w:val="Normal"/>
        <w:spacing w:lineRule="auto" w:line="240" w:before="0" w:after="0"/>
        <w:jc w:val="both"/>
        <w:rPr>
          <w:rFonts w:ascii="Times New Roman" w:hAnsi="Times New Roman" w:cs="Times New Roman"/>
          <w:sz w:val="24"/>
          <w:szCs w:val="24"/>
          <w:lang w:eastAsia="en-US"/>
        </w:rPr>
      </w:pPr>
      <w:r>
        <w:rPr>
          <w:rFonts w:cs="Times New Roman"/>
          <w:sz w:val="24"/>
          <w:szCs w:val="24"/>
          <w:lang w:eastAsia="en-US"/>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 xml:space="preserve">LĒMUMA PIEŅEMŠANA UN PAZIŅOŠANA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par uzvarētāju iepirkumā atzīst Pretendentu, kurš izraudzīts atbilstoši iepirkuma Nolikumā noteiktajām prasībām un kritērijiem un nav izslēdzams no dalības iepirkumā saskaņā ar PIL 9.panta astoto daļu.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triju darbdienu laikā pēc lēmuma pieņemšanas vienlaikus informē visus Pretendentus par pieņemto lēmumu attiecībā uz iepirkuma līguma slēgšanu.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nav tiesīga atklāt informāciju, kuru tam kā komercnoslēpumu vai konfidenciālu informāciju nodevuši Pretendenti.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Ja iesniegti Nolikumā noteiktajām prasībām neatbilstoši piedāvājumi vai vispār nav iesniegti piedāvājumi, Komisija pieņem lēmumu izbeigt iepirkumu bez rezultāta.</w:t>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bCs/>
          <w:sz w:val="24"/>
          <w:szCs w:val="24"/>
          <w:lang w:eastAsia="en-US"/>
        </w:rPr>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bCs/>
          <w:sz w:val="24"/>
          <w:szCs w:val="24"/>
          <w:lang w:eastAsia="en-US"/>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LĪGUMA SLĒGŠANA</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Pasūtītājs slēdz iepirkuma līgumu saskaņā ar PIL 60.panta pirmās, otrās, trešās, ceturtās un piektās daļas prasībām ar Komisijas izraudzīto </w:t>
      </w:r>
      <w:r>
        <w:rPr>
          <w:rFonts w:eastAsia="Times New Roman" w:cs="Times New Roman"/>
          <w:lang w:eastAsia="en-US"/>
        </w:rPr>
        <w:t>P</w:t>
      </w:r>
      <w:r>
        <w:rPr>
          <w:rFonts w:eastAsia="Calibri" w:cs="Times New Roman"/>
          <w:bCs/>
          <w:kern w:val="2"/>
          <w:lang w:eastAsia="en-US"/>
        </w:rPr>
        <w:t xml:space="preserve">retendentu.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Pasūtītājs ir tiesīgs pārtraukt iepirkumu un neslēgt iepirkuma līgumu, ja tam ir objektīvs pamatojums.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bookmarkStart w:id="27" w:name="_Hlk103272783_Copy_1"/>
      <w:r>
        <w:rPr>
          <w:rFonts w:eastAsia="Calibri" w:cs="Times New Roman"/>
          <w:bCs/>
          <w:kern w:val="2"/>
          <w:lang w:eastAsia="en-US"/>
        </w:rPr>
        <w:t xml:space="preserve">Pretendentam, kuram piešķirtas līguma slēgšanas tiesības, uz norādīto e-pasta adresi Pasūtītājs nosūta līgumu saskaņošanai un abas puses vienojas par līguma parakstīšanu. Pretendentam līgums jāsaskaņo ne vēlāk kā 5 (piecu) darba dienu laikā no Pasūtītāja nosūtītā uzaicinājuma to saskaņot, vai jāvienojas par citu termiņu. </w:t>
      </w:r>
      <w:bookmarkEnd w:id="27"/>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Ja Pretendents, kuram piešķirtas iepirkuma līguma slēgšanas tiesības, atsakās slēgt līgumu ar Pasūtītāju, Komisija ir tiesīga pieņemt lēmumu līguma slēgšanas tiesības piešķirt nākamajam Pretendentam, kurš iesniedzis prasībām atbilstošu piedāvājumu, vai pārtraukt iepirkumu, neizvēloties nevienu piedāvājumu. </w:t>
      </w:r>
      <w:bookmarkStart w:id="28" w:name="_Hlk43930609_Copy_1"/>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Ja pieņemts lēmums līguma slēgšanas tiesības piešķirt nākamajam Pretendentam, kurš piedāvājis saimnieciski visizdevīgāko piedāvājumu, bet tas atsakās slēgt iepirkuma līgumu, Komisija pieņem lēmumu pārtraukt iepirkumu, neizvēloties nevienu piedāvājumu</w:t>
      </w:r>
      <w:bookmarkEnd w:id="28"/>
      <w:r>
        <w:rPr>
          <w:rFonts w:eastAsia="Calibri" w:cs="Times New Roman"/>
          <w:bCs/>
          <w:kern w:val="2"/>
          <w:lang w:eastAsia="en-US"/>
        </w:rPr>
        <w:t>.</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Līgums tiks slēgts saskaņā ar pievienoto līgumprojektu (4.pielikums). Pretendents par līgumprojektu jautājumus uzdod pirms piedāvājuma iesniegšanas. Slēdzot līgumu ar jau uzvarējušo </w:t>
      </w:r>
      <w:r>
        <w:rPr>
          <w:rFonts w:eastAsia="Times New Roman" w:cs="Times New Roman"/>
          <w:lang w:eastAsia="en-US"/>
        </w:rPr>
        <w:t>P</w:t>
      </w:r>
      <w:r>
        <w:rPr>
          <w:rFonts w:eastAsia="Calibri" w:cs="Times New Roman"/>
          <w:bCs/>
          <w:kern w:val="2"/>
          <w:lang w:eastAsia="en-US"/>
        </w:rPr>
        <w:t xml:space="preserve">retendentu, iebildumi par līguma nosacījumiem netiks ņemti vērā. </w:t>
      </w:r>
    </w:p>
    <w:p>
      <w:pPr>
        <w:pStyle w:val="Normal"/>
        <w:spacing w:lineRule="auto" w:line="240" w:before="0" w:after="0"/>
        <w:jc w:val="both"/>
        <w:rPr>
          <w:rFonts w:ascii="Times New Roman" w:hAnsi="Times New Roman" w:cs="Times New Roman"/>
          <w:sz w:val="24"/>
          <w:szCs w:val="24"/>
        </w:rPr>
      </w:pPr>
      <w:r>
        <w:rPr>
          <w:rFonts w:cs="Times New Roman"/>
          <w:sz w:val="24"/>
          <w:szCs w:val="24"/>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IEPIRKUMA KOMISIJAS TIESĪBAS UN PIENĀKUMI</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Komisijai ir pienākums pārbaudīt un vērtēt saņemtos piedāvājumus saskaņā ar PIL un Nolikuma prasībām.</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Komisijai ir pienākums sniegt </w:t>
      </w:r>
      <w:r>
        <w:rPr>
          <w:rFonts w:eastAsia="Times New Roman" w:cs="Times New Roman"/>
          <w:lang w:eastAsia="en-US"/>
        </w:rPr>
        <w:t>P</w:t>
      </w:r>
      <w:r>
        <w:rPr>
          <w:rFonts w:eastAsia="Calibri" w:cs="Times New Roman"/>
          <w:bCs/>
          <w:kern w:val="2"/>
          <w:lang w:eastAsia="en-US"/>
        </w:rPr>
        <w:t xml:space="preserve">retendentam papildus informāciju attiecīga pieprasījuma saņemšanas gadījumā, kā arī informēt visus interesentus par sniegto papildu informāciju (ievietojot to Pasūtītāja mājas lapā) un vienlaicīgi informēt visus </w:t>
      </w:r>
      <w:r>
        <w:rPr>
          <w:rFonts w:eastAsia="Times New Roman" w:cs="Times New Roman"/>
          <w:lang w:eastAsia="en-US"/>
        </w:rPr>
        <w:t>P</w:t>
      </w:r>
      <w:r>
        <w:rPr>
          <w:rFonts w:eastAsia="Calibri" w:cs="Times New Roman"/>
          <w:bCs/>
          <w:kern w:val="2"/>
          <w:lang w:eastAsia="en-US"/>
        </w:rPr>
        <w:t>retendentus par Konkursa rezultātiem pēc lēmuma pieņemšanas.</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Komisijai ir tiesības pārbaudīt pretendenta iesniegto informāciju publiski pieejamās datu bāzēs vai kompetentās institūcijās, kā arī pieprasīt </w:t>
      </w:r>
      <w:r>
        <w:rPr>
          <w:rFonts w:eastAsia="Times New Roman" w:cs="Times New Roman"/>
          <w:lang w:eastAsia="en-US"/>
        </w:rPr>
        <w:t>P</w:t>
      </w:r>
      <w:r>
        <w:rPr>
          <w:rFonts w:eastAsia="Calibri" w:cs="Times New Roman"/>
          <w:bCs/>
          <w:kern w:val="2"/>
          <w:lang w:eastAsia="en-US"/>
        </w:rPr>
        <w:t xml:space="preserve">retendentam precizēt iesniegto informāciju, ja tas nepieciešams </w:t>
      </w:r>
      <w:r>
        <w:rPr>
          <w:rFonts w:eastAsia="Times New Roman" w:cs="Times New Roman"/>
          <w:lang w:eastAsia="en-US"/>
        </w:rPr>
        <w:t>P</w:t>
      </w:r>
      <w:r>
        <w:rPr>
          <w:rFonts w:eastAsia="Calibri" w:cs="Times New Roman"/>
          <w:bCs/>
          <w:kern w:val="2"/>
          <w:lang w:eastAsia="en-US"/>
        </w:rPr>
        <w:t>retendentu atlases veikšanai vai piedāvājumu vērtēšanai.</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Komija piedāvājumu vērtēšanas laikā ir tiesīga pieprasīt, lai </w:t>
      </w:r>
      <w:r>
        <w:rPr>
          <w:rFonts w:eastAsia="Times New Roman" w:cs="Times New Roman"/>
          <w:lang w:eastAsia="en-US"/>
        </w:rPr>
        <w:t>P</w:t>
      </w:r>
      <w:r>
        <w:rPr>
          <w:rFonts w:eastAsia="Calibri" w:cs="Times New Roman"/>
          <w:bCs/>
          <w:kern w:val="2"/>
          <w:lang w:eastAsia="en-US"/>
        </w:rPr>
        <w:t>retendents uzrāda dokumenta oriģinālu vai iesniedz apliecinātu dokumenta kopiju, ja tai rodas šaubas par dokumenta autentiskumu.</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w:t>
      </w:r>
      <w:r>
        <w:rPr>
          <w:rFonts w:eastAsia="Times New Roman" w:cs="Times New Roman"/>
          <w:lang w:eastAsia="en-US"/>
        </w:rPr>
        <w:t>P</w:t>
      </w:r>
      <w:r>
        <w:rPr>
          <w:rFonts w:eastAsia="Calibri" w:cs="Times New Roman"/>
          <w:bCs/>
          <w:kern w:val="2"/>
          <w:lang w:eastAsia="en-US"/>
        </w:rPr>
        <w:t>retendentu atlasē un piedāvājumu vērtēšanā ir tiesīga pieaicināt ekspertus.</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Komisijai ir tiesības izdarīt grozījumus Nolikumā, nosūtot par to paziņojumu Iepirkumu uzraudzības birojam, kas tiek publicēts PIL noteiktajā kārtībā.</w:t>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bookmarkStart w:id="29" w:name="_Toc64201433"/>
      <w:bookmarkStart w:id="30" w:name="_Toc64201628"/>
      <w:bookmarkStart w:id="31" w:name="_Toc64264077"/>
      <w:bookmarkStart w:id="32" w:name="_Toc65454246"/>
      <w:bookmarkStart w:id="33" w:name="_Toc65862776"/>
      <w:bookmarkStart w:id="34" w:name="_Toc65956615"/>
      <w:bookmarkStart w:id="35" w:name="_Toc65967974"/>
      <w:bookmarkStart w:id="36" w:name="_Toc72766071"/>
      <w:bookmarkStart w:id="37" w:name="_Toc73116771"/>
      <w:bookmarkStart w:id="38" w:name="_Toc79552071"/>
      <w:bookmarkStart w:id="39" w:name="_Toc141341767"/>
      <w:bookmarkStart w:id="40" w:name="_Toc141785298"/>
      <w:bookmarkStart w:id="41" w:name="_Toc377540482"/>
      <w:bookmarkStart w:id="42" w:name="_Toc354218004"/>
      <w:bookmarkStart w:id="43" w:name="_Toc64201285"/>
      <w:r>
        <w:rPr>
          <w:rFonts w:eastAsia="Calibri" w:cs="Times New Roman"/>
          <w:b/>
          <w:bCs/>
          <w:kern w:val="2"/>
          <w:sz w:val="24"/>
          <w:szCs w:val="24"/>
          <w:lang w:eastAsia="en-US"/>
        </w:rPr>
        <w:t>P</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eastAsia="Calibri" w:cs="Times New Roman"/>
          <w:b/>
          <w:bCs/>
          <w:kern w:val="2"/>
          <w:sz w:val="24"/>
          <w:szCs w:val="24"/>
          <w:lang w:eastAsia="en-US"/>
        </w:rPr>
        <w:t>RETENDENTA TIESĪBAS UN PIENĀKUMI</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pienākums pirms piedāvājuma sagatavošanas rūpīgi iepazīties ar visiem Nolikuma un tā pielikumu nosacījumiem, sagatavot piedāvājumu, tajā ietverot visu prasīto informāciju, kas nepieciešama Nolikuma prasību pārbaudei.</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tiesības, ievērojot PIL noteikto kārtību, iesniegt Pasūtītājam papildu informācijas pieprasījumus un iesniegumus, kā arī saņemt uz tiem atbildes PIL noteiktajos termiņos.</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tiesības mainīt un papildināt iesniegto piedāvājumu līdz piedāvājumu iesniegšanas termiņa beigām.</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pienākums Komisijas noteiktajā termiņā sniegt papildu informāciju vai paskaidrojumus par piedāvājumu, kā arī iesniegt PIL un Nolikumā noteiktos dokumentus, ja tas noteikts Nolikumā vai Komisija to pieprasa.</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 xml:space="preserve">Pretendentam ir pienākums iesniegt apliecinājumu par piedāvājuma nodrošinājuma derīguma termiņa pagarinājumu 5 (piecu) darba dienu laikā pēc Komisijas rakstiska pieprasījuma, ja Komisija pieņem lēmumu par Konkursa termiņa pagarinājumu un </w:t>
      </w:r>
      <w:r>
        <w:rPr>
          <w:rFonts w:eastAsia="Times New Roman" w:cs="Times New Roman"/>
          <w:lang w:eastAsia="en-US"/>
        </w:rPr>
        <w:t>P</w:t>
      </w:r>
      <w:r>
        <w:rPr>
          <w:rFonts w:eastAsia="Calibri" w:cs="Times New Roman"/>
          <w:bCs/>
          <w:kern w:val="2"/>
          <w:lang w:eastAsia="en-US"/>
        </w:rPr>
        <w:t>retendents vēlas turpināt dalību Konkursā.</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tiesības iesniegt iesniegumu par Nolikumā iekļautajām prasībām vai pārsūdzēt Komisijas pieņemto lēmumu PIL noteiktajā kārtībā.</w:t>
      </w:r>
    </w:p>
    <w:p>
      <w:pPr>
        <w:pStyle w:val="ListParagraph"/>
        <w:spacing w:lineRule="auto" w:line="259"/>
        <w:ind w:start="0"/>
        <w:jc w:val="both"/>
        <w:rPr>
          <w:rFonts w:ascii="Times New Roman" w:hAnsi="Times New Roman" w:eastAsia="Calibri" w:cs="Times New Roman"/>
          <w:bCs/>
          <w:kern w:val="2"/>
          <w:lang w:eastAsia="en-US"/>
        </w:rPr>
      </w:pPr>
      <w:r>
        <w:rPr>
          <w:rFonts w:eastAsia="Calibri" w:cs="Times New Roman"/>
          <w:bCs/>
          <w:kern w:val="2"/>
          <w:lang w:eastAsia="en-US"/>
        </w:rPr>
      </w:r>
      <w:bookmarkStart w:id="44" w:name="_Hlk152756206"/>
      <w:bookmarkStart w:id="45" w:name="_Hlk152756206"/>
      <w:bookmarkEnd w:id="45"/>
    </w:p>
    <w:p>
      <w:pPr>
        <w:pStyle w:val="Normal"/>
        <w:spacing w:lineRule="auto" w:line="240" w:before="0" w:after="0"/>
        <w:ind w:end="-142"/>
        <w:jc w:val="both"/>
        <w:rPr>
          <w:rFonts w:ascii="Times New Roman" w:hAnsi="Times New Roman" w:cs="Times New Roman"/>
          <w:sz w:val="24"/>
          <w:szCs w:val="24"/>
          <w:shd w:fill="FFFFFF" w:val="clear"/>
        </w:rPr>
      </w:pPr>
      <w:r>
        <w:rPr>
          <w:rFonts w:cs="Times New Roman"/>
          <w:sz w:val="24"/>
          <w:szCs w:val="24"/>
          <w:shd w:fill="FFFFFF" w:val="clear"/>
        </w:rPr>
      </w:r>
    </w:p>
    <w:p>
      <w:pPr>
        <w:pStyle w:val="Normal"/>
        <w:tabs>
          <w:tab w:val="clear" w:pos="720"/>
          <w:tab w:val="left" w:pos="426" w:leader="none"/>
        </w:tabs>
        <w:spacing w:lineRule="auto" w:line="240" w:before="0" w:after="0"/>
        <w:jc w:val="center"/>
        <w:rPr>
          <w:rFonts w:ascii="Times New Roman" w:hAnsi="Times New Roman"/>
          <w:b/>
          <w:bCs/>
          <w:sz w:val="24"/>
          <w:szCs w:val="24"/>
        </w:rPr>
      </w:pPr>
      <w:r>
        <w:rPr>
          <w:b/>
          <w:bCs/>
          <w:sz w:val="24"/>
          <w:szCs w:val="24"/>
        </w:rPr>
        <w:t>11.PIELIKUMI</w:t>
      </w:r>
    </w:p>
    <w:p>
      <w:pPr>
        <w:pStyle w:val="Normal"/>
        <w:tabs>
          <w:tab w:val="clear" w:pos="720"/>
          <w:tab w:val="left" w:pos="426" w:leader="none"/>
        </w:tabs>
        <w:spacing w:lineRule="auto" w:line="240" w:before="0" w:after="0"/>
        <w:rPr>
          <w:rFonts w:ascii="Times New Roman" w:hAnsi="Times New Roman"/>
        </w:rPr>
      </w:pPr>
      <w:r>
        <w:rPr/>
        <w:t xml:space="preserve">1. pielikums. Pieteikums. </w:t>
      </w:r>
    </w:p>
    <w:p>
      <w:pPr>
        <w:pStyle w:val="Normal"/>
        <w:tabs>
          <w:tab w:val="clear" w:pos="720"/>
          <w:tab w:val="left" w:pos="426" w:leader="none"/>
        </w:tabs>
        <w:spacing w:lineRule="auto" w:line="240" w:before="0" w:after="0"/>
        <w:rPr>
          <w:rFonts w:ascii="Times New Roman" w:hAnsi="Times New Roman"/>
        </w:rPr>
      </w:pPr>
      <w:r>
        <w:rPr/>
        <w:t>2. pielikums. Tehniskā specifikācija (</w:t>
      </w:r>
      <w:r>
        <w:rPr>
          <w:i/>
        </w:rPr>
        <w:t>darba uzdevums</w:t>
      </w:r>
      <w:r>
        <w:rPr/>
        <w:t>).</w:t>
      </w:r>
    </w:p>
    <w:p>
      <w:pPr>
        <w:pStyle w:val="Normal"/>
        <w:tabs>
          <w:tab w:val="clear" w:pos="720"/>
          <w:tab w:val="left" w:pos="426" w:leader="none"/>
        </w:tabs>
        <w:spacing w:lineRule="auto" w:line="240" w:before="0" w:after="0"/>
        <w:rPr>
          <w:rFonts w:ascii="Times New Roman" w:hAnsi="Times New Roman"/>
        </w:rPr>
      </w:pPr>
      <w:r>
        <w:rPr/>
        <w:t>2.1.pielikums Tehniskās specifikācija (tāme).</w:t>
      </w:r>
    </w:p>
    <w:p>
      <w:pPr>
        <w:pStyle w:val="Normal"/>
        <w:tabs>
          <w:tab w:val="clear" w:pos="720"/>
          <w:tab w:val="left" w:pos="426" w:leader="none"/>
        </w:tabs>
        <w:spacing w:lineRule="auto" w:line="240" w:before="0" w:after="0"/>
        <w:rPr>
          <w:rFonts w:ascii="Times New Roman" w:hAnsi="Times New Roman"/>
        </w:rPr>
      </w:pPr>
      <w:r>
        <w:rPr/>
        <w:t>3. pielikums. Finanšu piedāvājums.</w:t>
      </w:r>
    </w:p>
    <w:p>
      <w:pPr>
        <w:pStyle w:val="Normal"/>
        <w:tabs>
          <w:tab w:val="clear" w:pos="720"/>
          <w:tab w:val="left" w:pos="426" w:leader="none"/>
        </w:tabs>
        <w:spacing w:lineRule="auto" w:line="240" w:before="0" w:after="0"/>
        <w:rPr>
          <w:rFonts w:ascii="Times New Roman" w:hAnsi="Times New Roman"/>
        </w:rPr>
      </w:pPr>
      <w:r>
        <w:rPr/>
        <w:t>4. pielikums. Līgumprojekts.</w:t>
      </w:r>
    </w:p>
    <w:p>
      <w:pPr>
        <w:pStyle w:val="Normal"/>
        <w:tabs>
          <w:tab w:val="clear" w:pos="720"/>
          <w:tab w:val="left" w:pos="426" w:leader="none"/>
        </w:tabs>
        <w:spacing w:lineRule="auto" w:line="240" w:before="0" w:after="0"/>
        <w:rPr>
          <w:highlight w:val="none"/>
          <w:shd w:fill="auto" w:val="clear"/>
        </w:rPr>
      </w:pPr>
      <w:r>
        <w:rPr>
          <w:shd w:fill="auto" w:val="clear"/>
        </w:rPr>
        <w:t>5. pielikums. Pretendenta pieredze.</w:t>
      </w:r>
    </w:p>
    <w:p>
      <w:pPr>
        <w:pStyle w:val="Normal"/>
        <w:tabs>
          <w:tab w:val="clear" w:pos="720"/>
          <w:tab w:val="left" w:pos="426" w:leader="none"/>
        </w:tabs>
        <w:spacing w:lineRule="auto" w:line="240" w:before="0" w:after="0"/>
        <w:rPr>
          <w:rFonts w:ascii="Times New Roman" w:hAnsi="Times New Roman"/>
        </w:rPr>
      </w:pPr>
      <w:r>
        <w:rPr/>
        <w:t xml:space="preserve">6. pielikums. Informācija par apakšuzņēmējiem </w:t>
      </w:r>
      <w:r>
        <w:rPr>
          <w:rFonts w:eastAsia="Calibri" w:cs="Times New Roman"/>
          <w:i/>
          <w:iCs/>
          <w:color w:val="000000"/>
          <w:lang w:bidi="lv-LV"/>
        </w:rPr>
        <w:t>(iesniedz, ja attiecināms).</w:t>
      </w:r>
    </w:p>
    <w:p>
      <w:pPr>
        <w:pStyle w:val="Normal"/>
        <w:tabs>
          <w:tab w:val="clear" w:pos="720"/>
          <w:tab w:val="left" w:pos="426" w:leader="none"/>
        </w:tabs>
        <w:spacing w:lineRule="auto" w:line="240" w:before="0" w:after="0"/>
        <w:rPr>
          <w:rFonts w:ascii="Times New Roman" w:hAnsi="Times New Roman"/>
        </w:rPr>
      </w:pPr>
      <w:r>
        <w:rPr/>
        <w:t>7. pielikums. Apliecinājums par neatkarīgi izstrādātu piedāvājumu.</w:t>
      </w:r>
    </w:p>
    <w:p>
      <w:pPr>
        <w:pStyle w:val="Normal"/>
        <w:tabs>
          <w:tab w:val="clear" w:pos="720"/>
          <w:tab w:val="left" w:pos="426" w:leader="none"/>
        </w:tabs>
        <w:spacing w:lineRule="auto" w:line="240" w:before="0" w:after="0"/>
        <w:rPr>
          <w:rFonts w:ascii="Times New Roman" w:hAnsi="Times New Roman"/>
        </w:rPr>
      </w:pPr>
      <w:r>
        <w:rPr/>
        <w:t>8. pielikums. Speciālista pieejamības apliecinājums.</w:t>
      </w:r>
    </w:p>
    <w:p>
      <w:pPr>
        <w:pStyle w:val="Normal"/>
        <w:tabs>
          <w:tab w:val="clear" w:pos="720"/>
          <w:tab w:val="left" w:pos="426" w:leader="none"/>
        </w:tabs>
        <w:spacing w:lineRule="auto" w:line="240" w:before="0" w:after="0"/>
        <w:rPr>
          <w:rFonts w:ascii="Times New Roman" w:hAnsi="Times New Roman"/>
        </w:rPr>
      </w:pPr>
      <w:r>
        <w:rPr/>
        <w:t>9. pielikums. O</w:t>
      </w:r>
      <w:r>
        <w:rPr>
          <w:rFonts w:eastAsia="Calibri" w:cs="Times New Roman"/>
          <w:b w:val="false"/>
          <w:bCs w:val="false"/>
          <w:kern w:val="2"/>
          <w:u w:val="none"/>
          <w:lang w:eastAsia="en-US"/>
        </w:rPr>
        <w:t>bjektu apsekošanas veidlapa.</w:t>
      </w:r>
    </w:p>
    <w:p>
      <w:pPr>
        <w:pStyle w:val="Normal"/>
        <w:tabs>
          <w:tab w:val="clear" w:pos="720"/>
          <w:tab w:val="left" w:pos="426" w:leader="none"/>
        </w:tabs>
        <w:spacing w:lineRule="auto" w:line="240" w:before="0" w:after="0"/>
        <w:rPr>
          <w:rFonts w:ascii="Times New Roman" w:hAnsi="Times New Roman"/>
        </w:rPr>
      </w:pPr>
      <w:r>
        <w:rPr>
          <w:rFonts w:eastAsia="Calibri" w:cs="Times New Roman"/>
          <w:b w:val="false"/>
          <w:bCs w:val="false"/>
          <w:kern w:val="2"/>
          <w:u w:val="none"/>
          <w:lang w:eastAsia="en-US"/>
        </w:rPr>
        <w:t>10. pielikums.  Apliecinājums par interešu konflikta neesamību.</w:t>
      </w:r>
    </w:p>
    <w:sectPr>
      <w:footerReference w:type="even" r:id="rId8"/>
      <w:footerReference w:type="default" r:id="rId9"/>
      <w:footerReference w:type="first" r:id="rId10"/>
      <w:type w:val="nextPage"/>
      <w:pgSz w:w="11906" w:h="16838"/>
      <w:pgMar w:left="1800" w:right="746" w:gutter="0" w:header="0" w:top="851" w:footer="406"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Symbol">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Palace Script MT">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Tahoma">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2" name="Ietvars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wps:txbx>
                    <wps:bodyPr lIns="0" rIns="0" tIns="0" bIns="0" anchor="t">
                      <a:noAutofit/>
                    </wps:bodyPr>
                  </wps:wsp>
                </a:graphicData>
              </a:graphic>
            </wp:anchor>
          </w:drawing>
        </mc:Choice>
        <mc:Fallback>
          <w:pict>
            <v:rect id="shape_0" ID="Ietvars1" path="m0,0l-2147483645,0l-2147483645,-2147483646l0,-2147483646xe" stroked="f" o:allowincell="f" style="position:absolute;margin-left:227.95pt;margin-top:0.05pt;width:12pt;height:13.75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3" name="Ietvars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wps:txbx>
                    <wps:bodyPr lIns="0" rIns="0" tIns="0" bIns="0" anchor="t">
                      <a:noAutofit/>
                    </wps:bodyPr>
                  </wps:wsp>
                </a:graphicData>
              </a:graphic>
            </wp:anchor>
          </w:drawing>
        </mc:Choice>
        <mc:Fallback>
          <w:pict>
            <v:rect id="shape_0" ID="Ietvars1" path="m0,0l-2147483645,0l-2147483645,-2147483646l0,-2147483646xe" stroked="f" o:allowincell="f" style="position:absolute;margin-left:227.95pt;margin-top:0.05pt;width:12pt;height:13.75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360" w:hanging="360"/>
      </w:pPr>
      <w:rPr>
        <w:b/>
        <w:bCs/>
        <w:rFonts w:ascii="Times New Roman" w:hAnsi="Times New Roman" w:cs="Times New Roman"/>
      </w:rPr>
    </w:lvl>
    <w:lvl w:ilvl="1">
      <w:start w:val="1"/>
      <w:numFmt w:val="decimal"/>
      <w:lvlText w:val="%1.%2."/>
      <w:lvlJc w:val="start"/>
      <w:pPr>
        <w:tabs>
          <w:tab w:val="num" w:pos="0"/>
        </w:tabs>
        <w:ind w:start="792" w:hanging="432"/>
      </w:pPr>
      <w:rPr>
        <w:sz w:val="22"/>
        <w:b w:val="false"/>
        <w:szCs w:val="22"/>
        <w:bCs w:val="false"/>
      </w:rPr>
    </w:lvl>
    <w:lvl w:ilvl="2">
      <w:start w:val="1"/>
      <w:numFmt w:val="decimal"/>
      <w:lvlText w:val="%1.%2.%3."/>
      <w:lvlJc w:val="start"/>
      <w:pPr>
        <w:tabs>
          <w:tab w:val="num" w:pos="0"/>
        </w:tabs>
        <w:ind w:start="1224" w:hanging="504"/>
      </w:pPr>
      <w:rPr>
        <w:b w:val="false"/>
        <w:bCs/>
        <w:rFonts w:ascii="Times New Roman" w:hAnsi="Times New Roman" w:cs="Times New Roman"/>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lv-LV" w:eastAsia="zh-CN" w:bidi="ar-SA"/>
    </w:rPr>
  </w:style>
  <w:style w:type="paragraph" w:styleId="Heading1">
    <w:name w:val="Heading 1"/>
    <w:basedOn w:val="Normal"/>
    <w:next w:val="Normal"/>
    <w:qFormat/>
    <w:pPr>
      <w:keepNext w:val="true"/>
      <w:numPr>
        <w:ilvl w:val="0"/>
        <w:numId w:val="1"/>
      </w:numPr>
      <w:jc w:val="both"/>
      <w:outlineLvl w:val="0"/>
    </w:pPr>
    <w:rPr>
      <w:b/>
      <w:bCs/>
      <w:color w:val="000000"/>
    </w:rPr>
  </w:style>
  <w:style w:type="paragraph" w:styleId="Heading2">
    <w:name w:val="Heading 2"/>
    <w:basedOn w:val="Normal"/>
    <w:next w:val="Normal"/>
    <w:qFormat/>
    <w:pPr>
      <w:keepNext w:val="true"/>
      <w:numPr>
        <w:ilvl w:val="1"/>
        <w:numId w:val="1"/>
      </w:numPr>
      <w:jc w:val="center"/>
      <w:outlineLvl w:val="1"/>
    </w:pPr>
    <w:rPr>
      <w:b/>
      <w:szCs w:val="20"/>
    </w:rPr>
  </w:style>
  <w:style w:type="character" w:styleId="WW8Num1z0">
    <w:name w:val="WW8Num1z0"/>
    <w:qFormat/>
    <w:rPr/>
  </w:style>
  <w:style w:type="character" w:styleId="WW8Num1z2">
    <w:name w:val="WW8Num1z2"/>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b w:val="false"/>
      <w:i w:val="false"/>
    </w:rPr>
  </w:style>
  <w:style w:type="character" w:styleId="WW8Num3z2">
    <w:name w:val="WW8Num3z2"/>
    <w:qFormat/>
    <w:rPr>
      <w:b w:val="false"/>
      <w:sz w:val="23"/>
      <w:szCs w:val="23"/>
    </w:rPr>
  </w:style>
  <w:style w:type="character" w:styleId="WW8Num3z3">
    <w:name w:val="WW8Num3z3"/>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b w:val="false"/>
      <w:i w:val="false"/>
    </w:rPr>
  </w:style>
  <w:style w:type="character" w:styleId="WW8Num15z1">
    <w:name w:val="WW8Num15z1"/>
    <w:qFormat/>
    <w:rPr/>
  </w:style>
  <w:style w:type="character" w:styleId="WW8Num16z0">
    <w:name w:val="WW8Num16z0"/>
    <w:qFormat/>
    <w:rPr/>
  </w:style>
  <w:style w:type="character" w:styleId="WW8Num17z0">
    <w:name w:val="WW8Num17z0"/>
    <w:qFormat/>
    <w:rPr>
      <w:b/>
    </w:rPr>
  </w:style>
  <w:style w:type="character" w:styleId="WW8Num17z1">
    <w:name w:val="WW8Num17z1"/>
    <w:qFormat/>
    <w:rPr>
      <w:b w:val="false"/>
      <w:i w:val="false"/>
    </w:rPr>
  </w:style>
  <w:style w:type="character" w:styleId="WW8Num17z2">
    <w:name w:val="WW8Num17z2"/>
    <w:qFormat/>
    <w:rPr>
      <w:rFonts w:ascii="Palace Script MT" w:hAnsi="Palace Script MT" w:eastAsia="Palace Script MT" w:cs="Palace Script MT"/>
      <w:b/>
    </w:rPr>
  </w:style>
  <w:style w:type="character" w:styleId="WW8Num17z3">
    <w:name w:val="WW8Num17z3"/>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rPr>
  </w:style>
  <w:style w:type="character" w:styleId="WW8Num20z1">
    <w:name w:val="WW8Num20z1"/>
    <w:qFormat/>
    <w:rPr/>
  </w:style>
  <w:style w:type="character" w:styleId="WW8Num21z0">
    <w:name w:val="WW8Num21z0"/>
    <w:qFormat/>
    <w:rPr/>
  </w:style>
  <w:style w:type="character" w:styleId="WW8Num21z2">
    <w:name w:val="WW8Num21z2"/>
    <w:qFormat/>
    <w:rPr>
      <w:b w:val="false"/>
      <w:i w:val="false"/>
    </w:rPr>
  </w:style>
  <w:style w:type="character" w:styleId="WW8Num21z3">
    <w:name w:val="WW8Num21z3"/>
    <w:qFormat/>
    <w:rPr>
      <w:b w:val="false"/>
    </w:rPr>
  </w:style>
  <w:style w:type="character" w:styleId="WW8Num22z0">
    <w:name w:val="WW8Num22z0"/>
    <w:qFormat/>
    <w:rPr>
      <w:b w:val="false"/>
      <w:i w:val="false"/>
    </w:rPr>
  </w:style>
  <w:style w:type="character" w:styleId="WW8Num22z1">
    <w:name w:val="WW8Num22z1"/>
    <w:qFormat/>
    <w:rPr/>
  </w:style>
  <w:style w:type="character" w:styleId="WW8Num23z0">
    <w:name w:val="WW8Num23z0"/>
    <w:qFormat/>
    <w:rPr/>
  </w:style>
  <w:style w:type="character" w:styleId="WW8Num24z0">
    <w:name w:val="WW8Num24z0"/>
    <w:qFormat/>
    <w:rPr/>
  </w:style>
  <w:style w:type="character" w:styleId="WW8Num24z2">
    <w:name w:val="WW8Num24z2"/>
    <w:qFormat/>
    <w:rPr>
      <w:b w:val="false"/>
    </w:rPr>
  </w:style>
  <w:style w:type="character" w:styleId="WW8Num25z0">
    <w:name w:val="WW8Num25z0"/>
    <w:qFormat/>
    <w:rPr>
      <w:b/>
    </w:rPr>
  </w:style>
  <w:style w:type="character" w:styleId="WW8Num25z1">
    <w:name w:val="WW8Num25z1"/>
    <w:qFormat/>
    <w:rPr>
      <w:b w:val="false"/>
      <w:i w:val="false"/>
    </w:rPr>
  </w:style>
  <w:style w:type="character" w:styleId="WW8Num25z2">
    <w:name w:val="WW8Num25z2"/>
    <w:qFormat/>
    <w:rPr>
      <w:rFonts w:ascii="Palace Script MT" w:hAnsi="Palace Script MT" w:eastAsia="Palace Script MT" w:cs="Palace Script MT"/>
      <w:b/>
    </w:rPr>
  </w:style>
  <w:style w:type="character" w:styleId="WW8Num25z3">
    <w:name w:val="WW8Num25z3"/>
    <w:qFormat/>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b/>
    </w:rPr>
  </w:style>
  <w:style w:type="character" w:styleId="WW8Num34z1">
    <w:name w:val="WW8Num34z1"/>
    <w:qFormat/>
    <w:rPr>
      <w:b w:val="fals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39z1">
    <w:name w:val="WW8Num39z1"/>
    <w:qFormat/>
    <w:rPr>
      <w:b w:val="false"/>
      <w:i w:val="false"/>
    </w:rPr>
  </w:style>
  <w:style w:type="character" w:styleId="WW8Num39z2">
    <w:name w:val="WW8Num39z2"/>
    <w:qFormat/>
    <w:rPr>
      <w:b w:val="false"/>
      <w:sz w:val="24"/>
      <w:szCs w:val="24"/>
    </w:rPr>
  </w:style>
  <w:style w:type="character" w:styleId="WW8Num39z3">
    <w:name w:val="WW8Num39z3"/>
    <w:qFormat/>
    <w:rPr>
      <w:b w:val="false"/>
    </w:rPr>
  </w:style>
  <w:style w:type="character" w:styleId="WW8Num39z4">
    <w:name w:val="WW8Num39z4"/>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qFormat/>
    <w:rPr>
      <w:sz w:val="16"/>
      <w:szCs w:val="16"/>
    </w:rPr>
  </w:style>
  <w:style w:type="character" w:styleId="Hyperlink">
    <w:name w:val="Hyperlink"/>
    <w:rPr>
      <w:color w:val="0000FF"/>
      <w:u w:val="single"/>
    </w:rPr>
  </w:style>
  <w:style w:type="character" w:styleId="St">
    <w:name w:val="st"/>
    <w:qFormat/>
    <w:rPr/>
  </w:style>
  <w:style w:type="character" w:styleId="FollowedHyperlink">
    <w:name w:val="FollowedHyperlink"/>
    <w:rPr>
      <w:color w:val="800080"/>
      <w:u w:val="single"/>
    </w:rPr>
  </w:style>
  <w:style w:type="character" w:styleId="Strong">
    <w:name w:val="Strong"/>
    <w:qFormat/>
    <w:rPr>
      <w:b/>
      <w:bCs/>
    </w:rPr>
  </w:style>
  <w:style w:type="character" w:styleId="DefaultParagraphFont1">
    <w:name w:val="Default Paragraph Font1"/>
    <w:qFormat/>
    <w:rPr/>
  </w:style>
  <w:style w:type="character" w:styleId="Vresrakstzmes">
    <w:name w:val="Vēres rakstzīmes"/>
    <w:qFormat/>
    <w:rPr>
      <w:vertAlign w:val="superscript"/>
    </w:rPr>
  </w:style>
  <w:style w:type="character" w:styleId="FootnoteReference">
    <w:name w:val="Footnote Reference"/>
    <w:rPr>
      <w:vertAlign w:val="superscript"/>
    </w:rPr>
  </w:style>
  <w:style w:type="character" w:styleId="Beiguvresrakstzme">
    <w:name w:val="Beigu vēres rakstzīme"/>
    <w:qFormat/>
    <w:rPr>
      <w:vertAlign w:val="superscript"/>
    </w:rPr>
  </w:style>
  <w:style w:type="character" w:styleId="EndnoteReference">
    <w:name w:val="Endnote Reference"/>
    <w:rPr>
      <w:vertAlign w:val="superscript"/>
    </w:rPr>
  </w:style>
  <w:style w:type="character" w:styleId="Aizzmes">
    <w:name w:val="Aizzīmes"/>
    <w:qFormat/>
    <w:rPr>
      <w:rFonts w:ascii="OpenSymbol" w:hAnsi="OpenSymbol" w:eastAsia="OpenSymbol" w:cs="OpenSymbol"/>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rPr>
      <w:sz w:val="22"/>
      <w:szCs w:val="20"/>
      <w:lang w:val="en-U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BodyText2">
    <w:name w:val="Body Text 2"/>
    <w:basedOn w:val="Normal"/>
    <w:qFormat/>
    <w:pPr>
      <w:jc w:val="both"/>
    </w:pPr>
    <w:rPr>
      <w:sz w:val="22"/>
      <w:szCs w:val="20"/>
    </w:rPr>
  </w:style>
  <w:style w:type="paragraph" w:styleId="BalloonText">
    <w:name w:val="Balloon Text"/>
    <w:basedOn w:val="Normal"/>
    <w:qFormat/>
    <w:pPr/>
    <w:rPr>
      <w:rFonts w:ascii="Tahoma" w:hAnsi="Tahoma" w:cs="Tahoma"/>
      <w:sz w:val="16"/>
      <w:szCs w:val="16"/>
    </w:rPr>
  </w:style>
  <w:style w:type="paragraph" w:styleId="DocumentMap">
    <w:name w:val="Document Map"/>
    <w:basedOn w:val="Normal"/>
    <w:qFormat/>
    <w:pPr>
      <w:shd w:val="clear" w:fill="000080"/>
    </w:pPr>
    <w:rPr>
      <w:rFonts w:ascii="Tahoma" w:hAnsi="Tahoma" w:cs="Tahoma"/>
      <w:sz w:val="20"/>
      <w:szCs w:val="20"/>
    </w:rPr>
  </w:style>
  <w:style w:type="paragraph" w:styleId="Naisf">
    <w:name w:val="naisf"/>
    <w:basedOn w:val="Normal"/>
    <w:qFormat/>
    <w:pPr>
      <w:spacing w:before="100" w:after="100"/>
      <w:jc w:val="both"/>
    </w:pPr>
    <w:rPr>
      <w:szCs w:val="20"/>
    </w:rPr>
  </w:style>
  <w:style w:type="paragraph" w:styleId="Galveneunkjene">
    <w:name w:val="Galvene un kājene"/>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Header">
    <w:name w:val="Header"/>
    <w:basedOn w:val="Normal"/>
    <w:pPr/>
    <w:rPr/>
  </w:style>
  <w:style w:type="paragraph" w:styleId="Revision">
    <w:name w:val="Revision"/>
    <w:qFormat/>
    <w:pPr>
      <w:widowControl/>
      <w:suppressAutoHyphens w:val="true"/>
      <w:bidi w:val="0"/>
      <w:spacing w:before="0" w:after="0"/>
      <w:jc w:val="start"/>
    </w:pPr>
    <w:rPr>
      <w:rFonts w:ascii="Times New Roman" w:hAnsi="Times New Roman" w:eastAsia="Times New Roman" w:cs="Times New Roman"/>
      <w:color w:val="auto"/>
      <w:kern w:val="0"/>
      <w:sz w:val="24"/>
      <w:szCs w:val="24"/>
      <w:lang w:val="lv-LV" w:eastAsia="zh-CN" w:bidi="ar-SA"/>
    </w:rPr>
  </w:style>
  <w:style w:type="paragraph" w:styleId="Ietvarasaturs">
    <w:name w:val="Ietvara saturs"/>
    <w:basedOn w:val="Normal"/>
    <w:qFormat/>
    <w:pPr/>
    <w:rPr/>
  </w:style>
  <w:style w:type="paragraph" w:styleId="ListParagraph">
    <w:name w:val="List Paragraph"/>
    <w:basedOn w:val="Normal"/>
    <w:qFormat/>
    <w:pPr>
      <w:spacing w:before="0" w:after="160"/>
      <w:ind w:start="720"/>
      <w:contextualSpacing/>
    </w:pPr>
    <w:rPr/>
  </w:style>
  <w:style w:type="paragraph" w:styleId="FootnoteText">
    <w:name w:val="Footnote Text"/>
    <w:basedOn w:val="Normal"/>
    <w:pPr>
      <w:suppressLineNumbers/>
      <w:ind w:hanging="340" w:start="340"/>
    </w:pPr>
    <w:rPr>
      <w:sz w:val="20"/>
      <w:szCs w:val="20"/>
    </w:rPr>
  </w:style>
  <w:style w:type="paragraph" w:styleId="Saturardtjs">
    <w:name w:val="Satura rādītājs"/>
    <w:basedOn w:val="Normal"/>
    <w:qFormat/>
    <w:pPr>
      <w:widowControl w:val="false"/>
      <w:suppressLineNumbers/>
    </w:pPr>
    <w:rPr/>
  </w:style>
  <w:style w:type="paragraph" w:styleId="Tabulasvirsraksts">
    <w:name w:val="Tabulas virsraksts"/>
    <w:basedOn w:val="Saturardtj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ekretars@mfd.lv" TargetMode="External"/><Relationship Id="rId4" Type="http://schemas.openxmlformats.org/officeDocument/2006/relationships/hyperlink" Target="mailto:inese.volka@mfd.lv" TargetMode="External"/><Relationship Id="rId5" Type="http://schemas.openxmlformats.org/officeDocument/2006/relationships/hyperlink" Target="mailto:lviepirkumi@mfd.lv" TargetMode="External"/><Relationship Id="rId6" Type="http://schemas.openxmlformats.org/officeDocument/2006/relationships/hyperlink" Target="https://bis.gov.lv/bisp/lv/specialist_certificates" TargetMode="External"/><Relationship Id="rId7" Type="http://schemas.openxmlformats.org/officeDocument/2006/relationships/hyperlink" Target="mailto:iepirkumi@mfd.lv"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127</TotalTime>
  <Application>LibreOffice/24.2.1.2$Windows_X86_64 LibreOffice_project/db4def46b0453cc22e2d0305797cf981b68ef5ac</Application>
  <AppVersion>15.0000</AppVersion>
  <Pages>9</Pages>
  <Words>3055</Words>
  <Characters>22756</Characters>
  <CharactersWithSpaces>25642</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2026-02-25T09:39:00Z</dcterms:created>
  <dc:creator>dators</dc:creator>
  <dc:description/>
  <dc:language>en-US</dc:language>
  <cp:lastModifiedBy/>
  <cp:lastPrinted>2018-02-26T11:28:00Z</cp:lastPrinted>
  <dcterms:modified xsi:type="dcterms:W3CDTF">2026-03-24T11:07:11Z</dcterms:modified>
  <cp:revision>30</cp:revision>
  <dc:subject/>
  <dc:title>Apstiprināts:</dc:title>
</cp:coreProperties>
</file>

<file path=docProps/custom.xml><?xml version="1.0" encoding="utf-8"?>
<Properties xmlns="http://schemas.openxmlformats.org/officeDocument/2006/custom-properties" xmlns:vt="http://schemas.openxmlformats.org/officeDocument/2006/docPropsVTypes"/>
</file>