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0AC0E700" w:rsidR="0007617D" w:rsidRPr="00130CDC" w:rsidRDefault="000D626A" w:rsidP="0007617D">
      <w:pPr>
        <w:spacing w:after="0" w:line="240" w:lineRule="auto"/>
        <w:jc w:val="center"/>
        <w:rPr>
          <w:rFonts w:ascii="Times New Roman" w:hAnsi="Times New Roman" w:cs="Times New Roman"/>
          <w:b/>
          <w:bCs/>
        </w:rPr>
      </w:pPr>
      <w:r>
        <w:rPr>
          <w:rFonts w:ascii="Times New Roman" w:hAnsi="Times New Roman" w:cs="Times New Roman"/>
          <w:b/>
          <w:bCs/>
        </w:rPr>
        <w:t>“Dzintaru prospekts 52/54 pirmā stāva</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0007617D" w:rsidRPr="00130CDC">
        <w:rPr>
          <w:rFonts w:ascii="Times New Roman" w:hAnsi="Times New Roman" w:cs="Times New Roman"/>
          <w:b/>
          <w:bCs/>
        </w:rPr>
        <w:t>”</w:t>
      </w:r>
    </w:p>
    <w:p w14:paraId="146B2F8B" w14:textId="1AFA82F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C4169C">
        <w:rPr>
          <w:rFonts w:ascii="Times New Roman" w:hAnsi="Times New Roman" w:cs="Times New Roman"/>
          <w:b/>
          <w:bCs/>
        </w:rPr>
        <w:t>MSMC</w:t>
      </w:r>
      <w:r w:rsidR="00F8515C">
        <w:rPr>
          <w:rFonts w:ascii="Times New Roman" w:hAnsi="Times New Roman" w:cs="Times New Roman"/>
          <w:b/>
          <w:bCs/>
        </w:rPr>
        <w:t>/2026/01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7E7E9099" w:rsidR="0007617D" w:rsidRPr="00130CDC" w:rsidRDefault="007D3F54" w:rsidP="0007617D">
      <w:pPr>
        <w:spacing w:after="0" w:line="240" w:lineRule="auto"/>
        <w:jc w:val="center"/>
        <w:rPr>
          <w:rFonts w:ascii="Times New Roman" w:hAnsi="Times New Roman" w:cs="Times New Roman"/>
          <w:b/>
          <w:bCs/>
        </w:rPr>
      </w:pPr>
      <w:r>
        <w:rPr>
          <w:rFonts w:ascii="Times New Roman" w:hAnsi="Times New Roman" w:cs="Times New Roman"/>
          <w:b/>
          <w:bCs/>
        </w:rPr>
        <w:t>Liepāja</w:t>
      </w:r>
      <w:r w:rsidR="00F8515C">
        <w:rPr>
          <w:rFonts w:ascii="Times New Roman" w:hAnsi="Times New Roman" w:cs="Times New Roman"/>
          <w:b/>
          <w:bCs/>
        </w:rPr>
        <w:t xml:space="preserve"> 2026</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8"/>
      </w:tblGrid>
      <w:tr w:rsidR="0007617D" w:rsidRPr="00130CDC" w14:paraId="4E83F552" w14:textId="77777777" w:rsidTr="00666B4C">
        <w:trPr>
          <w:trHeight w:val="447"/>
        </w:trPr>
        <w:tc>
          <w:tcPr>
            <w:tcW w:w="2268"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7088" w:type="dxa"/>
          </w:tcPr>
          <w:p w14:paraId="567B2D41" w14:textId="182CAF59" w:rsidR="0007617D" w:rsidRPr="00130CDC" w:rsidRDefault="000D626A"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Sabiedrība ar ierobežotu atbildību “</w:t>
            </w:r>
            <w:proofErr w:type="spellStart"/>
            <w:r>
              <w:rPr>
                <w:rFonts w:ascii="Times New Roman" w:eastAsia="Times New Roman" w:hAnsi="Times New Roman" w:cs="Times New Roman"/>
              </w:rPr>
              <w:t>Magnum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Social</w:t>
            </w:r>
            <w:proofErr w:type="spellEnd"/>
            <w:r>
              <w:rPr>
                <w:rFonts w:ascii="Times New Roman" w:eastAsia="Times New Roman" w:hAnsi="Times New Roman" w:cs="Times New Roman"/>
              </w:rPr>
              <w:t xml:space="preserve"> &amp;</w:t>
            </w:r>
            <w:r w:rsidR="00666B4C">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Care</w:t>
            </w:r>
            <w:proofErr w:type="spellEnd"/>
            <w:r>
              <w:rPr>
                <w:rFonts w:ascii="Times New Roman" w:eastAsia="Times New Roman" w:hAnsi="Times New Roman" w:cs="Times New Roman"/>
              </w:rPr>
              <w:t>”</w:t>
            </w:r>
            <w:r w:rsidR="0007617D" w:rsidRPr="00130CDC">
              <w:rPr>
                <w:rFonts w:ascii="Times New Roman" w:eastAsia="Times New Roman" w:hAnsi="Times New Roman" w:cs="Times New Roman"/>
              </w:rPr>
              <w:t xml:space="preserve">  </w:t>
            </w:r>
          </w:p>
        </w:tc>
      </w:tr>
      <w:tr w:rsidR="0007617D" w:rsidRPr="00130CDC" w14:paraId="6897EB0B" w14:textId="77777777" w:rsidTr="00666B4C">
        <w:tc>
          <w:tcPr>
            <w:tcW w:w="2268"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7088" w:type="dxa"/>
          </w:tcPr>
          <w:p w14:paraId="0E5EDED9" w14:textId="0D761AC7" w:rsidR="0007617D" w:rsidRPr="00130CDC" w:rsidRDefault="000D626A" w:rsidP="00936D87">
            <w:pPr>
              <w:spacing w:after="0" w:line="240" w:lineRule="auto"/>
              <w:ind w:right="192"/>
              <w:jc w:val="both"/>
              <w:rPr>
                <w:rFonts w:ascii="Times New Roman" w:eastAsia="Times New Roman" w:hAnsi="Times New Roman" w:cs="Times New Roman"/>
              </w:rPr>
            </w:pPr>
            <w:r>
              <w:rPr>
                <w:rFonts w:ascii="Times New Roman" w:eastAsia="Times New Roman" w:hAnsi="Times New Roman" w:cs="Times New Roman"/>
              </w:rPr>
              <w:t>Labraga iela 11, Liepāja, LV-3414</w:t>
            </w:r>
          </w:p>
        </w:tc>
      </w:tr>
      <w:tr w:rsidR="0007617D" w:rsidRPr="00130CDC" w14:paraId="269C8D9E" w14:textId="77777777" w:rsidTr="00666B4C">
        <w:tc>
          <w:tcPr>
            <w:tcW w:w="2268"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7088" w:type="dxa"/>
          </w:tcPr>
          <w:p w14:paraId="36E5BD51" w14:textId="5691F0F9" w:rsidR="0007617D" w:rsidRPr="00130CDC" w:rsidRDefault="000D626A" w:rsidP="00936D87">
            <w:pPr>
              <w:spacing w:after="0" w:line="240" w:lineRule="auto"/>
              <w:ind w:left="709" w:right="192" w:hanging="709"/>
              <w:jc w:val="both"/>
              <w:rPr>
                <w:rFonts w:ascii="Times New Roman" w:eastAsia="Times New Roman" w:hAnsi="Times New Roman" w:cs="Times New Roman"/>
              </w:rPr>
            </w:pPr>
            <w:r w:rsidRPr="000D626A">
              <w:rPr>
                <w:rFonts w:ascii="Times New Roman" w:eastAsia="Times New Roman" w:hAnsi="Times New Roman" w:cs="Times New Roman"/>
              </w:rPr>
              <w:t>54103141561</w:t>
            </w:r>
          </w:p>
        </w:tc>
      </w:tr>
      <w:tr w:rsidR="0007617D" w:rsidRPr="00130CDC" w14:paraId="761A8837" w14:textId="77777777" w:rsidTr="00666B4C">
        <w:tc>
          <w:tcPr>
            <w:tcW w:w="2268"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708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666B4C">
        <w:tc>
          <w:tcPr>
            <w:tcW w:w="2268"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708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666B4C">
        <w:tc>
          <w:tcPr>
            <w:tcW w:w="2268"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708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52AB5C81"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w:t>
      </w:r>
      <w:r w:rsidR="00362675">
        <w:rPr>
          <w:rFonts w:ascii="Times New Roman" w:hAnsi="Times New Roman" w:cs="Times New Roman"/>
        </w:rPr>
        <w:t>,</w:t>
      </w:r>
      <w:r w:rsidR="00844456">
        <w:rPr>
          <w:rFonts w:ascii="Times New Roman" w:hAnsi="Times New Roman" w:cs="Times New Roman"/>
        </w:rPr>
        <w:t xml:space="preserve"> ēkas</w:t>
      </w:r>
      <w:r w:rsidR="000B336C">
        <w:rPr>
          <w:rFonts w:ascii="Times New Roman" w:hAnsi="Times New Roman" w:cs="Times New Roman"/>
        </w:rPr>
        <w:t xml:space="preserve"> </w:t>
      </w:r>
      <w:r w:rsidR="00362675">
        <w:rPr>
          <w:rFonts w:ascii="Times New Roman" w:hAnsi="Times New Roman" w:cs="Times New Roman"/>
        </w:rPr>
        <w:t>pirmā</w:t>
      </w:r>
      <w:r w:rsidR="000B336C">
        <w:rPr>
          <w:rFonts w:ascii="Times New Roman" w:hAnsi="Times New Roman" w:cs="Times New Roman"/>
        </w:rPr>
        <w:t xml:space="preserve"> stāv</w:t>
      </w:r>
      <w:r w:rsidR="00362675">
        <w:rPr>
          <w:rFonts w:ascii="Times New Roman" w:hAnsi="Times New Roman" w:cs="Times New Roman"/>
        </w:rPr>
        <w:t>a</w:t>
      </w:r>
      <w:r w:rsidR="00844456">
        <w:rPr>
          <w:rFonts w:ascii="Times New Roman" w:hAnsi="Times New Roman" w:cs="Times New Roman"/>
        </w:rPr>
        <w:t xml:space="preserve"> pārbūve</w:t>
      </w:r>
      <w:r w:rsidR="00362675">
        <w:rPr>
          <w:rFonts w:ascii="Times New Roman" w:hAnsi="Times New Roman" w:cs="Times New Roman"/>
        </w:rPr>
        <w:t>i</w:t>
      </w:r>
      <w:r w:rsidR="00844456">
        <w:rPr>
          <w:rFonts w:ascii="Times New Roman" w:hAnsi="Times New Roman" w:cs="Times New Roman"/>
        </w:rPr>
        <w:t xml:space="preserve">, </w:t>
      </w:r>
      <w:r w:rsidR="00956DB3">
        <w:rPr>
          <w:rFonts w:ascii="Times New Roman" w:hAnsi="Times New Roman" w:cs="Times New Roman"/>
        </w:rPr>
        <w:t>teritorijas labiekārtošana</w:t>
      </w:r>
      <w:r w:rsidR="00362675">
        <w:rPr>
          <w:rFonts w:ascii="Times New Roman" w:hAnsi="Times New Roman" w:cs="Times New Roman"/>
        </w:rPr>
        <w:t>i</w:t>
      </w:r>
      <w:r w:rsidR="00956DB3">
        <w:rPr>
          <w:rFonts w:ascii="Times New Roman" w:hAnsi="Times New Roman" w:cs="Times New Roman"/>
        </w:rPr>
        <w:t xml:space="preserve">, </w:t>
      </w:r>
      <w:r w:rsidR="00844456">
        <w:rPr>
          <w:rFonts w:ascii="Times New Roman" w:hAnsi="Times New Roman" w:cs="Times New Roman"/>
        </w:rPr>
        <w:t xml:space="preserve">lai izveidotu </w:t>
      </w:r>
      <w:r w:rsidR="00C563C6" w:rsidRPr="00C563C6">
        <w:rPr>
          <w:rFonts w:ascii="Times New Roman" w:hAnsi="Times New Roman" w:cs="Times New Roman"/>
        </w:rPr>
        <w:t xml:space="preserve">izveidojot dienas aprūpes centru ar 25 vietām pilngadīgām personām ar garīga rakstura traucējumiem </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5D14D638"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0D626A" w:rsidRPr="000D626A">
        <w:t xml:space="preserve"> </w:t>
      </w:r>
      <w:r w:rsidR="000D626A" w:rsidRPr="000D626A">
        <w:rPr>
          <w:rFonts w:ascii="Times New Roman" w:hAnsi="Times New Roman" w:cs="Times New Roman"/>
        </w:rPr>
        <w:t>Dzintaru prospekts 52/54, Jūrmala, LV-2015</w:t>
      </w:r>
    </w:p>
    <w:p w14:paraId="26254837" w14:textId="780961A4"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w:t>
      </w:r>
      <w:r w:rsidR="00F8515C">
        <w:rPr>
          <w:rFonts w:ascii="Times New Roman" w:hAnsi="Times New Roman" w:cs="Times New Roman"/>
        </w:rPr>
        <w:t>kas norādīta Nolikuma 1. punktā.</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CF2025" w:rsidRPr="00CF2025">
        <w:rPr>
          <w:rFonts w:ascii="Times New Roman" w:hAnsi="Times New Roman" w:cs="Times New Roman"/>
        </w:rPr>
        <w:t>izturētspēju</w:t>
      </w:r>
      <w:proofErr w:type="spellEnd"/>
      <w:r w:rsidR="00CF2025" w:rsidRPr="00CF2025">
        <w:rPr>
          <w:rFonts w:ascii="Times New Roman" w:hAnsi="Times New Roman" w:cs="Times New Roman"/>
        </w:rPr>
        <w:t>" 4.3.5.1. pasākuma "Sabiedrībā balstītu sociālo pakalpojumu pieejamības palielināšana" pirmās un piektās kārtas īstenošanas noteikumi</w:t>
      </w:r>
    </w:p>
    <w:p w14:paraId="43993960" w14:textId="7077527F" w:rsidR="0007617D" w:rsidRPr="00CF2025" w:rsidRDefault="00272FD1" w:rsidP="0007617D">
      <w:pPr>
        <w:pStyle w:val="ListParagraph"/>
        <w:numPr>
          <w:ilvl w:val="1"/>
          <w:numId w:val="1"/>
        </w:numPr>
        <w:spacing w:after="0" w:line="240" w:lineRule="auto"/>
        <w:ind w:left="0" w:firstLine="680"/>
        <w:jc w:val="both"/>
        <w:rPr>
          <w:rFonts w:ascii="Times New Roman" w:hAnsi="Times New Roman" w:cs="Times New Roman"/>
          <w:b/>
          <w:bCs/>
        </w:rPr>
      </w:pPr>
      <w:r>
        <w:rPr>
          <w:rFonts w:ascii="Times New Roman" w:hAnsi="Times New Roman" w:cs="Times New Roman"/>
        </w:rPr>
        <w:t xml:space="preserve">Telpu pārbūves </w:t>
      </w:r>
      <w:r w:rsidR="0007617D" w:rsidRPr="00CF2025">
        <w:rPr>
          <w:rFonts w:ascii="Times New Roman" w:hAnsi="Times New Roman" w:cs="Times New Roman"/>
        </w:rPr>
        <w:t xml:space="preserve">izpildes termiņš ir </w:t>
      </w:r>
      <w:r>
        <w:rPr>
          <w:rFonts w:ascii="Times New Roman" w:hAnsi="Times New Roman" w:cs="Times New Roman"/>
        </w:rPr>
        <w:t>termiņš ir 2027.gada 30.jūnijs.</w:t>
      </w:r>
    </w:p>
    <w:p w14:paraId="683AFD67" w14:textId="77777777" w:rsidR="0007617D" w:rsidRPr="00E850D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15136F10" w14:textId="1954EB0E" w:rsidR="00E850D5" w:rsidRPr="00E850D5" w:rsidRDefault="00E850D5" w:rsidP="0007617D">
      <w:pPr>
        <w:pStyle w:val="ListParagraph"/>
        <w:numPr>
          <w:ilvl w:val="1"/>
          <w:numId w:val="1"/>
        </w:numPr>
        <w:spacing w:after="0" w:line="240" w:lineRule="auto"/>
        <w:ind w:left="0" w:firstLine="680"/>
        <w:jc w:val="both"/>
        <w:rPr>
          <w:rFonts w:ascii="Times New Roman" w:hAnsi="Times New Roman" w:cs="Times New Roman"/>
        </w:rPr>
      </w:pPr>
      <w:r w:rsidRPr="00E850D5">
        <w:rPr>
          <w:rFonts w:ascii="Times New Roman" w:hAnsi="Times New Roman" w:cs="Times New Roman"/>
        </w:rPr>
        <w:t xml:space="preserve">Šis iepirkums tiek īstenots kā zaļais publiskais iepirkums </w:t>
      </w:r>
      <w:r w:rsidRPr="00472623">
        <w:rPr>
          <w:rFonts w:ascii="Times New Roman" w:hAnsi="Times New Roman" w:cs="Times New Roman"/>
        </w:rPr>
        <w:t>2017.gada 20.jūnija</w:t>
      </w:r>
      <w:r w:rsidRPr="00E850D5">
        <w:rPr>
          <w:rFonts w:ascii="Times New Roman" w:hAnsi="Times New Roman" w:cs="Times New Roman"/>
        </w:rPr>
        <w:t xml:space="preserve"> Ministru kabineta noteikumu Nr. 353 </w:t>
      </w:r>
      <w:r w:rsidRPr="00E850D5">
        <w:rPr>
          <w:rFonts w:ascii="Times New Roman" w:hAnsi="Times New Roman" w:cs="Times New Roman"/>
          <w:i/>
          <w:iCs/>
        </w:rPr>
        <w:t>“Prasības zaļajam publiskajam iepirkumam un to piemērošanas kārtība”</w:t>
      </w:r>
      <w:r w:rsidRPr="00E850D5">
        <w:rPr>
          <w:rFonts w:ascii="Times New Roman" w:hAnsi="Times New Roman" w:cs="Times New Roman"/>
        </w:rPr>
        <w:t xml:space="preserve"> izpratnē. Pretendentam, iesniedzot piedāvājumu un izpildot līgumu, ir pienākums nodrošināt atbilstību visām attiecīgajām minēto noteikumu prasībām, tostarp, bet ne tikai,</w:t>
      </w:r>
      <w:r>
        <w:rPr>
          <w:rFonts w:ascii="Times New Roman" w:hAnsi="Times New Roman" w:cs="Times New Roman"/>
        </w:rPr>
        <w:t xml:space="preserve"> Ministru kabineta noteikumu Nr. 353</w:t>
      </w:r>
      <w:r w:rsidRPr="00E850D5">
        <w:rPr>
          <w:rFonts w:ascii="Times New Roman" w:hAnsi="Times New Roman" w:cs="Times New Roman"/>
        </w:rPr>
        <w:t xml:space="preserve"> 1. pielikuma 8.2. nodaļā noteiktajām prasībām, kā arī citām piemērojamām prasībām atbilstoši iepirkuma priekšmetam. Pasūtītājam ir tiesības līguma izpildes laikā pieprasīt pierādījumus par šo prasību izpildi.</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6"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1 (vienas) darbdienas laikā </w:t>
      </w:r>
      <w:proofErr w:type="spellStart"/>
      <w:r w:rsidRPr="00130CDC">
        <w:rPr>
          <w:rFonts w:ascii="Times New Roman" w:hAnsi="Times New Roman" w:cs="Times New Roman"/>
        </w:rPr>
        <w:t>nos</w:t>
      </w:r>
      <w:r>
        <w:rPr>
          <w:rFonts w:ascii="Times New Roman" w:hAnsi="Times New Roman" w:cs="Times New Roman"/>
        </w:rPr>
        <w:t>ū</w:t>
      </w:r>
      <w:r w:rsidRPr="00130CDC">
        <w:rPr>
          <w:rFonts w:ascii="Times New Roman" w:hAnsi="Times New Roman" w:cs="Times New Roman"/>
        </w:rPr>
        <w:t>ta</w:t>
      </w:r>
      <w:proofErr w:type="spellEnd"/>
      <w:r w:rsidRPr="00130CDC">
        <w:rPr>
          <w:rFonts w:ascii="Times New Roman" w:hAnsi="Times New Roman" w:cs="Times New Roman"/>
        </w:rPr>
        <w:t xml:space="preserve">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4ACF4FB4"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 gada </w:t>
      </w:r>
      <w:r w:rsidR="00C4169C">
        <w:rPr>
          <w:rFonts w:ascii="Times New Roman" w:hAnsi="Times New Roman" w:cs="Times New Roman"/>
        </w:rPr>
        <w:t>17</w:t>
      </w:r>
      <w:r w:rsidRPr="00777791">
        <w:rPr>
          <w:rFonts w:ascii="Times New Roman" w:hAnsi="Times New Roman" w:cs="Times New Roman"/>
        </w:rPr>
        <w:t>.</w:t>
      </w:r>
      <w:r w:rsidR="00C4169C">
        <w:rPr>
          <w:rFonts w:ascii="Times New Roman" w:hAnsi="Times New Roman" w:cs="Times New Roman"/>
        </w:rPr>
        <w:t>aprīlim</w:t>
      </w:r>
      <w:r w:rsidR="00C4169C" w:rsidRPr="00777791">
        <w:rPr>
          <w:rFonts w:ascii="Times New Roman" w:hAnsi="Times New Roman" w:cs="Times New Roman"/>
        </w:rPr>
        <w:t xml:space="preserve"> </w:t>
      </w:r>
      <w:r w:rsidRPr="00777791">
        <w:rPr>
          <w:rFonts w:ascii="Times New Roman" w:hAnsi="Times New Roman" w:cs="Times New Roman"/>
        </w:rPr>
        <w:t>plkst. 12:00. Piedāvājumi ir iesniedzami SIA “</w:t>
      </w:r>
      <w:proofErr w:type="spellStart"/>
      <w:r w:rsidRPr="00777791">
        <w:rPr>
          <w:rFonts w:ascii="Times New Roman" w:hAnsi="Times New Roman" w:cs="Times New Roman"/>
        </w:rPr>
        <w:t>Magnum</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Social</w:t>
      </w:r>
      <w:proofErr w:type="spellEnd"/>
      <w:r w:rsidRPr="00777791">
        <w:rPr>
          <w:rFonts w:ascii="Times New Roman" w:hAnsi="Times New Roman" w:cs="Times New Roman"/>
        </w:rPr>
        <w:t xml:space="preserve"> &amp; </w:t>
      </w:r>
      <w:proofErr w:type="spellStart"/>
      <w:r w:rsidRPr="00777791">
        <w:rPr>
          <w:rFonts w:ascii="Times New Roman" w:hAnsi="Times New Roman" w:cs="Times New Roman"/>
        </w:rPr>
        <w:t>Medical</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Care</w:t>
      </w:r>
      <w:proofErr w:type="spellEnd"/>
      <w:r w:rsidRPr="00777791">
        <w:rPr>
          <w:rFonts w:ascii="Times New Roman" w:hAnsi="Times New Roman" w:cs="Times New Roman"/>
        </w:rPr>
        <w:t xml:space="preserve">” birojā, Kārļa Ulmaņa gatvē 119, Mārupē, Mārupes pagastā, Mārupes novadā, LV-2167, </w:t>
      </w:r>
      <w:r w:rsidR="009D2E18">
        <w:rPr>
          <w:rFonts w:ascii="Times New Roman" w:hAnsi="Times New Roman" w:cs="Times New Roman"/>
        </w:rPr>
        <w:t>trešajā</w:t>
      </w:r>
      <w:r w:rsidRPr="00777791">
        <w:rPr>
          <w:rFonts w:ascii="Times New Roman" w:hAnsi="Times New Roman" w:cs="Times New Roman"/>
        </w:rPr>
        <w:t xml:space="preserve"> stāvā, iesniedzot personīgi iepriekš saskaņotā laikā vai sūtot pa pastu.</w:t>
      </w:r>
    </w:p>
    <w:p w14:paraId="7F6ADA6B" w14:textId="2BBC0A16"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lastRenderedPageBreak/>
        <w:t xml:space="preserve">Uz aploksnes jānorāda: </w:t>
      </w:r>
      <w:r w:rsidR="00C4169C">
        <w:rPr>
          <w:rFonts w:ascii="Times New Roman" w:eastAsia="Times New Roman" w:hAnsi="Times New Roman" w:cs="Times New Roman"/>
        </w:rPr>
        <w:t>SIA “</w:t>
      </w:r>
      <w:proofErr w:type="spellStart"/>
      <w:r w:rsidR="00C4169C">
        <w:rPr>
          <w:rFonts w:ascii="Times New Roman" w:eastAsia="Times New Roman" w:hAnsi="Times New Roman" w:cs="Times New Roman"/>
        </w:rPr>
        <w:t>Magnum</w:t>
      </w:r>
      <w:proofErr w:type="spellEnd"/>
      <w:r w:rsidR="00C4169C">
        <w:rPr>
          <w:rFonts w:ascii="Times New Roman" w:eastAsia="Times New Roman" w:hAnsi="Times New Roman" w:cs="Times New Roman"/>
        </w:rPr>
        <w:t xml:space="preserve"> </w:t>
      </w:r>
      <w:proofErr w:type="spellStart"/>
      <w:r w:rsidR="00C4169C">
        <w:rPr>
          <w:rFonts w:ascii="Times New Roman" w:eastAsia="Times New Roman" w:hAnsi="Times New Roman" w:cs="Times New Roman"/>
        </w:rPr>
        <w:t>Social</w:t>
      </w:r>
      <w:proofErr w:type="spellEnd"/>
      <w:r w:rsidR="00C4169C">
        <w:rPr>
          <w:rFonts w:ascii="Times New Roman" w:eastAsia="Times New Roman" w:hAnsi="Times New Roman" w:cs="Times New Roman"/>
        </w:rPr>
        <w:t xml:space="preserve"> &amp; </w:t>
      </w:r>
      <w:proofErr w:type="spellStart"/>
      <w:r w:rsidR="00C4169C">
        <w:rPr>
          <w:rFonts w:ascii="Times New Roman" w:eastAsia="Times New Roman" w:hAnsi="Times New Roman" w:cs="Times New Roman"/>
        </w:rPr>
        <w:t>Medical</w:t>
      </w:r>
      <w:proofErr w:type="spellEnd"/>
      <w:r w:rsidR="00C4169C">
        <w:rPr>
          <w:rFonts w:ascii="Times New Roman" w:eastAsia="Times New Roman" w:hAnsi="Times New Roman" w:cs="Times New Roman"/>
        </w:rPr>
        <w:t xml:space="preserve"> </w:t>
      </w:r>
      <w:proofErr w:type="spellStart"/>
      <w:r w:rsidR="00C4169C">
        <w:rPr>
          <w:rFonts w:ascii="Times New Roman" w:eastAsia="Times New Roman" w:hAnsi="Times New Roman" w:cs="Times New Roman"/>
        </w:rPr>
        <w:t>Care</w:t>
      </w:r>
      <w:proofErr w:type="spellEnd"/>
      <w:r w:rsidR="00C4169C">
        <w:rPr>
          <w:rFonts w:ascii="Times New Roman" w:eastAsia="Times New Roman" w:hAnsi="Times New Roman" w:cs="Times New Roman"/>
        </w:rPr>
        <w:t>”</w:t>
      </w:r>
      <w:r w:rsidRPr="00777791">
        <w:rPr>
          <w:rFonts w:ascii="Times New Roman" w:hAnsi="Times New Roman" w:cs="Times New Roman"/>
        </w:rPr>
        <w:t xml:space="preserve">  iepirkuma procedūra </w:t>
      </w:r>
      <w:r w:rsidR="00C4169C" w:rsidRPr="00C4169C">
        <w:rPr>
          <w:rFonts w:ascii="Times New Roman" w:hAnsi="Times New Roman" w:cs="Times New Roman"/>
        </w:rPr>
        <w:t>“Dzintaru prospekts 52/54 pirmā stāva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lastRenderedPageBreak/>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ja sagatavotais piedāvājums kopumā vai kāds tajā ietvertais dokuments nav apstrādājams (atverams, saglabājams), izmantojot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proofErr w:type="spellStart"/>
      <w:r w:rsidRPr="00777791">
        <w:rPr>
          <w:rFonts w:ascii="Times New Roman" w:hAnsi="Times New Roman" w:cs="Times New Roman"/>
          <w:i/>
          <w:iCs/>
        </w:rPr>
        <w:t>euro</w:t>
      </w:r>
      <w:proofErr w:type="spellEnd"/>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73CB7007" w14:textId="1CED7F42" w:rsidR="003403B0"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6BCEA0A4" w:rsidR="0007617D" w:rsidRPr="00083EA8" w:rsidRDefault="0007617D" w:rsidP="003403B0">
      <w:pPr>
        <w:pStyle w:val="ListParagraph"/>
        <w:numPr>
          <w:ilvl w:val="2"/>
          <w:numId w:val="1"/>
        </w:numPr>
        <w:spacing w:after="40" w:line="240" w:lineRule="auto"/>
        <w:ind w:left="0" w:firstLine="680"/>
        <w:contextualSpacing w:val="0"/>
        <w:jc w:val="both"/>
        <w:rPr>
          <w:rFonts w:ascii="Times New Roman" w:hAnsi="Times New Roman" w:cs="Times New Roman"/>
        </w:rPr>
      </w:pPr>
      <w:r w:rsidRPr="00083EA8">
        <w:rPr>
          <w:rFonts w:ascii="Times New Roman" w:hAnsi="Times New Roman" w:cs="Times New Roman"/>
        </w:rPr>
        <w:t xml:space="preserve">vai naudas summas iemaksu Pasūtītāja bankas kontā: </w:t>
      </w:r>
      <w:r w:rsidR="00666B4C" w:rsidRPr="00666B4C">
        <w:rPr>
          <w:rFonts w:ascii="Times New Roman" w:hAnsi="Times New Roman" w:cs="Times New Roman"/>
          <w:b/>
          <w:bCs/>
        </w:rPr>
        <w:t>AS “SEB Banka”</w:t>
      </w:r>
      <w:r w:rsidRPr="00083EA8">
        <w:rPr>
          <w:rFonts w:ascii="Times New Roman" w:hAnsi="Times New Roman" w:cs="Times New Roman"/>
        </w:rPr>
        <w:t>, konta Nr.</w:t>
      </w:r>
      <w:r w:rsidR="003403B0" w:rsidRPr="00083EA8">
        <w:rPr>
          <w:rFonts w:ascii="Times New Roman" w:hAnsi="Times New Roman" w:cs="Times New Roman"/>
        </w:rPr>
        <w:t xml:space="preserve"> </w:t>
      </w:r>
      <w:r w:rsidR="00666B4C" w:rsidRPr="00666B4C">
        <w:rPr>
          <w:rFonts w:ascii="Times New Roman" w:hAnsi="Times New Roman" w:cs="Times New Roman"/>
          <w:b/>
          <w:bCs/>
        </w:rPr>
        <w:t>LV56UNLA0055002468226</w:t>
      </w:r>
      <w:r w:rsidR="003403B0" w:rsidRPr="00083EA8">
        <w:rPr>
          <w:rFonts w:ascii="Times New Roman" w:hAnsi="Times New Roman" w:cs="Times New Roman"/>
        </w:rPr>
        <w:t xml:space="preserve"> </w:t>
      </w:r>
      <w:r w:rsidRPr="00083EA8">
        <w:rPr>
          <w:rFonts w:ascii="Times New Roman" w:hAnsi="Times New Roman" w:cs="Times New Roman"/>
          <w:b/>
          <w:bCs/>
        </w:rPr>
        <w:t>bankas kods MULTLV2X,</w:t>
      </w:r>
      <w:r w:rsidRPr="00083EA8">
        <w:rPr>
          <w:rFonts w:ascii="Times New Roman" w:hAnsi="Times New Roman" w:cs="Times New Roman"/>
        </w:rPr>
        <w:t xml:space="preserve"> </w:t>
      </w:r>
      <w:r w:rsidRPr="00083EA8">
        <w:rPr>
          <w:rFonts w:ascii="Times New Roman" w:hAnsi="Times New Roman" w:cs="Times New Roman"/>
          <w:b/>
          <w:bCs/>
          <w:u w:val="single"/>
        </w:rPr>
        <w:t xml:space="preserve">ar maksājuma mērķa norādi: Piedāvājuma nodrošinājums Iepirkuma konkursā ar ID Nr.: </w:t>
      </w:r>
      <w:r w:rsidR="00C4169C">
        <w:rPr>
          <w:rFonts w:ascii="Times New Roman" w:hAnsi="Times New Roman" w:cs="Times New Roman"/>
          <w:b/>
          <w:bCs/>
        </w:rPr>
        <w:t>MSMC</w:t>
      </w:r>
      <w:r w:rsidR="003403B0">
        <w:rPr>
          <w:rFonts w:ascii="Times New Roman" w:hAnsi="Times New Roman" w:cs="Times New Roman"/>
          <w:b/>
          <w:bCs/>
        </w:rPr>
        <w:t>/2026/01 ESF+</w:t>
      </w:r>
      <w:r w:rsidRPr="00083EA8">
        <w:rPr>
          <w:rFonts w:ascii="Times New Roman" w:hAnsi="Times New Roman" w:cs="Times New Roman"/>
          <w:b/>
          <w:bCs/>
          <w:color w:val="7030A0"/>
        </w:rPr>
        <w:t xml:space="preserve">. </w:t>
      </w:r>
      <w:r w:rsidRPr="00083EA8">
        <w:rPr>
          <w:rFonts w:ascii="Times New Roman" w:hAnsi="Times New Roman" w:cs="Times New Roman"/>
        </w:rPr>
        <w:t xml:space="preserve">Maksājumu apliecinošu dokumentu par piedāvājuma nodrošinājuma summas ieskaitīšanu Pasūtītāja bankas kontā, </w:t>
      </w:r>
      <w:r w:rsidRPr="00083EA8">
        <w:rPr>
          <w:rFonts w:ascii="Times New Roman" w:hAnsi="Times New Roman" w:cs="Times New Roman"/>
          <w:b/>
          <w:bCs/>
        </w:rPr>
        <w:t>iesniedz kopā ar piedāvājuma dokumentiem</w:t>
      </w:r>
      <w:r w:rsidRPr="00083EA8">
        <w:rPr>
          <w:rFonts w:ascii="Times New Roman" w:hAnsi="Times New Roman" w:cs="Times New Roman"/>
          <w:bCs/>
          <w:lang w:eastAsia="ar-SA"/>
        </w:rPr>
        <w:t xml:space="preserve">. </w:t>
      </w:r>
      <w:r w:rsidRPr="00083EA8">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083EA8">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w:t>
      </w:r>
      <w:proofErr w:type="spellStart"/>
      <w:r w:rsidRPr="00130CDC">
        <w:rPr>
          <w:rFonts w:ascii="Times New Roman" w:hAnsi="Times New Roman" w:cs="Times New Roman"/>
        </w:rPr>
        <w:t>Flash</w:t>
      </w:r>
      <w:proofErr w:type="spellEnd"/>
      <w:r w:rsidRPr="00130CDC">
        <w:rPr>
          <w:rFonts w:ascii="Times New Roman" w:hAnsi="Times New Roman" w:cs="Times New Roman"/>
        </w:rPr>
        <w:t xml:space="preserve">)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lastRenderedPageBreak/>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0E656447"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006B15EC">
              <w:rPr>
                <w:rFonts w:ascii="Times New Roman" w:eastAsia="Times New Roman" w:hAnsi="Times New Roman" w:cs="Times New Roman"/>
                <w:lang w:eastAsia="lv-LV"/>
              </w:rPr>
              <w:t>1</w:t>
            </w:r>
            <w:r w:rsidR="006B15EC"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89416D">
              <w:rPr>
                <w:rFonts w:ascii="Times New Roman" w:eastAsia="Times New Roman" w:hAnsi="Times New Roman" w:cs="Times New Roman"/>
                <w:lang w:eastAsia="lv-LV"/>
              </w:rPr>
              <w:t xml:space="preserve"> (</w:t>
            </w:r>
            <w:r w:rsidR="009D2E18">
              <w:rPr>
                <w:rFonts w:ascii="Times New Roman" w:eastAsia="Times New Roman" w:hAnsi="Times New Roman" w:cs="Times New Roman"/>
                <w:lang w:eastAsia="lv-LV"/>
              </w:rPr>
              <w:t>viens</w:t>
            </w:r>
            <w:r w:rsidR="0089416D">
              <w:rPr>
                <w:rFonts w:ascii="Times New Roman" w:eastAsia="Times New Roman" w:hAnsi="Times New Roman" w:cs="Times New Roman"/>
                <w:lang w:eastAsia="lv-LV"/>
              </w:rPr>
              <w:t xml:space="preserve"> miljon</w:t>
            </w:r>
            <w:r w:rsidR="009D2E18">
              <w:rPr>
                <w:rFonts w:ascii="Times New Roman" w:eastAsia="Times New Roman" w:hAnsi="Times New Roman" w:cs="Times New Roman"/>
                <w:lang w:eastAsia="lv-LV"/>
              </w:rPr>
              <w:t>s</w:t>
            </w:r>
            <w:r w:rsidR="00083EA8">
              <w:rPr>
                <w:rFonts w:ascii="Times New Roman" w:eastAsia="Times New Roman" w:hAnsi="Times New Roman" w:cs="Times New Roman"/>
                <w:lang w:eastAsia="lv-LV"/>
              </w:rPr>
              <w:t xml:space="preserve"> pieci simti tūkstoši</w:t>
            </w:r>
            <w:r w:rsidR="0089416D">
              <w:rPr>
                <w:rFonts w:ascii="Times New Roman" w:eastAsia="Times New Roman" w:hAnsi="Times New Roman" w:cs="Times New Roman"/>
                <w:lang w:eastAsia="lv-LV"/>
              </w:rPr>
              <w:t xml:space="preserve"> </w:t>
            </w:r>
            <w:proofErr w:type="spellStart"/>
            <w:r w:rsidR="0089416D">
              <w:rPr>
                <w:rFonts w:ascii="Times New Roman" w:eastAsia="Times New Roman" w:hAnsi="Times New Roman" w:cs="Times New Roman"/>
                <w:lang w:eastAsia="lv-LV"/>
              </w:rPr>
              <w:t>euro</w:t>
            </w:r>
            <w:proofErr w:type="spellEnd"/>
            <w:r w:rsidR="0089416D">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6338411D"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w:t>
            </w:r>
            <w:r w:rsidR="00CE5594">
              <w:rPr>
                <w:rFonts w:ascii="Times New Roman" w:eastAsia="Times New Roman" w:hAnsi="Times New Roman" w:cs="Times New Roman"/>
                <w:lang w:eastAsia="lv-LV"/>
              </w:rPr>
              <w:t xml:space="preserve">kur kopējā </w:t>
            </w:r>
            <w:r w:rsidRPr="00130CDC">
              <w:rPr>
                <w:rFonts w:ascii="Times New Roman" w:eastAsia="Times New Roman" w:hAnsi="Times New Roman" w:cs="Times New Roman"/>
                <w:lang w:eastAsia="lv-LV"/>
              </w:rPr>
              <w:t xml:space="preserve">veikto būvdarbu summa ir vismaz </w:t>
            </w:r>
            <w:r w:rsidR="006B15EC">
              <w:rPr>
                <w:rFonts w:ascii="Times New Roman" w:eastAsia="Times New Roman" w:hAnsi="Times New Roman" w:cs="Times New Roman"/>
                <w:lang w:eastAsia="lv-LV"/>
              </w:rPr>
              <w:t>1</w:t>
            </w:r>
            <w:r w:rsidR="006B15EC"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w:t>
            </w:r>
            <w:r w:rsidR="009D2E18">
              <w:rPr>
                <w:rFonts w:ascii="Times New Roman" w:eastAsia="Times New Roman" w:hAnsi="Times New Roman" w:cs="Times New Roman"/>
                <w:lang w:eastAsia="lv-LV"/>
              </w:rPr>
              <w:t>viens</w:t>
            </w:r>
            <w:r w:rsidR="00083EA8">
              <w:rPr>
                <w:rFonts w:ascii="Times New Roman" w:eastAsia="Times New Roman" w:hAnsi="Times New Roman" w:cs="Times New Roman"/>
                <w:lang w:eastAsia="lv-LV"/>
              </w:rPr>
              <w:t xml:space="preserve"> miljon</w:t>
            </w:r>
            <w:r w:rsidR="009D2E18">
              <w:rPr>
                <w:rFonts w:ascii="Times New Roman" w:eastAsia="Times New Roman" w:hAnsi="Times New Roman" w:cs="Times New Roman"/>
                <w:lang w:eastAsia="lv-LV"/>
              </w:rPr>
              <w:t>s</w:t>
            </w:r>
            <w:r w:rsidR="00083EA8">
              <w:rPr>
                <w:rFonts w:ascii="Times New Roman" w:eastAsia="Times New Roman" w:hAnsi="Times New Roman" w:cs="Times New Roman"/>
                <w:lang w:eastAsia="lv-LV"/>
              </w:rPr>
              <w:t xml:space="preserve">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p>
          <w:p w14:paraId="196CF230" w14:textId="52994404"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83EA8">
              <w:rPr>
                <w:rFonts w:ascii="Times New Roman" w:eastAsia="Times New Roman" w:hAnsi="Times New Roman" w:cs="Times New Roman"/>
                <w:lang w:eastAsia="lv-LV"/>
              </w:rPr>
              <w:t>1500</w:t>
            </w:r>
            <w:r w:rsidR="00083EA8"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lastRenderedPageBreak/>
              <w:t>Būvdarbiem ir jābūt pilnībā pabeigtiem un 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59E99712"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.3.1. vismaz 1 (vienas) </w:t>
            </w:r>
            <w:r w:rsidR="00285DCF">
              <w:rPr>
                <w:rFonts w:ascii="Times New Roman" w:eastAsia="Times New Roman" w:hAnsi="Times New Roman" w:cs="Times New Roman"/>
                <w:lang w:eastAsia="lv-LV"/>
              </w:rPr>
              <w:t xml:space="preserve">III grupas ēkas pārbūves </w:t>
            </w:r>
            <w:proofErr w:type="spellStart"/>
            <w:r w:rsidRPr="00130CDC">
              <w:rPr>
                <w:rFonts w:ascii="Times New Roman" w:eastAsia="Times New Roman" w:hAnsi="Times New Roman" w:cs="Times New Roman"/>
                <w:lang w:eastAsia="lv-LV"/>
              </w:rPr>
              <w:t>pārbūves</w:t>
            </w:r>
            <w:proofErr w:type="spellEnd"/>
            <w:r w:rsidRPr="00130CDC">
              <w:rPr>
                <w:rFonts w:ascii="Times New Roman" w:eastAsia="Times New Roman" w:hAnsi="Times New Roman" w:cs="Times New Roman"/>
                <w:lang w:eastAsia="lv-LV"/>
              </w:rPr>
              <w:t xml:space="preserve"> būvprojekta izstrādē, kas izstrādāts Būvju informācijas modelēšanas (BIM) vidē</w:t>
            </w:r>
            <w:r w:rsidR="000B4034">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24A3BCC4"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sidR="00666B4C">
              <w:rPr>
                <w:rFonts w:ascii="Times New Roman" w:hAnsi="Times New Roman" w:cs="Times New Roman"/>
              </w:rPr>
              <w:t>300</w:t>
            </w:r>
            <w:r w:rsidR="00666B4C" w:rsidRPr="00D74F02">
              <w:rPr>
                <w:rFonts w:ascii="Times New Roman" w:hAnsi="Times New Roman" w:cs="Times New Roman"/>
              </w:rPr>
              <w:t xml:space="preserve"> </w:t>
            </w:r>
            <w:r w:rsidRPr="00D74F02">
              <w:rPr>
                <w:rFonts w:ascii="Times New Roman" w:hAnsi="Times New Roman" w:cs="Times New Roman"/>
              </w:rPr>
              <w:t>000 EUR apmērā, lai nodrošinātu līguma</w:t>
            </w:r>
            <w:r w:rsidR="00F53D40">
              <w:rPr>
                <w:rFonts w:ascii="Times New Roman" w:hAnsi="Times New Roman" w:cs="Times New Roman"/>
              </w:rPr>
              <w:t xml:space="preserve"> uzsākšanas</w:t>
            </w:r>
            <w:r w:rsidRPr="00D74F02">
              <w:rPr>
                <w:rFonts w:ascii="Times New Roman" w:hAnsi="Times New Roman" w:cs="Times New Roman"/>
              </w:rPr>
              <w:t xml:space="preserve">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6D14EFB"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pieejamajā kredītiestādes apliecinājuma veidlap</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6AA3A49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 xml:space="preserve">vismaz 1 (vienu) II vai III grupas ēku pārbūves būvdarbu vadīšanā, kur veikto būvdarbu summa ir vismaz </w:t>
            </w:r>
            <w:r w:rsidR="00666B4C">
              <w:rPr>
                <w:rFonts w:ascii="Times New Roman" w:eastAsia="Times New Roman" w:hAnsi="Times New Roman" w:cs="Times New Roman"/>
                <w:lang w:eastAsia="lv-LV"/>
              </w:rPr>
              <w:t>1</w:t>
            </w:r>
            <w:r w:rsidR="00666B4C" w:rsidRPr="007E5A14">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7E5A14">
              <w:rPr>
                <w:rFonts w:ascii="Times New Roman" w:eastAsia="Times New Roman" w:hAnsi="Times New Roman" w:cs="Times New Roman"/>
                <w:lang w:eastAsia="lv-LV"/>
              </w:rPr>
              <w:t>00 </w:t>
            </w:r>
            <w:r w:rsidRPr="007E5A14">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w:t>
            </w:r>
            <w:r w:rsidR="009D2E18">
              <w:rPr>
                <w:rFonts w:ascii="Times New Roman" w:eastAsia="Times New Roman" w:hAnsi="Times New Roman" w:cs="Times New Roman"/>
                <w:lang w:eastAsia="lv-LV"/>
              </w:rPr>
              <w:t>(viens</w:t>
            </w:r>
            <w:r w:rsidR="00083EA8">
              <w:rPr>
                <w:rFonts w:ascii="Times New Roman" w:eastAsia="Times New Roman" w:hAnsi="Times New Roman" w:cs="Times New Roman"/>
                <w:lang w:eastAsia="lv-LV"/>
              </w:rPr>
              <w:t xml:space="preserve"> miljon</w:t>
            </w:r>
            <w:r w:rsidR="009D2E18">
              <w:rPr>
                <w:rFonts w:ascii="Times New Roman" w:eastAsia="Times New Roman" w:hAnsi="Times New Roman" w:cs="Times New Roman"/>
                <w:lang w:eastAsia="lv-LV"/>
              </w:rPr>
              <w:t>s</w:t>
            </w:r>
            <w:r w:rsidR="00083EA8">
              <w:rPr>
                <w:rFonts w:ascii="Times New Roman" w:eastAsia="Times New Roman" w:hAnsi="Times New Roman" w:cs="Times New Roman"/>
                <w:lang w:eastAsia="lv-LV"/>
              </w:rPr>
              <w:t xml:space="preserve">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00083EA8" w:rsidRPr="00130CDC">
              <w:rPr>
                <w:rFonts w:ascii="Times New Roman" w:eastAsia="Times New Roman" w:hAnsi="Times New Roman" w:cs="Times New Roman"/>
                <w:lang w:eastAsia="lv-LV"/>
              </w:rPr>
              <w:t xml:space="preserve"> </w:t>
            </w:r>
            <w:r w:rsidRPr="007E5A14">
              <w:rPr>
                <w:rFonts w:ascii="Times New Roman" w:eastAsia="Times New Roman" w:hAnsi="Times New Roman" w:cs="Times New Roman"/>
                <w:lang w:eastAsia="lv-LV"/>
              </w:rPr>
              <w:t xml:space="preserve"> bez PVN;</w:t>
            </w:r>
          </w:p>
          <w:p w14:paraId="74C9AB98" w14:textId="7053E8E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 xml:space="preserve">vismaz 1 (vienu) ēku pārbūves būvdarbu vadīšanā, kur pārbūvēto telpu platība ir vismaz </w:t>
            </w:r>
            <w:r w:rsidR="00666B4C" w:rsidRPr="007E5A14">
              <w:rPr>
                <w:rFonts w:ascii="Times New Roman" w:eastAsia="Times New Roman" w:hAnsi="Times New Roman" w:cs="Times New Roman"/>
                <w:lang w:eastAsia="lv-LV"/>
              </w:rPr>
              <w:t>1</w:t>
            </w:r>
            <w:r w:rsidR="00666B4C">
              <w:rPr>
                <w:rFonts w:ascii="Times New Roman" w:eastAsia="Times New Roman" w:hAnsi="Times New Roman" w:cs="Times New Roman"/>
                <w:lang w:eastAsia="lv-LV"/>
              </w:rPr>
              <w:t>0</w:t>
            </w:r>
            <w:r w:rsidR="00666B4C" w:rsidRPr="007E5A14">
              <w:rPr>
                <w:rFonts w:ascii="Times New Roman" w:eastAsia="Times New Roman" w:hAnsi="Times New Roman" w:cs="Times New Roman"/>
                <w:lang w:eastAsia="lv-LV"/>
              </w:rPr>
              <w:t xml:space="preserve">00 </w:t>
            </w:r>
            <w:r w:rsidRPr="007E5A14">
              <w:rPr>
                <w:rFonts w:ascii="Times New Roman" w:eastAsia="Times New Roman" w:hAnsi="Times New Roman" w:cs="Times New Roman"/>
                <w:lang w:eastAsia="lv-LV"/>
              </w:rPr>
              <w:t>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0E464F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w:t>
            </w:r>
            <w:r w:rsidR="002842E8" w:rsidRPr="00130CDC">
              <w:rPr>
                <w:rFonts w:ascii="Times New Roman" w:eastAsia="Times New Roman" w:hAnsi="Times New Roman" w:cs="Times New Roman"/>
                <w:bCs/>
                <w:color w:val="000000"/>
              </w:rPr>
              <w:t>n</w:t>
            </w:r>
            <w:r w:rsidR="002842E8">
              <w:rPr>
                <w:rFonts w:ascii="Times New Roman" w:eastAsia="Times New Roman" w:hAnsi="Times New Roman" w:cs="Times New Roman"/>
                <w:bCs/>
                <w:color w:val="000000"/>
              </w:rPr>
              <w:t>umuru</w:t>
            </w:r>
            <w:r>
              <w:rPr>
                <w:rFonts w:ascii="Times New Roman" w:eastAsia="Times New Roman" w:hAnsi="Times New Roman" w:cs="Times New Roman"/>
                <w:bCs/>
                <w:color w:val="000000"/>
              </w:rPr>
              <w:t>,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42E12F01"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 xml:space="preserve">spēkā esošs arhitekta prakses sertifikāts vai būvprakses sertifikāts ēku konstrukciju projektēšanā un kuram ir pieredze kā </w:t>
            </w:r>
            <w:r w:rsidRPr="00130CDC">
              <w:rPr>
                <w:rFonts w:ascii="Times New Roman" w:eastAsia="Times New Roman" w:hAnsi="Times New Roman"/>
                <w:bCs/>
                <w:color w:val="000000"/>
              </w:rPr>
              <w:lastRenderedPageBreak/>
              <w:t>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grupas ēkas pārbūves būvprojekta izstrādes vadībā, 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11B62096"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pārbūves būvprojekta izstrādē, kas izstrādāts Būvju informācijas modelēšanas (BIM) vidē.</w:t>
            </w:r>
          </w:p>
          <w:p w14:paraId="65C1CB57" w14:textId="03E8ECC3"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1F6B70">
              <w:rPr>
                <w:rFonts w:ascii="Times New Roman" w:eastAsia="Times New Roman" w:hAnsi="Times New Roman" w:cs="Times New Roman"/>
                <w:lang w:eastAsia="lv-LV"/>
              </w:rPr>
              <w:t>pārbūves</w:t>
            </w:r>
            <w:r w:rsidR="001F6B70" w:rsidRPr="00130CDC">
              <w:rPr>
                <w:rFonts w:ascii="Times New Roman" w:eastAsia="Times New Roman" w:hAnsi="Times New Roman" w:cs="Times New Roman"/>
                <w:lang w:eastAsia="lv-LV"/>
              </w:rPr>
              <w:t xml:space="preserve"> būvprojektā</w:t>
            </w:r>
            <w:r w:rsidRPr="00130CDC">
              <w:rPr>
                <w:rFonts w:ascii="Times New Roman" w:eastAsia="Times New Roman" w:hAnsi="Times New Roman" w:cs="Times New Roman"/>
                <w:lang w:eastAsia="lv-LV"/>
              </w:rPr>
              <w:t xml:space="preserve">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sidR="00666B4C">
              <w:rPr>
                <w:rFonts w:ascii="Times New Roman" w:eastAsia="Times New Roman" w:hAnsi="Times New Roman" w:cs="Times New Roman"/>
                <w:lang w:eastAsia="lv-LV"/>
              </w:rPr>
              <w:t>1000</w:t>
            </w:r>
            <w:r w:rsidR="00666B4C"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48C4D829"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pārbūves būvprojekta izstrādē;</w:t>
            </w:r>
          </w:p>
          <w:p w14:paraId="5DB9EF55" w14:textId="43881716"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w:t>
            </w:r>
            <w:r w:rsidRPr="00130CDC">
              <w:rPr>
                <w:rFonts w:ascii="Times New Roman" w:eastAsia="Times New Roman" w:hAnsi="Times New Roman" w:cs="Times New Roman"/>
                <w:color w:val="000000"/>
              </w:rPr>
              <w:lastRenderedPageBreak/>
              <w:t>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 xml:space="preserve">kuram ir Latvijas Republikā spēkā esošs neatkarīga eksperta ēku </w:t>
            </w:r>
            <w:proofErr w:type="spellStart"/>
            <w:r w:rsidRPr="00130CDC">
              <w:rPr>
                <w:rFonts w:ascii="Times New Roman" w:eastAsia="Times New Roman" w:hAnsi="Times New Roman" w:cs="Times New Roman"/>
                <w:bCs/>
                <w:color w:val="000000"/>
              </w:rPr>
              <w:t>energo</w:t>
            </w:r>
            <w:proofErr w:type="spellEnd"/>
            <w:r w:rsidRPr="00130CDC">
              <w:rPr>
                <w:rFonts w:ascii="Times New Roman" w:eastAsia="Times New Roman" w:hAnsi="Times New Roman" w:cs="Times New Roman"/>
                <w:bCs/>
                <w:color w:val="000000"/>
              </w:rPr>
              <w:t xml:space="preserve">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6B15EC" w:rsidRPr="00130CDC" w14:paraId="5234F3FB"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001B3C51" w14:textId="3AFCBB0F" w:rsidR="006B15EC" w:rsidRDefault="006B15EC"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9.4.18.</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5B1BD" w14:textId="562A1F0B" w:rsidR="006B15EC" w:rsidRPr="00130CDC" w:rsidRDefault="006B15EC"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proofErr w:type="spellStart"/>
            <w:r w:rsidRPr="006B15EC">
              <w:rPr>
                <w:rFonts w:ascii="Times New Roman" w:eastAsia="Times New Roman" w:hAnsi="Times New Roman" w:cs="Times New Roman"/>
                <w:b/>
                <w:color w:val="000000"/>
              </w:rPr>
              <w:t>Būvmākslas</w:t>
            </w:r>
            <w:proofErr w:type="spellEnd"/>
            <w:r w:rsidRPr="006B15EC">
              <w:rPr>
                <w:rFonts w:ascii="Times New Roman" w:eastAsia="Times New Roman" w:hAnsi="Times New Roman" w:cs="Times New Roman"/>
                <w:b/>
                <w:color w:val="000000"/>
              </w:rPr>
              <w:t xml:space="preserve"> mantojuma restaurators</w:t>
            </w:r>
            <w:r w:rsidRPr="00130CDC">
              <w:rPr>
                <w:rFonts w:ascii="Times New Roman" w:eastAsia="Times New Roman" w:hAnsi="Times New Roman" w:cs="Times New Roman"/>
                <w:bCs/>
                <w:color w:val="000000"/>
              </w:rPr>
              <w:t xml:space="preserve"> kuram ir Latvijas Republikā spēkā esošs </w:t>
            </w:r>
            <w:proofErr w:type="spellStart"/>
            <w:r w:rsidRPr="006B15EC">
              <w:rPr>
                <w:rFonts w:ascii="Times New Roman" w:eastAsia="Times New Roman" w:hAnsi="Times New Roman" w:cs="Times New Roman"/>
                <w:bCs/>
                <w:color w:val="000000"/>
              </w:rPr>
              <w:t>Būvmākslas</w:t>
            </w:r>
            <w:proofErr w:type="spellEnd"/>
            <w:r w:rsidRPr="006B15EC">
              <w:rPr>
                <w:rFonts w:ascii="Times New Roman" w:eastAsia="Times New Roman" w:hAnsi="Times New Roman" w:cs="Times New Roman"/>
                <w:bCs/>
                <w:color w:val="000000"/>
              </w:rPr>
              <w:t xml:space="preserve"> mantojuma restaurator</w:t>
            </w:r>
            <w:r>
              <w:rPr>
                <w:rFonts w:ascii="Times New Roman" w:eastAsia="Times New Roman" w:hAnsi="Times New Roman" w:cs="Times New Roman"/>
                <w:bCs/>
                <w:color w:val="000000"/>
              </w:rPr>
              <w:t xml:space="preserve">a </w:t>
            </w:r>
            <w:r w:rsidRPr="00130CDC">
              <w:rPr>
                <w:rFonts w:ascii="Times New Roman" w:eastAsia="Times New Roman" w:hAnsi="Times New Roman" w:cs="Times New Roman"/>
                <w:bCs/>
                <w:color w:val="000000"/>
              </w:rPr>
              <w:t>sertifikāts.</w:t>
            </w:r>
          </w:p>
        </w:tc>
        <w:tc>
          <w:tcPr>
            <w:tcW w:w="3596" w:type="dxa"/>
            <w:tcBorders>
              <w:left w:val="single" w:sz="4" w:space="0" w:color="auto"/>
              <w:right w:val="single" w:sz="4" w:space="0" w:color="auto"/>
            </w:tcBorders>
          </w:tcPr>
          <w:p w14:paraId="19E06FFD" w14:textId="77777777" w:rsidR="006B15EC" w:rsidRPr="00130CDC" w:rsidRDefault="006B15EC"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w:t>
            </w:r>
            <w:proofErr w:type="spellStart"/>
            <w:r w:rsidRPr="005C603E">
              <w:rPr>
                <w:rFonts w:ascii="Times New Roman" w:eastAsia="Times New Roman" w:hAnsi="Times New Roman" w:cs="Times New Roman"/>
                <w:b/>
                <w:bCs/>
                <w:i/>
                <w:iCs/>
                <w:lang w:eastAsia="lv-LV"/>
              </w:rPr>
              <w:t>maksim</w:t>
            </w:r>
            <w:proofErr w:type="spellEnd"/>
            <w:r w:rsidRPr="005C603E">
              <w:rPr>
                <w:rFonts w:ascii="Times New Roman" w:eastAsia="Times New Roman" w:hAnsi="Times New Roman" w:cs="Times New Roman"/>
                <w:b/>
                <w:bCs/>
                <w:i/>
                <w:iCs/>
                <w:lang w:eastAsia="lv-LV"/>
              </w:rPr>
              <w:t>.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5D5D62AF" w:rsidR="0007617D" w:rsidRDefault="0007617D" w:rsidP="00936D87">
            <w:pPr>
              <w:pStyle w:val="NoSpacing"/>
              <w:jc w:val="both"/>
              <w:rPr>
                <w:sz w:val="22"/>
                <w:szCs w:val="22"/>
              </w:rPr>
            </w:pPr>
            <w:r w:rsidRPr="005C603E">
              <w:rPr>
                <w:sz w:val="22"/>
                <w:szCs w:val="22"/>
              </w:rPr>
              <w:t>Tiks vērtēta finanšu piedāvājumā piedāvātā līgumcena EUR bez PVN –</w:t>
            </w:r>
            <w:r w:rsidR="001F6B70">
              <w:rPr>
                <w:sz w:val="22"/>
                <w:szCs w:val="22"/>
              </w:rPr>
              <w:t>būvdarbiem projektēšanai un autoruzraudzībai kopā</w:t>
            </w:r>
            <w:r w:rsidRPr="005C603E">
              <w:rPr>
                <w:sz w:val="22"/>
                <w:szCs w:val="22"/>
              </w:rPr>
              <w:t xml:space="preserve"> izmaksas</w:t>
            </w:r>
            <w:r w:rsidR="001F6B70">
              <w:rPr>
                <w:sz w:val="22"/>
                <w:szCs w:val="22"/>
              </w:rPr>
              <w:t xml:space="preserve"> </w:t>
            </w:r>
            <w:r w:rsidRPr="005C603E">
              <w:rPr>
                <w:sz w:val="22"/>
                <w:szCs w:val="22"/>
              </w:rPr>
              <w:t xml:space="preserve">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proofErr w:type="spellStart"/>
            <w:r w:rsidRPr="005C603E">
              <w:rPr>
                <w:b/>
                <w:bCs/>
                <w:sz w:val="22"/>
                <w:szCs w:val="22"/>
              </w:rPr>
              <w:t>V</w:t>
            </w:r>
            <w:r w:rsidRPr="005C603E">
              <w:rPr>
                <w:b/>
                <w:bCs/>
                <w:sz w:val="22"/>
                <w:szCs w:val="22"/>
                <w:vertAlign w:val="subscript"/>
              </w:rPr>
              <w:t>zem</w:t>
            </w:r>
            <w:proofErr w:type="spellEnd"/>
            <w:r w:rsidRPr="005C603E">
              <w:rPr>
                <w:b/>
                <w:bCs/>
                <w:sz w:val="22"/>
                <w:szCs w:val="22"/>
              </w:rPr>
              <w:t xml:space="preserve"> / </w:t>
            </w:r>
            <w:proofErr w:type="spellStart"/>
            <w:r w:rsidRPr="005C603E">
              <w:rPr>
                <w:b/>
                <w:bCs/>
                <w:sz w:val="22"/>
                <w:szCs w:val="22"/>
              </w:rPr>
              <w:t>V</w:t>
            </w:r>
            <w:r w:rsidRPr="005C603E">
              <w:rPr>
                <w:b/>
                <w:bCs/>
                <w:sz w:val="22"/>
                <w:szCs w:val="22"/>
                <w:vertAlign w:val="subscript"/>
              </w:rPr>
              <w:t>vērt</w:t>
            </w:r>
            <w:proofErr w:type="spellEnd"/>
            <w:r w:rsidRPr="005C603E">
              <w:rPr>
                <w:b/>
                <w:bCs/>
                <w:sz w:val="22"/>
                <w:szCs w:val="22"/>
                <w:vertAlign w:val="subscript"/>
              </w:rPr>
              <w:t xml:space="preserve">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zem</w:t>
            </w:r>
            <w:proofErr w:type="spellEnd"/>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vērt</w:t>
            </w:r>
            <w:proofErr w:type="spellEnd"/>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 xml:space="preserve">Būvdarbu vadītāja </w:t>
            </w:r>
            <w:proofErr w:type="spellStart"/>
            <w:r w:rsidR="004B069D" w:rsidRPr="00876234">
              <w:rPr>
                <w:rFonts w:ascii="Times New Roman" w:hAnsi="Times New Roman" w:cs="Times New Roman"/>
                <w:b/>
              </w:rPr>
              <w:t>pierede</w:t>
            </w:r>
            <w:proofErr w:type="spellEnd"/>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lastRenderedPageBreak/>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lastRenderedPageBreak/>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6ECEB9B2"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1A417C60"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pliecinājums</w:t>
      </w:r>
      <w:r w:rsidR="002842E8">
        <w:rPr>
          <w:rFonts w:ascii="Times New Roman" w:hAnsi="Times New Roman" w:cs="Times New Roman"/>
        </w:rPr>
        <w:t>/izziņa</w:t>
      </w:r>
      <w:r w:rsidRPr="007E5A14">
        <w:rPr>
          <w:rFonts w:ascii="Times New Roman" w:hAnsi="Times New Roman" w:cs="Times New Roman"/>
        </w:rPr>
        <w:t xml:space="preserve"> par </w:t>
      </w:r>
      <w:r w:rsidR="002842E8">
        <w:rPr>
          <w:rFonts w:ascii="Times New Roman" w:hAnsi="Times New Roman" w:cs="Times New Roman"/>
        </w:rPr>
        <w:t xml:space="preserve">pieejamiem </w:t>
      </w:r>
      <w:r w:rsidR="00D74F02" w:rsidRPr="007E5A14">
        <w:rPr>
          <w:rFonts w:ascii="Times New Roman" w:hAnsi="Times New Roman" w:cs="Times New Roman"/>
        </w:rPr>
        <w:t>finanšu līdzekļiem;</w:t>
      </w:r>
    </w:p>
    <w:p w14:paraId="49F28006" w14:textId="1D6D455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2842E8">
        <w:rPr>
          <w:rFonts w:ascii="Times New Roman" w:hAnsi="Times New Roman" w:cs="Times New Roman"/>
        </w:rPr>
        <w:t xml:space="preserve"> (telpu eksplikācija 1.,2. stāvs)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1F6B70" w:rsidRDefault="0007617D" w:rsidP="0007617D">
      <w:pPr>
        <w:pStyle w:val="ListParagraph"/>
        <w:numPr>
          <w:ilvl w:val="6"/>
          <w:numId w:val="1"/>
        </w:numPr>
        <w:spacing w:after="0" w:line="240" w:lineRule="auto"/>
        <w:rPr>
          <w:rFonts w:ascii="Times New Roman" w:hAnsi="Times New Roman" w:cs="Times New Roman"/>
        </w:rPr>
      </w:pPr>
      <w:r w:rsidRPr="002842E8">
        <w:rPr>
          <w:rFonts w:ascii="Times New Roman" w:hAnsi="Times New Roman" w:cs="Times New Roman"/>
        </w:rPr>
        <w:t>pielikums</w:t>
      </w:r>
      <w:r w:rsidRPr="002842E8">
        <w:rPr>
          <w:rFonts w:ascii="Times New Roman" w:hAnsi="Times New Roman" w:cs="Times New Roman"/>
        </w:rPr>
        <w:tab/>
      </w:r>
      <w:r w:rsidRPr="002842E8">
        <w:rPr>
          <w:rFonts w:ascii="Times New Roman" w:hAnsi="Times New Roman" w:cs="Times New Roman"/>
        </w:rPr>
        <w:tab/>
      </w:r>
      <w:r w:rsidR="001C0B8A" w:rsidRPr="002842E8">
        <w:rPr>
          <w:rFonts w:ascii="Times New Roman" w:hAnsi="Times New Roman" w:cs="Times New Roman"/>
        </w:rPr>
        <w:t>L</w:t>
      </w:r>
      <w:r w:rsidRPr="002842E8">
        <w:rPr>
          <w:rFonts w:ascii="Times New Roman" w:hAnsi="Times New Roman" w:cs="Times New Roman"/>
        </w:rPr>
        <w:t>īgumprojekts.</w:t>
      </w:r>
      <w:r w:rsidRPr="001F6B70">
        <w:rPr>
          <w:rFonts w:ascii="Times New Roman" w:hAnsi="Times New Roman" w:cs="Times New Roman"/>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2270"/>
    <w:rsid w:val="0007617D"/>
    <w:rsid w:val="00083EA8"/>
    <w:rsid w:val="000924B3"/>
    <w:rsid w:val="000B336C"/>
    <w:rsid w:val="000B4034"/>
    <w:rsid w:val="000D626A"/>
    <w:rsid w:val="001046FE"/>
    <w:rsid w:val="001307FC"/>
    <w:rsid w:val="001602C7"/>
    <w:rsid w:val="00184A4A"/>
    <w:rsid w:val="001C0B8A"/>
    <w:rsid w:val="001D1143"/>
    <w:rsid w:val="001F6B70"/>
    <w:rsid w:val="00225CEB"/>
    <w:rsid w:val="00272FD1"/>
    <w:rsid w:val="002842E8"/>
    <w:rsid w:val="00285DCF"/>
    <w:rsid w:val="002E05B6"/>
    <w:rsid w:val="002F788A"/>
    <w:rsid w:val="00302F16"/>
    <w:rsid w:val="003403B0"/>
    <w:rsid w:val="00362675"/>
    <w:rsid w:val="003E48BF"/>
    <w:rsid w:val="003F7519"/>
    <w:rsid w:val="00486E9D"/>
    <w:rsid w:val="004B069D"/>
    <w:rsid w:val="004C02D0"/>
    <w:rsid w:val="005A29A8"/>
    <w:rsid w:val="005B0578"/>
    <w:rsid w:val="005B3751"/>
    <w:rsid w:val="005F25D1"/>
    <w:rsid w:val="0062752D"/>
    <w:rsid w:val="0064155A"/>
    <w:rsid w:val="00666B4C"/>
    <w:rsid w:val="006B15EC"/>
    <w:rsid w:val="00777791"/>
    <w:rsid w:val="00780BDA"/>
    <w:rsid w:val="007D3F54"/>
    <w:rsid w:val="007E142F"/>
    <w:rsid w:val="007E5A14"/>
    <w:rsid w:val="00844456"/>
    <w:rsid w:val="008722E7"/>
    <w:rsid w:val="00876234"/>
    <w:rsid w:val="0089416D"/>
    <w:rsid w:val="0093137A"/>
    <w:rsid w:val="00946006"/>
    <w:rsid w:val="00956DB3"/>
    <w:rsid w:val="009D2E18"/>
    <w:rsid w:val="00A226B3"/>
    <w:rsid w:val="00A26CDA"/>
    <w:rsid w:val="00A40957"/>
    <w:rsid w:val="00A54797"/>
    <w:rsid w:val="00AA056B"/>
    <w:rsid w:val="00B452DB"/>
    <w:rsid w:val="00B760E8"/>
    <w:rsid w:val="00B93E94"/>
    <w:rsid w:val="00C4169C"/>
    <w:rsid w:val="00C470D5"/>
    <w:rsid w:val="00C563C6"/>
    <w:rsid w:val="00CB2551"/>
    <w:rsid w:val="00CB2C98"/>
    <w:rsid w:val="00CB3C08"/>
    <w:rsid w:val="00CE4437"/>
    <w:rsid w:val="00CE5594"/>
    <w:rsid w:val="00CF2025"/>
    <w:rsid w:val="00D30E1A"/>
    <w:rsid w:val="00D53DB8"/>
    <w:rsid w:val="00D74F02"/>
    <w:rsid w:val="00DB034D"/>
    <w:rsid w:val="00E54B63"/>
    <w:rsid w:val="00E748E7"/>
    <w:rsid w:val="00E850D5"/>
    <w:rsid w:val="00F46682"/>
    <w:rsid w:val="00F53D40"/>
    <w:rsid w:val="00F85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 w:type="character" w:styleId="UnresolvedMention">
    <w:name w:val="Unresolved Mention"/>
    <w:basedOn w:val="DefaultParagraphFont"/>
    <w:uiPriority w:val="99"/>
    <w:semiHidden/>
    <w:unhideWhenUsed/>
    <w:rsid w:val="00F8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u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2354</Words>
  <Characters>19308</Characters>
  <Application>Microsoft Office Word</Application>
  <DocSecurity>0</DocSecurity>
  <Lines>438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2</cp:revision>
  <dcterms:created xsi:type="dcterms:W3CDTF">2026-04-09T09:06:00Z</dcterms:created>
  <dcterms:modified xsi:type="dcterms:W3CDTF">2026-04-09T09:06:00Z</dcterms:modified>
</cp:coreProperties>
</file>