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1677FFB1" w:rsidR="00205AF6" w:rsidRPr="00B22DDC" w:rsidRDefault="00022982" w:rsidP="00022982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22982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ŠOKA SALDĒŠANAS IEKĀRTA 20 LĪMEŅIEM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22982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A536CF"/>
    <w:rsid w:val="00B40F8F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1839</Characters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2026-05-23T19:16:00Z</dcterms:modified>
</cp:coreProperties>
</file>