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5F8DA9D1" w14:textId="77777777" w:rsidR="00695903" w:rsidRPr="00B22DDC" w:rsidRDefault="00695903" w:rsidP="00695903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591E24">
        <w:rPr>
          <w:b/>
          <w:bCs/>
          <w:iCs/>
          <w:color w:val="00B0F0"/>
          <w:sz w:val="28"/>
        </w:rPr>
        <w:t>UZ GALDA LIEKAMS MĪKLAS RULLIS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666545"/>
    <w:rsid w:val="00695903"/>
    <w:rsid w:val="007935A0"/>
    <w:rsid w:val="007B4DBD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2026-05-23T19:27:00Z</dcterms:modified>
</cp:coreProperties>
</file>