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1f3864" w:val="clear"/>
            <w:tcMar>
              <w:top w:w="260.0" w:type="dxa"/>
              <w:left w:w="280.0" w:type="dxa"/>
              <w:bottom w:w="180.0" w:type="dxa"/>
              <w:right w:w="280.0" w:type="dxa"/>
            </w:tcMar>
          </w:tcPr>
          <w:p w:rsidR="00000000" w:rsidDel="00000000" w:rsidP="00000000" w:rsidRDefault="00000000" w:rsidRPr="00000000" w14:paraId="00000002">
            <w:pPr>
              <w:spacing w:after="9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8"/>
                <w:szCs w:val="48"/>
                <w:rtl w:val="0"/>
              </w:rPr>
              <w:t xml:space="preserve">IEPIRKUMA NOLIKUMS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6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bdd7ee"/>
                <w:sz w:val="24"/>
                <w:szCs w:val="24"/>
                <w:rtl w:val="0"/>
              </w:rPr>
              <w:t xml:space="preserve">Metāla komponentu un konstrukciju piegāde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ccee"/>
                <w:sz w:val="20"/>
                <w:szCs w:val="20"/>
                <w:rtl w:val="0"/>
              </w:rPr>
              <w:t xml:space="preserve">STORM ETKC BTS02 - Atklats konkurss - 4 lotes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bdd7ee" w:val="clear"/>
            <w:tcMar>
              <w:top w:w="80.0" w:type="dxa"/>
              <w:left w:w="280.0" w:type="dxa"/>
              <w:bottom w:w="80.0" w:type="dxa"/>
              <w:right w:w="28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20"/>
                <w:szCs w:val="20"/>
                <w:rtl w:val="0"/>
              </w:rPr>
              <w:t xml:space="preserve">Nr. SA-PI1-2026/ETKC  |  2026-07-02  |  EIS iub.gov.lv  |  ES fondi / ETKC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226"/>
        <w:tblGridChange w:id="0">
          <w:tblGrid>
            <w:gridCol w:w="280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Pasūtītājs: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Storm Adventures SIA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Reģ. Nr.: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42103100987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Adrese: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Zeltrītu iela 20-70, Mārupe, LV-2167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Kontaktpersona: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Rihards Dziedatajs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E-pasts: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rihards@storm-adventures.com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Tālrunis: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+371 26 174 748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Iepirkuma Nr.: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SA-PI1-2026/ETKC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CPV kods: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44210000-5 (Metāla konstrukcijas un saistītie izstrādājumi)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Kopējā vērtība: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EUR 196 219 (bez PVN)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Procedūra: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Atklats konkurss (PIL 8. pants)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Finansējums: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ES fondi - ETKC Kompetences centrs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Piedāvājumu termiņš: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c00000"/>
                <w:sz w:val="21"/>
                <w:szCs w:val="21"/>
                <w:rtl w:val="0"/>
              </w:rPr>
              <w:t xml:space="preserve">2026-07-17 (15 kalendāras dienas no publiceshanas)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Lotu skaits: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4 lotes - var pieteikties uz vienu vai vairākām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after="120" w:before="28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2. Lotu apraksts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1200"/>
        <w:gridCol w:w="3226"/>
        <w:gridCol w:w="1500"/>
        <w:gridCol w:w="900"/>
        <w:gridCol w:w="1500"/>
        <w:tblGridChange w:id="0">
          <w:tblGrid>
            <w:gridCol w:w="700"/>
            <w:gridCol w:w="1200"/>
            <w:gridCol w:w="3226"/>
            <w:gridCol w:w="1500"/>
            <w:gridCol w:w="90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Lote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Kods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Pasūtījumi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Daļas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Plān. vērtība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Metāla konstrukcijas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9, 10, 14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356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7" w:val="single"/>
              <w:left w:color="b8cce4" w:space="0" w:sz="7" w:val="single"/>
              <w:bottom w:color="b8cce4" w:space="0" w:sz="7" w:val="single"/>
              <w:right w:color="b8cce4" w:space="0" w:sz="7" w:val="single"/>
            </w:tcBorders>
            <w:shd w:fill="deea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 145150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Metāla izstrādājumi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4.2,5,6,7,8,12,13,19,115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459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8cce4" w:space="0" w:sz="7" w:val="single"/>
              <w:bottom w:color="b8cce4" w:space="0" w:sz="7" w:val="single"/>
              <w:right w:color="b8cce4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 69220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Alumīnija komponentes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4, 99.21, 99.22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8cce4" w:space="0" w:sz="7" w:val="single"/>
              <w:bottom w:color="b8cce4" w:space="0" w:sz="7" w:val="single"/>
              <w:right w:color="b8cce4" w:space="0" w:sz="7" w:val="single"/>
            </w:tcBorders>
            <w:shd w:fill="deea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 14849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LCB metāla komponentes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8cce4" w:space="0" w:sz="7" w:val="single"/>
              <w:bottom w:color="1f3864" w:space="0" w:sz="7" w:val="single"/>
              <w:right w:color="b8cce4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 8500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KOPĀ: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953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EU</w:t>
            </w: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R 23771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spacing w:after="120" w:before="28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1. Visparigie noteikumi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Šā iepirkuma nolikums regulē iepirkuma procedūru STORM ETKC BTS02 projekta vajadzībām saskaņā ar PIL un ES fondu vadibas normativajiem aktiem.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Finansejums: ES fondi caur ETKC. Attiecās visi ES fondu atbilstibas nosacijumi, t.sk. dokumentu glābāšānas prasibas 10 gadus pēc projekta noslēguma.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after="120" w:before="28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3. Pretendenta kvalifikacijas prasibas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Visparejas prasibas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 pasludināts maksatnespejas process vai likvid</w:t>
      </w:r>
      <w:r w:rsidDel="00000000" w:rsidR="00000000" w:rsidRPr="00000000">
        <w:rPr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cijas stadija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 VID nodoklu par</w:t>
      </w:r>
      <w:r w:rsidDel="00000000" w:rsidR="00000000" w:rsidRPr="00000000">
        <w:rPr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 &gt; EUR 150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 sod</w:t>
      </w:r>
      <w:r w:rsidDel="00000000" w:rsidR="00000000" w:rsidRPr="00000000">
        <w:rPr>
          <w:rtl w:val="0"/>
        </w:rPr>
        <w:t xml:space="preserve">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ts par noziedz</w:t>
      </w:r>
      <w:r w:rsidDel="00000000" w:rsidR="00000000" w:rsidRPr="00000000">
        <w:rPr>
          <w:rtl w:val="0"/>
        </w:rPr>
        <w:t xml:space="preserve">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 ieg</w:t>
      </w:r>
      <w:r w:rsidDel="00000000" w:rsidR="00000000" w:rsidRPr="00000000">
        <w:rPr>
          <w:rtl w:val="0"/>
        </w:rPr>
        <w:t xml:space="preserve">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 l</w:t>
      </w:r>
      <w:r w:rsidDel="00000000" w:rsidR="00000000" w:rsidRPr="00000000">
        <w:rPr>
          <w:rtl w:val="0"/>
        </w:rPr>
        <w:t xml:space="preserve">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dzek</w:t>
      </w:r>
      <w:r w:rsidDel="00000000" w:rsidR="00000000" w:rsidRPr="00000000">
        <w:rPr>
          <w:rtl w:val="0"/>
        </w:rPr>
        <w:t xml:space="preserve">ļ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legaliz</w:t>
      </w:r>
      <w:r w:rsidDel="00000000" w:rsidR="00000000" w:rsidRPr="00000000">
        <w:rPr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ciju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 interešu konflikta ar pas</w:t>
      </w:r>
      <w:r w:rsidDel="00000000" w:rsidR="00000000" w:rsidRPr="00000000">
        <w:rPr>
          <w:rtl w:val="0"/>
        </w:rPr>
        <w:t xml:space="preserve">ūtī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tl w:val="0"/>
        </w:rPr>
        <w:t xml:space="preserve">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 PIL izpratn</w:t>
      </w:r>
      <w:r w:rsidDel="00000000" w:rsidR="00000000" w:rsidRPr="00000000">
        <w:rPr>
          <w:rtl w:val="0"/>
        </w:rPr>
        <w:t xml:space="preserve">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Tehnisk</w:t>
      </w:r>
      <w:r w:rsidDel="00000000" w:rsidR="00000000" w:rsidRPr="00000000">
        <w:rPr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rtl w:val="0"/>
        </w:rPr>
        <w:t xml:space="preserve"> kapacit</w:t>
      </w:r>
      <w:r w:rsidDel="00000000" w:rsidR="00000000" w:rsidRPr="00000000">
        <w:rPr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rtl w:val="0"/>
        </w:rPr>
        <w:t xml:space="preserve">te un dokumenti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Min. 3 gadu pieredze attiecigās komponen</w:t>
      </w:r>
      <w:r w:rsidDel="00000000" w:rsidR="00000000" w:rsidRPr="00000000">
        <w:rPr>
          <w:rtl w:val="0"/>
        </w:rPr>
        <w:t xml:space="preserve">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piegadē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Min. 2 referen</w:t>
      </w:r>
      <w:r w:rsidDel="00000000" w:rsidR="00000000" w:rsidRPr="00000000">
        <w:rPr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darbi pēdējos 3 gados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Uznēmumu re</w:t>
      </w:r>
      <w:r w:rsidDel="00000000" w:rsidR="00000000" w:rsidRPr="00000000">
        <w:rPr>
          <w:rtl w:val="0"/>
        </w:rPr>
        <w:t xml:space="preserve">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istra izdruka (ne vecāka par 3 mēnēšiem)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 izzina par nodokļiem (ne vecāka par 1 mēnesi)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Materiālu sertifikātu apstiprinājums</w:t>
      </w:r>
    </w:p>
    <w:p w:rsidR="00000000" w:rsidDel="00000000" w:rsidP="00000000" w:rsidRDefault="00000000" w:rsidRPr="00000000" w14:paraId="0000005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spacing w:after="120" w:before="28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4. Piedavajuma iesniegšana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deeaf1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5B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Piedāvājumu termiņš: 2026-07-17 (min. 15 kalendāras dienas no publicēšanas EIS).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EIS: https://www.iub.gov.lv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Kontaktpersona: Rihards Dziedatajs | rihards@storm-adventures.com | +371 26 174 748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daļa - Kvalifikācija: visi sadajā 3. punktu dokumenti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daļa - Finansţu piedāvājums: aizpildīta BOM cenu tabula (Excel)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daļa - Aplieciņājumi: PIL 42. panta atbilst</w:t>
      </w:r>
      <w:r w:rsidDel="00000000" w:rsidR="00000000" w:rsidRPr="00000000">
        <w:rPr>
          <w:rtl w:val="0"/>
        </w:rPr>
        <w:t xml:space="preserve">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 aplieci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ājums</w:t>
      </w:r>
    </w:p>
    <w:p w:rsidR="00000000" w:rsidDel="00000000" w:rsidP="00000000" w:rsidRDefault="00000000" w:rsidRPr="00000000" w14:paraId="0000006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norādāma EUR bez PVN katrai BOM pozicījai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fikseta - nav pieļaujama indeksēšāna piegādes periodā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Jānorāda piegādes termiņš un piedāvājuma derīguma termiņš (min. 90 dienas)</w:t>
      </w:r>
    </w:p>
    <w:p w:rsidR="00000000" w:rsidDel="00000000" w:rsidP="00000000" w:rsidRDefault="00000000" w:rsidRPr="00000000" w14:paraId="0000006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spacing w:after="120" w:before="28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5. Vertešanas kriteriji</w:t>
      </w: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26"/>
        <w:gridCol w:w="1800"/>
        <w:gridCol w:w="3000"/>
        <w:tblGridChange w:id="0">
          <w:tblGrid>
            <w:gridCol w:w="4226"/>
            <w:gridCol w:w="180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Kriterijs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Svars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Metode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Piedāvātā cena (kopsumma bez PVN)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Zemākā cena = max; C_min/C_i x 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Piegādes termiņš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Īsākais = max; T_min/T_i x 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Kvalitātes sertifikāti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EN 10204 3.1=10pt; 2.2=5pt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Piedāvājuma piln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ī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gums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Komisijas vērtējums 0-10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spacing w:after="120" w:before="28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6. Pieg</w:t>
      </w:r>
      <w:r w:rsidDel="00000000" w:rsidR="00000000" w:rsidRPr="00000000">
        <w:rPr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rtl w:val="0"/>
        </w:rPr>
        <w:t xml:space="preserve">des un maks</w:t>
      </w:r>
      <w:r w:rsidDel="00000000" w:rsidR="00000000" w:rsidRPr="00000000">
        <w:rPr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rtl w:val="0"/>
        </w:rPr>
        <w:t xml:space="preserve">juma nosac</w:t>
      </w:r>
      <w:r w:rsidDel="00000000" w:rsidR="00000000" w:rsidRPr="00000000">
        <w:rPr>
          <w:rtl w:val="0"/>
        </w:rPr>
        <w:t xml:space="preserve">ī</w:t>
      </w:r>
      <w:r w:rsidDel="00000000" w:rsidR="00000000" w:rsidRPr="00000000">
        <w:rPr>
          <w:rFonts w:ascii="Arial" w:cs="Arial" w:eastAsia="Arial" w:hAnsi="Arial"/>
          <w:rtl w:val="0"/>
        </w:rPr>
        <w:t xml:space="preserve">jumi</w:t>
      </w: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226"/>
        <w:tblGridChange w:id="0">
          <w:tblGrid>
            <w:gridCol w:w="280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Piegādes nosacijumi: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EXW - piegādātāja noliktava (Incoterms 2020)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Piegādes termiņš: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Jānorāda piedāvājumā (kalen. dienas no pasūtījuma)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Maksājuma termiņš: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Pēc vienošanās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Kontakts: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Rihards Dziedatajs | rihards@storm-adventures.com | +371 26 174 748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spacing w:after="120" w:before="28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7. Ligums, garantija un ES fondu prasibas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tl w:val="0"/>
        </w:rPr>
        <w:t xml:space="preserve">īguma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nosl</w:t>
      </w:r>
      <w:r w:rsidDel="00000000" w:rsidR="00000000" w:rsidRPr="00000000">
        <w:rPr>
          <w:rtl w:val="0"/>
        </w:rPr>
        <w:t xml:space="preserve">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gšana 10 darba dienu laikā pēc rezultātu paziņošanas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Garantija: min. 24 mēneši no piegādes un pienēmšanas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Līgumsods: 0.1% no lotes vērtības par katru kavēto darba dienu, maks. 10%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fondi: dokumenti glābājami 10 gadus; revizijas pieejamība ETKC un CFLA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Publicitāte: uz rēķiniem un iepakojumā jānorāda ES fondu atzime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Dubultfinancēšana: piegādātājs apliecina, ka viens darbs nav finanseets no vairākiem ES fondiem</w:t>
      </w:r>
    </w:p>
    <w:p w:rsidR="00000000" w:rsidDel="00000000" w:rsidP="00000000" w:rsidRDefault="00000000" w:rsidRPr="00000000" w14:paraId="0000008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spacing w:after="120" w:before="28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8. Pielikumi</w:t>
      </w: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5526"/>
        <w:gridCol w:w="2800"/>
        <w:tblGridChange w:id="0">
          <w:tblGrid>
            <w:gridCol w:w="700"/>
            <w:gridCol w:w="5526"/>
            <w:gridCol w:w="2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Fails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Tehniскā spec. - Lote 1 PIMK (Metāla konstrukcijas)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555555"/>
                <w:sz w:val="21"/>
                <w:szCs w:val="21"/>
                <w:rtl w:val="0"/>
              </w:rPr>
              <w:t xml:space="preserve">SA-PI1-2026_Metala_Komponentes_BOM.xlsx - L1-PIMK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Tehniskā spec. - Lote 2 PIMI (Metāla izstrādājumi)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555555"/>
                <w:sz w:val="21"/>
                <w:szCs w:val="21"/>
                <w:rtl w:val="0"/>
              </w:rPr>
              <w:t xml:space="preserve">SA-PI1-2026_Metala_Komponentes_BOM.xlsx - L2-PIMI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Tehniскā spec. - Lote 3 PIMA (Alumīnija komponentes)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555555"/>
                <w:sz w:val="21"/>
                <w:szCs w:val="21"/>
                <w:rtl w:val="0"/>
              </w:rPr>
              <w:t xml:space="preserve">SA-PI1-2026_Metala_Komponentes_BOM.xlsx - L3-PIMA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Tehniскā spec. - Lote 4 PILC (LCB metāla komp.)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555555"/>
                <w:sz w:val="21"/>
                <w:szCs w:val="21"/>
                <w:rtl w:val="0"/>
              </w:rPr>
              <w:t xml:space="preserve">SA-PI1-2026_Metala_Komponentes_BOM.xlsx - L4-PILC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PIL 42. panta aplieciņājums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555555"/>
                <w:sz w:val="21"/>
                <w:szCs w:val="21"/>
                <w:rtl w:val="0"/>
              </w:rPr>
              <w:t xml:space="preserve">PIL42_Apliecinajums_SA-PI-2026.docx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Cenu piedāvājuma veidlapa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i w:val="1"/>
                <w:iCs w:val="1"/>
                <w:color w:val="555555"/>
                <w:sz w:val="21"/>
                <w:szCs w:val="21"/>
                <w:rtl w:val="0"/>
              </w:rPr>
              <w:t xml:space="preserve">SA-PI1-2026_Metala_Komponentes_BOM.xlsx - Finanšu kopsavilkums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0"/>
        <w:gridCol w:w="4626"/>
        <w:tblGridChange w:id="0">
          <w:tblGrid>
            <w:gridCol w:w="4400"/>
            <w:gridCol w:w="4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deea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A1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f3864"/>
                <w:sz w:val="22"/>
                <w:szCs w:val="22"/>
                <w:rtl w:val="0"/>
              </w:rPr>
              <w:t xml:space="preserve">Storm Adventures 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80" w:before="6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Rihards Dziedatajs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80" w:before="6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e75b6"/>
                <w:sz w:val="22"/>
                <w:szCs w:val="22"/>
                <w:rtl w:val="0"/>
              </w:rPr>
              <w:t xml:space="preserve">rihards@storm-adventures.com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80" w:before="6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+371 26 174 748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666666"/>
                <w:sz w:val="22"/>
                <w:szCs w:val="22"/>
                <w:rtl w:val="0"/>
              </w:rPr>
              <w:t xml:space="preserve">2026-07-02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ffffff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A6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Paraksts: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80" w:before="3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aaaaaa"/>
                <w:sz w:val="22"/>
                <w:szCs w:val="22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80" w:before="6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aaaaaa"/>
                <w:sz w:val="22"/>
                <w:szCs w:val="22"/>
                <w:rtl w:val="0"/>
              </w:rPr>
              <w:t xml:space="preserve">Datums: 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80" w:before="6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aaaaaa"/>
                <w:sz w:val="22"/>
                <w:szCs w:val="22"/>
                <w:rtl w:val="0"/>
              </w:rPr>
              <w:t xml:space="preserve">Zimogs: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080" w:top="1080" w:left="144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color="2e75b6" w:space="4" w:sz="4" w:val="single"/>
      </w:pBdr>
      <w:tabs>
        <w:tab w:val="right" w:leader="none" w:pos="9026"/>
      </w:tabs>
      <w:spacing w:after="0" w:before="100" w:lineRule="auto"/>
      <w:rPr/>
    </w:pPr>
    <w:r w:rsidDel="00000000" w:rsidR="00000000" w:rsidRPr="00000000">
      <w:rPr>
        <w:rFonts w:ascii="Arial" w:cs="Arial" w:eastAsia="Arial" w:hAnsi="Arial"/>
        <w:i w:val="1"/>
        <w:iCs w:val="1"/>
        <w:color w:val="888888"/>
        <w:sz w:val="16"/>
        <w:szCs w:val="16"/>
        <w:rtl w:val="0"/>
      </w:rPr>
      <w:t xml:space="preserve">Konfidencials - Storm Adventures SIA  |  STORM ETKC BTS02</w:t>
    </w: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SA-PI1-2026/ETKC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bottom w:color="2e75b6" w:space="4" w:sz="6" w:val="single"/>
      </w:pBdr>
      <w:tabs>
        <w:tab w:val="right" w:leader="none" w:pos="9026"/>
      </w:tabs>
      <w:spacing w:after="120" w:before="0" w:lineRule="auto"/>
      <w:rPr/>
    </w:pPr>
    <w:r w:rsidDel="00000000" w:rsidR="00000000" w:rsidRPr="00000000">
      <w:rPr>
        <w:rFonts w:ascii="Arial" w:cs="Arial" w:eastAsia="Arial" w:hAnsi="Arial"/>
        <w:b w:val="1"/>
        <w:bCs w:val="1"/>
        <w:color w:val="1f3864"/>
        <w:sz w:val="18"/>
        <w:szCs w:val="18"/>
        <w:rtl w:val="0"/>
      </w:rPr>
      <w:t xml:space="preserve">Storm Adventures SIA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Nolikums Nr. SA-PI1-2026/ETKC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*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2e75b6" w:space="4" w:sz="6" w:val="single"/>
        <w:right w:space="0" w:sz="0" w:val="nil"/>
        <w:between w:space="0" w:sz="0" w:val="nil"/>
      </w:pBdr>
      <w:shd w:fill="auto" w:val="clear"/>
      <w:spacing w:after="16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3864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EdibRL53yujMIo0Wy89sFgqyaw==">CgMxLjA4AHIhMWZmdlpMbDQtWThGdGt0cS1fY0pXZTlSckp4Q21qaUlj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