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hemeFill="background1"/>
        <w:spacing w:before="0" w:after="0"/>
        <w:jc w:val="end"/>
        <w:rPr>
          <w:rFonts w:ascii="Times New Roman" w:hAnsi="Times New Roman" w:eastAsia="Times New Roman"/>
          <w:b/>
          <w:bCs/>
          <w:color w:themeColor="text1" w:val="000000"/>
          <w:sz w:val="32"/>
          <w:szCs w:val="32"/>
          <w:lang w:val="lv-LV"/>
        </w:rPr>
      </w:pPr>
      <w:r>
        <w:rPr>
          <w:rFonts w:eastAsia="Times New Roman" w:ascii="Times New Roman" w:hAnsi="Times New Roman"/>
          <w:b/>
          <w:bCs/>
          <w:color w:themeColor="text1" w:val="000000"/>
          <w:sz w:val="32"/>
          <w:szCs w:val="32"/>
          <w:lang w:val="lv-LV"/>
        </w:rPr>
      </w:r>
    </w:p>
    <w:p>
      <w:pPr>
        <w:pStyle w:val="Normal"/>
        <w:spacing w:before="0" w:after="0"/>
        <w:jc w:val="center"/>
        <w:rPr>
          <w:rFonts w:ascii="Times New Roman" w:hAnsi="Times New Roman"/>
        </w:rPr>
      </w:pPr>
      <w:r>
        <w:rPr>
          <w:rFonts w:eastAsia="Times New Roman" w:ascii="Times New Roman" w:hAnsi="Times New Roman"/>
          <w:b/>
          <w:bCs/>
          <w:color w:themeColor="text1" w:val="000000"/>
          <w:sz w:val="32"/>
          <w:szCs w:val="32"/>
          <w:lang w:val="lv-LV"/>
        </w:rPr>
        <w:t>IEPIRKUMA</w:t>
      </w:r>
    </w:p>
    <w:p>
      <w:pPr>
        <w:pStyle w:val="Normal"/>
        <w:shd w:val="clear" w:color="auto" w:fill="FFFFFF" w:themeFill="background1"/>
        <w:spacing w:lineRule="auto" w:line="312" w:before="120" w:after="60"/>
        <w:ind w:hanging="0" w:start="-20" w:end="-20"/>
        <w:jc w:val="center"/>
        <w:rPr>
          <w:rFonts w:ascii="Times New Roman" w:hAnsi="Times New Roman"/>
          <w:sz w:val="24"/>
          <w:szCs w:val="24"/>
        </w:rPr>
      </w:pPr>
      <w:r>
        <w:rPr>
          <w:rFonts w:eastAsia="Times New Roman" w:ascii="Times New Roman" w:hAnsi="Times New Roman"/>
          <w:b/>
          <w:bCs/>
          <w:color w:themeColor="text1" w:val="000000"/>
          <w:sz w:val="24"/>
          <w:szCs w:val="24"/>
          <w:lang w:val="lv-LV"/>
        </w:rPr>
        <w:t>“</w:t>
      </w:r>
      <w:r>
        <w:rPr>
          <w:rFonts w:eastAsia="Times New Roman" w:ascii="Times New Roman" w:hAnsi="Times New Roman"/>
          <w:b/>
          <w:bCs/>
          <w:color w:themeColor="text1" w:val="000000"/>
          <w:sz w:val="24"/>
          <w:szCs w:val="24"/>
          <w:lang w:val="lv-LV"/>
        </w:rPr>
        <w:t>Mākslīgā intelekta risinājums Sistēmu izstrādes dzīves cikla atbalstam” izstrāde un ieviešana</w:t>
      </w:r>
    </w:p>
    <w:p>
      <w:pPr>
        <w:pStyle w:val="Normal"/>
        <w:shd w:val="clear" w:color="auto" w:fill="FFFFFF" w:themeFill="background1"/>
        <w:jc w:val="center"/>
        <w:rPr>
          <w:rFonts w:ascii="Times New Roman" w:hAnsi="Times New Roman" w:eastAsia="Times New Roman"/>
          <w:sz w:val="24"/>
          <w:szCs w:val="24"/>
          <w:lang w:val="lv-LV"/>
        </w:rPr>
      </w:pPr>
      <w:r>
        <w:rPr>
          <w:rFonts w:eastAsia="Times New Roman" w:ascii="Times New Roman" w:hAnsi="Times New Roman"/>
          <w:sz w:val="24"/>
          <w:szCs w:val="24"/>
          <w:lang w:val="lv-LV"/>
        </w:rPr>
      </w:r>
    </w:p>
    <w:p>
      <w:pPr>
        <w:pStyle w:val="Normal"/>
        <w:ind w:hanging="0" w:start="-20" w:end="-20"/>
        <w:jc w:val="center"/>
        <w:rPr>
          <w:rFonts w:ascii="Times New Roman" w:hAnsi="Times New Roman"/>
        </w:rPr>
      </w:pPr>
      <w:r>
        <w:rPr>
          <w:rFonts w:eastAsia="Times New Roman" w:ascii="Times New Roman" w:hAnsi="Times New Roman"/>
          <w:color w:themeColor="text1" w:val="000000"/>
          <w:lang w:val="lv-LV"/>
        </w:rPr>
        <w:t xml:space="preserve">(iepirkuma identifikācijas numurs </w:t>
      </w:r>
      <w:r>
        <w:rPr>
          <w:rFonts w:eastAsia="Times New Roman" w:cs="Times New Roman" w:ascii="Times New Roman" w:hAnsi="Times New Roman"/>
          <w:b/>
          <w:color w:themeColor="text1" w:val="000000"/>
          <w:sz w:val="24"/>
          <w:lang w:val="lv-LV"/>
        </w:rPr>
        <w:t>AG2-26</w:t>
      </w:r>
      <w:r>
        <w:rPr>
          <w:rFonts w:eastAsia="Times New Roman" w:ascii="Times New Roman" w:hAnsi="Times New Roman"/>
          <w:color w:themeColor="text1" w:val="000000"/>
          <w:lang w:val="lv-LV"/>
        </w:rPr>
        <w:t>)</w:t>
      </w:r>
    </w:p>
    <w:p>
      <w:pPr>
        <w:pStyle w:val="Normal"/>
        <w:shd w:val="clear" w:color="auto" w:fill="FFFFFF" w:themeFill="background1"/>
        <w:spacing w:before="120" w:after="60"/>
        <w:ind w:hanging="0" w:end="-20"/>
        <w:rPr>
          <w:rFonts w:ascii="Times New Roman" w:hAnsi="Times New Roman" w:eastAsia="Times New Roman"/>
          <w:lang w:val="lv-LV"/>
        </w:rPr>
      </w:pPr>
      <w:r>
        <w:rPr>
          <w:rFonts w:eastAsia="Times New Roman" w:ascii="Times New Roman" w:hAnsi="Times New Roman"/>
          <w:lang w:val="lv-LV"/>
        </w:rPr>
      </w:r>
    </w:p>
    <w:p>
      <w:pPr>
        <w:pStyle w:val="Normal"/>
        <w:shd w:val="clear" w:color="auto" w:fill="FFFFFF" w:themeFill="background1"/>
        <w:spacing w:before="120" w:after="60"/>
        <w:ind w:hanging="0" w:start="-20" w:end="-20"/>
        <w:jc w:val="center"/>
        <w:rPr>
          <w:rFonts w:ascii="Times New Roman" w:hAnsi="Times New Roman"/>
        </w:rPr>
      </w:pPr>
      <w:r>
        <w:rPr>
          <w:rFonts w:eastAsia="Times New Roman" w:ascii="Times New Roman" w:hAnsi="Times New Roman"/>
          <w:b/>
          <w:bCs/>
          <w:color w:themeColor="text1" w:val="000000"/>
          <w:sz w:val="32"/>
          <w:szCs w:val="32"/>
          <w:lang w:val="lv-LV"/>
        </w:rPr>
        <w:t>NOLIKUMS</w:t>
      </w:r>
    </w:p>
    <w:p>
      <w:pPr>
        <w:pStyle w:val="Normal"/>
        <w:shd w:val="clear" w:color="auto" w:fill="FFFFFF" w:themeFill="background1"/>
        <w:spacing w:before="120" w:after="60"/>
        <w:ind w:hanging="0" w:start="-20" w:end="-20"/>
        <w:jc w:val="center"/>
        <w:rPr>
          <w:rFonts w:ascii="Times New Roman" w:hAnsi="Times New Roman" w:eastAsia="Times New Roman"/>
          <w:lang w:val="lv-LV"/>
        </w:rPr>
      </w:pPr>
      <w:r>
        <w:rPr>
          <w:rFonts w:eastAsia="Times New Roman" w:ascii="Times New Roman" w:hAnsi="Times New Roman"/>
          <w:lang w:val="lv-LV"/>
        </w:rPr>
      </w:r>
    </w:p>
    <w:p>
      <w:pPr>
        <w:pStyle w:val="Normal"/>
        <w:shd w:val="clear" w:color="auto" w:fill="FFFFFF" w:themeFill="background1"/>
        <w:spacing w:before="120" w:after="60"/>
        <w:ind w:hanging="0" w:start="0" w:end="-20"/>
        <w:jc w:val="center"/>
        <w:rPr/>
      </w:pPr>
      <w:r>
        <w:rPr/>
      </w:r>
    </w:p>
    <w:p>
      <w:pPr>
        <w:pStyle w:val="Normal"/>
        <w:widowControl/>
        <w:spacing w:lineRule="auto" w:line="259" w:before="0" w:after="160"/>
        <w:rPr>
          <w:rFonts w:ascii="Times New Roman" w:hAnsi="Times New Roman" w:eastAsia="Times New Roman"/>
          <w:sz w:val="24"/>
          <w:szCs w:val="24"/>
          <w:lang w:val="lv-LV"/>
        </w:rPr>
      </w:pPr>
      <w:r>
        <w:rPr>
          <w:rFonts w:eastAsia="Times New Roman" w:ascii="Times New Roman" w:hAnsi="Times New Roman"/>
          <w:sz w:val="24"/>
          <w:szCs w:val="24"/>
          <w:lang w:val="lv-LV"/>
        </w:rPr>
      </w:r>
    </w:p>
    <w:p>
      <w:pPr>
        <w:pStyle w:val="Normal"/>
        <w:tabs>
          <w:tab w:val="clear" w:pos="720"/>
          <w:tab w:val="left" w:pos="264" w:leader="none"/>
        </w:tabs>
        <w:spacing w:lineRule="auto" w:line="252" w:before="0" w:after="120"/>
        <w:ind w:hanging="0" w:start="420" w:end="198"/>
        <w:jc w:val="center"/>
        <w:rPr>
          <w:rFonts w:ascii="Times New Roman" w:hAnsi="Times New Roman"/>
        </w:rPr>
      </w:pPr>
      <w:r>
        <w:rPr>
          <w:rFonts w:eastAsia="Times New Roman" w:ascii="Times New Roman" w:hAnsi="Times New Roman"/>
          <w:b/>
          <w:bCs/>
          <w:sz w:val="24"/>
          <w:szCs w:val="24"/>
          <w:lang w:val="lv-LV"/>
        </w:rPr>
        <w:t>VISPĀRĪGĀ INFORMĀCIJA</w:t>
      </w:r>
    </w:p>
    <w:p>
      <w:pPr>
        <w:pStyle w:val="ListParagraph"/>
        <w:numPr>
          <w:ilvl w:val="0"/>
          <w:numId w:val="1"/>
        </w:numPr>
        <w:spacing w:lineRule="auto" w:line="252"/>
        <w:ind w:hanging="426" w:start="426" w:end="-20"/>
        <w:jc w:val="both"/>
        <w:rPr>
          <w:rFonts w:ascii="Times New Roman" w:hAnsi="Times New Roman"/>
        </w:rPr>
      </w:pPr>
      <w:r>
        <w:rPr>
          <w:b/>
          <w:bCs/>
        </w:rPr>
        <w:t>Iepirkuma procedūras veids, nosaukums, identifikācijas numurs:</w:t>
      </w:r>
    </w:p>
    <w:p>
      <w:pPr>
        <w:pStyle w:val="Normal"/>
        <w:spacing w:lineRule="auto" w:line="252" w:before="0" w:after="0"/>
        <w:jc w:val="both"/>
        <w:rPr>
          <w:rFonts w:ascii="Times New Roman" w:hAnsi="Times New Roman"/>
        </w:rPr>
      </w:pPr>
      <w:r>
        <w:rPr>
          <w:rFonts w:eastAsia="Times New Roman" w:ascii="Times New Roman" w:hAnsi="Times New Roman"/>
          <w:sz w:val="24"/>
          <w:szCs w:val="24"/>
          <w:lang w:val="lv-LV"/>
        </w:rPr>
        <w:t xml:space="preserve">Ieprikuma  "Mākslīgā intelekta risinājums Sistēmu izstrādes dzīves cikla atbalstam"  izstrāde, ieviešanas atbalsts iepirkuma identifikācijas Nr. </w:t>
      </w:r>
      <w:r>
        <w:rPr>
          <w:rFonts w:eastAsia="Times New Roman" w:cs="Times New Roman" w:ascii="Times New Roman" w:hAnsi="Times New Roman"/>
          <w:b/>
          <w:color w:themeColor="text1" w:val="000000"/>
          <w:sz w:val="24"/>
          <w:szCs w:val="24"/>
          <w:lang w:val="lv-LV"/>
        </w:rPr>
        <w:t>AG2-26</w:t>
      </w:r>
      <w:r>
        <w:rPr>
          <w:rFonts w:eastAsia="Times New Roman" w:ascii="Times New Roman" w:hAnsi="Times New Roman"/>
          <w:sz w:val="24"/>
          <w:szCs w:val="24"/>
          <w:lang w:val="lv-LV"/>
        </w:rPr>
        <w:t xml:space="preserve"> (turpmāk – iepirkums) saskaņā ar Rīgā 2017. gada 28. februārī Ministru kabineta noteikumiem Nr. 104 “Noteikumi par iepirkuma procedūru un tās piemērošanas kārtību pasūtītāja finansētiem projektiem”</w:t>
      </w:r>
    </w:p>
    <w:p>
      <w:pPr>
        <w:pStyle w:val="ListParagraph"/>
        <w:numPr>
          <w:ilvl w:val="1"/>
          <w:numId w:val="4"/>
        </w:numPr>
        <w:tabs>
          <w:tab w:val="clear" w:pos="720"/>
          <w:tab w:val="left" w:pos="567" w:leader="none"/>
        </w:tabs>
        <w:spacing w:lineRule="auto" w:line="252"/>
        <w:ind w:hanging="426" w:start="426" w:end="-20"/>
        <w:jc w:val="both"/>
        <w:rPr>
          <w:rFonts w:ascii="Times New Roman" w:hAnsi="Times New Roman"/>
        </w:rPr>
      </w:pPr>
      <w:r>
        <w:rPr>
          <w:b/>
          <w:bCs/>
        </w:rPr>
        <w:t>Pasūtītājs:</w:t>
      </w:r>
    </w:p>
    <w:tbl>
      <w:tblPr>
        <w:tblW w:w="8907" w:type="dxa"/>
        <w:jc w:val="start"/>
        <w:tblInd w:w="135" w:type="dxa"/>
        <w:tblLayout w:type="fixed"/>
        <w:tblCellMar>
          <w:top w:w="0" w:type="dxa"/>
          <w:start w:w="108" w:type="dxa"/>
          <w:bottom w:w="0" w:type="dxa"/>
          <w:end w:w="108" w:type="dxa"/>
        </w:tblCellMar>
        <w:tblLook w:val="04a0" w:firstRow="1" w:noVBand="1" w:lastRow="0" w:firstColumn="1" w:lastColumn="0" w:noHBand="0"/>
      </w:tblPr>
      <w:tblGrid>
        <w:gridCol w:w="2502"/>
        <w:gridCol w:w="6405"/>
      </w:tblGrid>
      <w:tr>
        <w:trPr>
          <w:trHeight w:val="300" w:hRule="atLeast"/>
        </w:trPr>
        <w:tc>
          <w:tcPr>
            <w:tcW w:w="2502"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color w:themeColor="text1" w:val="000000"/>
                <w:sz w:val="24"/>
                <w:szCs w:val="24"/>
                <w:lang w:val="lv-LV"/>
              </w:rPr>
              <w:t>Nosaukums</w:t>
            </w:r>
          </w:p>
        </w:tc>
        <w:tc>
          <w:tcPr>
            <w:tcW w:w="6405"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color w:themeColor="text1" w:val="000000"/>
                <w:sz w:val="24"/>
                <w:szCs w:val="24"/>
                <w:lang w:val="lv-LV"/>
              </w:rPr>
              <w:t>SIA “Agile &amp; CO”</w:t>
            </w:r>
          </w:p>
        </w:tc>
      </w:tr>
      <w:tr>
        <w:trPr>
          <w:trHeight w:val="300" w:hRule="atLeast"/>
        </w:trPr>
        <w:tc>
          <w:tcPr>
            <w:tcW w:w="2502"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color w:themeColor="text1" w:val="000000"/>
                <w:sz w:val="24"/>
                <w:szCs w:val="24"/>
                <w:lang w:val="lv-LV"/>
              </w:rPr>
              <w:t>Adrese</w:t>
            </w:r>
          </w:p>
        </w:tc>
        <w:tc>
          <w:tcPr>
            <w:tcW w:w="6405"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sz w:val="24"/>
                <w:szCs w:val="24"/>
                <w:lang w:val="lv-LV"/>
              </w:rPr>
              <w:t>Marijas 2A, Spices, Rīga  LV-1010</w:t>
            </w:r>
          </w:p>
        </w:tc>
      </w:tr>
      <w:tr>
        <w:trPr>
          <w:trHeight w:val="300" w:hRule="atLeast"/>
        </w:trPr>
        <w:tc>
          <w:tcPr>
            <w:tcW w:w="2502"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color w:themeColor="text1" w:val="000000"/>
                <w:sz w:val="24"/>
                <w:szCs w:val="24"/>
                <w:lang w:val="lv-LV"/>
              </w:rPr>
              <w:t>Reģistrācijas numurs</w:t>
            </w:r>
          </w:p>
        </w:tc>
        <w:tc>
          <w:tcPr>
            <w:tcW w:w="6405"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sz w:val="24"/>
                <w:szCs w:val="24"/>
                <w:lang w:val="lv-LV"/>
              </w:rPr>
              <w:t>40003939574</w:t>
            </w:r>
          </w:p>
        </w:tc>
      </w:tr>
      <w:tr>
        <w:trPr>
          <w:trHeight w:val="360" w:hRule="atLeast"/>
        </w:trPr>
        <w:tc>
          <w:tcPr>
            <w:tcW w:w="2502"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rFonts w:ascii="Times New Roman" w:hAnsi="Times New Roman"/>
              </w:rPr>
            </w:pPr>
            <w:r>
              <w:rPr>
                <w:rFonts w:eastAsia="Times New Roman" w:ascii="Times New Roman" w:hAnsi="Times New Roman"/>
                <w:color w:themeColor="text1" w:val="000000"/>
                <w:sz w:val="24"/>
                <w:szCs w:val="24"/>
                <w:lang w:val="lv-LV"/>
              </w:rPr>
              <w:t>E-pasta adrese</w:t>
            </w:r>
          </w:p>
        </w:tc>
        <w:tc>
          <w:tcPr>
            <w:tcW w:w="6405" w:type="dxa"/>
            <w:tcBorders>
              <w:top w:val="dotted" w:sz="8" w:space="0" w:color="000000"/>
              <w:start w:val="dotted" w:sz="8" w:space="0" w:color="000000"/>
              <w:bottom w:val="dotted" w:sz="8" w:space="0" w:color="000000"/>
              <w:end w:val="dotted" w:sz="8" w:space="0" w:color="000000"/>
            </w:tcBorders>
          </w:tcPr>
          <w:p>
            <w:pPr>
              <w:pStyle w:val="Normal"/>
              <w:widowControl w:val="false"/>
              <w:tabs>
                <w:tab w:val="clear" w:pos="720"/>
                <w:tab w:val="left" w:pos="426" w:leader="none"/>
              </w:tabs>
              <w:spacing w:lineRule="auto" w:line="252" w:before="0" w:after="0"/>
              <w:ind w:hanging="0" w:start="-20" w:end="-20"/>
              <w:jc w:val="both"/>
              <w:rPr/>
            </w:pPr>
            <w:r>
              <w:rPr>
                <w:rStyle w:val="Hyperlink"/>
                <w:rFonts w:eastAsia="Times New Roman" w:ascii="Times New Roman" w:hAnsi="Times New Roman"/>
                <w:sz w:val="24"/>
                <w:szCs w:val="24"/>
                <w:lang w:val="lv-LV"/>
              </w:rPr>
              <w:t>info@agile.lv</w:t>
            </w:r>
          </w:p>
        </w:tc>
      </w:tr>
    </w:tbl>
    <w:p>
      <w:pPr>
        <w:pStyle w:val="ListParagraph"/>
        <w:numPr>
          <w:ilvl w:val="1"/>
          <w:numId w:val="4"/>
        </w:numPr>
        <w:spacing w:lineRule="auto" w:line="252"/>
        <w:ind w:hanging="426" w:start="426" w:end="-20"/>
        <w:jc w:val="both"/>
        <w:rPr>
          <w:rFonts w:ascii="Times New Roman" w:hAnsi="Times New Roman"/>
        </w:rPr>
      </w:pPr>
      <w:r>
        <w:rPr>
          <w:b/>
          <w:bCs/>
        </w:rPr>
        <w:t>Finansējuma avots:</w:t>
      </w:r>
    </w:p>
    <w:p>
      <w:pPr>
        <w:pStyle w:val="ListParagraph"/>
        <w:numPr>
          <w:ilvl w:val="2"/>
          <w:numId w:val="4"/>
        </w:numPr>
        <w:spacing w:lineRule="auto" w:line="252"/>
        <w:ind w:hanging="567" w:start="567"/>
        <w:jc w:val="both"/>
        <w:rPr>
          <w:rFonts w:ascii="Times New Roman" w:hAnsi="Times New Roman"/>
        </w:rPr>
      </w:pPr>
      <w:r>
        <w:rPr/>
        <w:t>Iepirkuma līgums tiks finansēts atbilstoši Eiropas Savienības kohēzijas politikas programmas 2021.–2027. gadam 1.2.2. specifiskā atbalsta mērķa "Izmantot digitalizācijas priekšrocības uzņēmējdarbības attīstībai" 1.2.2.1. pasākuma "Atbalsts procesu digitalizācijai komercdarbībā" noteikumiem.</w:t>
      </w:r>
    </w:p>
    <w:p>
      <w:pPr>
        <w:pStyle w:val="ListParagraph"/>
        <w:numPr>
          <w:ilvl w:val="1"/>
          <w:numId w:val="4"/>
        </w:numPr>
        <w:spacing w:lineRule="auto" w:line="252"/>
        <w:ind w:hanging="426" w:start="426" w:end="-20"/>
        <w:jc w:val="both"/>
        <w:rPr>
          <w:rFonts w:ascii="Times New Roman" w:hAnsi="Times New Roman"/>
        </w:rPr>
      </w:pPr>
      <w:r>
        <w:rPr>
          <w:b/>
          <w:bCs/>
        </w:rPr>
        <w:t xml:space="preserve"> </w:t>
      </w:r>
      <w:r>
        <w:rPr>
          <w:b/>
          <w:bCs/>
        </w:rPr>
        <w:t>Pretendenti:</w:t>
      </w:r>
    </w:p>
    <w:p>
      <w:pPr>
        <w:pStyle w:val="ListParagraph"/>
        <w:numPr>
          <w:ilvl w:val="2"/>
          <w:numId w:val="4"/>
        </w:numPr>
        <w:spacing w:lineRule="auto" w:line="252"/>
        <w:ind w:hanging="567" w:start="567"/>
        <w:jc w:val="both"/>
        <w:rPr>
          <w:rFonts w:ascii="Times New Roman" w:hAnsi="Times New Roman"/>
        </w:rPr>
      </w:pPr>
      <w:r>
        <w:rPr/>
        <w:t>Iepirkuma procedūrā var piedalīties jebkura juridiskā persona, vai šādu personu apvienība jebkurā to kombinācijā (turpmāk – piegādātāju apvienība), kas atbilst iepirkuma procedūras dokumentācijā izvirzītajām prasībām.</w:t>
      </w:r>
    </w:p>
    <w:p>
      <w:pPr>
        <w:pStyle w:val="ListParagraph"/>
        <w:numPr>
          <w:ilvl w:val="1"/>
          <w:numId w:val="4"/>
        </w:numPr>
        <w:spacing w:lineRule="auto" w:line="252"/>
        <w:ind w:hanging="426" w:start="426" w:end="-20"/>
        <w:jc w:val="both"/>
        <w:rPr>
          <w:rFonts w:ascii="Times New Roman" w:hAnsi="Times New Roman"/>
        </w:rPr>
      </w:pPr>
      <w:r>
        <w:rPr>
          <w:b/>
          <w:bCs/>
        </w:rPr>
        <w:t xml:space="preserve"> </w:t>
      </w:r>
      <w:r>
        <w:rPr>
          <w:b/>
          <w:bCs/>
        </w:rPr>
        <w:t>Informācijas apmaiņas kārtība</w:t>
      </w:r>
    </w:p>
    <w:p>
      <w:pPr>
        <w:pStyle w:val="ListParagraph"/>
        <w:numPr>
          <w:ilvl w:val="2"/>
          <w:numId w:val="4"/>
        </w:numPr>
        <w:spacing w:lineRule="auto" w:line="252"/>
        <w:ind w:hanging="567" w:start="567"/>
        <w:jc w:val="both"/>
        <w:rPr>
          <w:rFonts w:ascii="Times New Roman" w:hAnsi="Times New Roman"/>
        </w:rPr>
      </w:pPr>
      <w:r>
        <w:rPr>
          <w:color w:themeColor="text1" w:val="000000"/>
        </w:rPr>
        <w:t>Informācijas apmaiņa starp Pasūtītāju un Pretendentu notiek rakstveidā, saņemot jautājumus uz Pasūtītāja e-pastu. Atbildes tiek publicētas iub.gov.lv mājas lapā.</w:t>
      </w:r>
      <w:r>
        <w:rPr/>
        <w:t xml:space="preserve"> Papildu informāciju par iepirkuma procedūras dokumentos iekļautajām prasībām Pretendents pieprasa rakstveidā latviešu valodā, </w:t>
      </w:r>
      <w:r>
        <w:rPr>
          <w:color w:themeColor="text1" w:val="000000"/>
        </w:rPr>
        <w:t>iesniedzot</w:t>
      </w:r>
      <w:r>
        <w:rPr/>
        <w:t xml:space="preserve"> papildu informācijas pieprasījumu Pasūtītājam. Pieprasījumā norāda iepirkuma identifikācijas numuru un iepirkuma nosaukumu. Jautajumi kas tiks noformēti neatbilstoši, netiks izskatīti.</w:t>
      </w:r>
    </w:p>
    <w:p>
      <w:pPr>
        <w:pStyle w:val="ListParagraph"/>
        <w:numPr>
          <w:ilvl w:val="1"/>
          <w:numId w:val="4"/>
        </w:numPr>
        <w:spacing w:lineRule="auto" w:line="252"/>
        <w:ind w:hanging="426" w:start="426" w:end="-20"/>
        <w:jc w:val="both"/>
        <w:rPr>
          <w:rFonts w:ascii="Times New Roman" w:hAnsi="Times New Roman"/>
        </w:rPr>
      </w:pPr>
      <w:r>
        <w:rPr>
          <w:b/>
          <w:bCs/>
        </w:rPr>
        <w:t xml:space="preserve"> </w:t>
      </w:r>
      <w:r>
        <w:rPr>
          <w:b/>
          <w:bCs/>
        </w:rPr>
        <w:t>Iepirkuma Nolikuma saņemšana</w:t>
      </w:r>
    </w:p>
    <w:p>
      <w:pPr>
        <w:pStyle w:val="ListParagraph"/>
        <w:numPr>
          <w:ilvl w:val="2"/>
          <w:numId w:val="4"/>
        </w:numPr>
        <w:spacing w:lineRule="auto" w:line="252"/>
        <w:ind w:hanging="567" w:start="567"/>
        <w:jc w:val="both"/>
        <w:rPr>
          <w:rFonts w:ascii="Times New Roman" w:hAnsi="Times New Roman"/>
        </w:rPr>
      </w:pPr>
      <w:r>
        <w:rPr/>
        <w:t xml:space="preserve">Pasūtītājs nodrošina brīvu un tiešu elektronisku pieeju iepirkuma dokumentiem Elektronisko paziņojumu sistēmā (https://eforms.pvs.iub.gov.lv/). Piegādātāji ar nolikumu var iepazīties un lejupielādēt to </w:t>
      </w:r>
      <w:r>
        <w:rPr>
          <w:color w:themeColor="text1" w:val="000000"/>
        </w:rPr>
        <w:t xml:space="preserve">līdz </w:t>
      </w:r>
      <w:bookmarkStart w:id="0" w:name="_Hlk150765197"/>
      <w:r>
        <w:rPr>
          <w:color w:themeColor="text1" w:val="000000"/>
        </w:rPr>
        <w:t>piedāvājumu iesniegšanas termiņam</w:t>
      </w:r>
      <w:bookmarkEnd w:id="0"/>
      <w:r>
        <w:rPr>
          <w:color w:themeColor="text1" w:val="000000"/>
        </w:rPr>
        <w:t>.</w:t>
      </w:r>
    </w:p>
    <w:p>
      <w:pPr>
        <w:pStyle w:val="ListParagraph"/>
        <w:numPr>
          <w:ilvl w:val="2"/>
          <w:numId w:val="4"/>
        </w:numPr>
        <w:spacing w:lineRule="auto" w:line="252"/>
        <w:ind w:hanging="567" w:start="567"/>
        <w:jc w:val="both"/>
        <w:rPr>
          <w:rFonts w:ascii="Times New Roman" w:hAnsi="Times New Roman"/>
        </w:rPr>
      </w:pPr>
      <w:r>
        <w:rPr/>
        <w:t>Pretendents uzņemas atbildību sekot līdzi Pasūtitāja sniegtajai papildu informācijai, kas tiek publicēta. Iepirkuma komisija nav atbildīga par to, ja kāda ieinteresētā persona nav iepazinusies ar informāciju, kurai ir nodrošināta brīva un tieša elektroniskā pieeja.</w:t>
      </w:r>
    </w:p>
    <w:p>
      <w:pPr>
        <w:pStyle w:val="ListParagraph"/>
        <w:numPr>
          <w:ilvl w:val="1"/>
          <w:numId w:val="4"/>
        </w:numPr>
        <w:spacing w:lineRule="auto" w:line="252"/>
        <w:ind w:hanging="426" w:start="426" w:end="-20"/>
        <w:jc w:val="both"/>
        <w:rPr>
          <w:rFonts w:ascii="Times New Roman" w:hAnsi="Times New Roman"/>
        </w:rPr>
      </w:pPr>
      <w:r>
        <w:rPr>
          <w:b/>
          <w:bCs/>
        </w:rPr>
        <w:t xml:space="preserve"> </w:t>
      </w:r>
      <w:r>
        <w:rPr>
          <w:b/>
          <w:bCs/>
        </w:rPr>
        <w:t>Papildu informācijas sniegšana</w:t>
      </w:r>
    </w:p>
    <w:p>
      <w:pPr>
        <w:pStyle w:val="ListParagraph"/>
        <w:numPr>
          <w:ilvl w:val="2"/>
          <w:numId w:val="4"/>
        </w:numPr>
        <w:spacing w:lineRule="auto" w:line="252"/>
        <w:ind w:hanging="567" w:start="567"/>
        <w:jc w:val="both"/>
        <w:rPr>
          <w:rFonts w:ascii="Times New Roman" w:hAnsi="Times New Roman"/>
        </w:rPr>
      </w:pPr>
      <w:r>
        <w:rPr/>
        <w:t>Pretendents var piedāvāt precizēt darba uzdevumus iesniedzot priekšlikumus Pasūtītājam. J</w:t>
      </w:r>
      <w:r>
        <w:rPr/>
        <w:t>a Pretendents ir laikus pieprasījis papildu informāciju par iepirkuma procedūras dokumentos iekļautajām prasībām attiecībā uz piedāvājuma sagatavošanu un iesniegšanu vai Pretendentu atlasi, iepirkuma komisija to sniedz 5 (piecu) darbdienu laikā, bet ne vēlāk kā 6 (sešas) dienas pirms piedāvājumu iesniegšanas termiņa beigām.</w:t>
      </w:r>
    </w:p>
    <w:p>
      <w:pPr>
        <w:pStyle w:val="ListParagraph"/>
        <w:numPr>
          <w:ilvl w:val="2"/>
          <w:numId w:val="4"/>
        </w:numPr>
        <w:spacing w:lineRule="auto" w:line="252"/>
        <w:ind w:hanging="567" w:start="567"/>
        <w:jc w:val="both"/>
        <w:rPr>
          <w:rFonts w:ascii="Times New Roman" w:hAnsi="Times New Roman"/>
        </w:rPr>
      </w:pPr>
      <w:r>
        <w:rPr/>
        <w:t xml:space="preserve">Papildu informāciju  </w:t>
      </w:r>
      <w:r>
        <w:rPr/>
        <w:t xml:space="preserve">vai darba uzdevuma precizējumus </w:t>
      </w:r>
      <w:r>
        <w:rPr/>
        <w:t>iepirkuma komisija nosūta Pretendentam, kas uzdevis jautājumu, un vienlaikus ievieto šo informāciju IUB profilā.</w:t>
      </w:r>
    </w:p>
    <w:p>
      <w:pPr>
        <w:pStyle w:val="ListParagraph"/>
        <w:numPr>
          <w:ilvl w:val="1"/>
          <w:numId w:val="4"/>
        </w:numPr>
        <w:spacing w:lineRule="auto" w:line="252"/>
        <w:ind w:hanging="426" w:start="426" w:end="-20"/>
        <w:jc w:val="both"/>
        <w:rPr>
          <w:rFonts w:ascii="Times New Roman" w:hAnsi="Times New Roman"/>
        </w:rPr>
      </w:pPr>
      <w:r>
        <w:rPr>
          <w:b/>
          <w:bCs/>
        </w:rPr>
        <w:t xml:space="preserve">Prasības piedāvājuma iesniegšanai un noformējumam </w:t>
      </w:r>
    </w:p>
    <w:p>
      <w:pPr>
        <w:pStyle w:val="ListParagraph"/>
        <w:numPr>
          <w:ilvl w:val="2"/>
          <w:numId w:val="4"/>
        </w:numPr>
        <w:spacing w:lineRule="auto" w:line="252"/>
        <w:ind w:hanging="567" w:start="567"/>
        <w:jc w:val="both"/>
        <w:rPr>
          <w:rFonts w:ascii="Times New Roman" w:hAnsi="Times New Roman"/>
        </w:rPr>
      </w:pPr>
      <w:r>
        <w:rPr/>
        <w:t xml:space="preserve">Piedāvājums konkursam jāiesniedz </w:t>
      </w:r>
      <w:r>
        <w:rPr>
          <w:b/>
          <w:bCs/>
        </w:rPr>
        <w:t xml:space="preserve"> </w:t>
      </w:r>
      <w:r>
        <w:rPr>
          <w:b w:val="false"/>
          <w:bCs w:val="false"/>
        </w:rPr>
        <w:t xml:space="preserve">elektroniski, norādot iepirkuma identifikatoru un  tekstu, kas apliecina, ka tas ir Pretendenta piedāvājums, nosūtot to uz adresi </w:t>
      </w:r>
      <w:hyperlink r:id="rId2">
        <w:r>
          <w:rPr>
            <w:rStyle w:val="Hyperlink"/>
            <w:b w:val="false"/>
            <w:bCs w:val="false"/>
          </w:rPr>
          <w:t>info@agile.lv</w:t>
        </w:r>
      </w:hyperlink>
      <w:r>
        <w:rPr>
          <w:b w:val="false"/>
          <w:bCs w:val="false"/>
        </w:rPr>
        <w:t xml:space="preserve">. Piedāvājums ir iedzniedzams līdz ieprikumu vietnē iub.gov.lv  norādītajam laikam un datumam. Piedāvājumi, kas tiks iesniegti pēc šī termiņa netiks izskatīti. </w:t>
      </w:r>
    </w:p>
    <w:p>
      <w:pPr>
        <w:pStyle w:val="ListParagraph"/>
        <w:numPr>
          <w:ilvl w:val="2"/>
          <w:numId w:val="4"/>
        </w:numPr>
        <w:spacing w:lineRule="auto" w:line="252"/>
        <w:ind w:hanging="567" w:start="567" w:end="-20"/>
        <w:jc w:val="both"/>
        <w:rPr>
          <w:rFonts w:ascii="Times New Roman" w:hAnsi="Times New Roman"/>
        </w:rPr>
      </w:pPr>
      <w:r>
        <w:rPr/>
        <w:t>Sagatavojot piedāvājumu, pretendents ievēro, ka:</w:t>
      </w:r>
    </w:p>
    <w:p>
      <w:pPr>
        <w:pStyle w:val="ListParagraph"/>
        <w:numPr>
          <w:ilvl w:val="3"/>
          <w:numId w:val="4"/>
        </w:numPr>
        <w:spacing w:lineRule="auto" w:line="252"/>
        <w:ind w:hanging="720" w:start="1276" w:end="-20"/>
        <w:jc w:val="both"/>
        <w:rPr>
          <w:rFonts w:ascii="Times New Roman" w:hAnsi="Times New Roman"/>
        </w:rPr>
      </w:pPr>
      <w:r>
        <w:rPr/>
        <w:t>Pieteikuma veidlapa un finanšu piedāvājums saskaņā ar pievienotajām dokumentu veidnēm jāaizpilda tikai elektroniski, katrs atsevišķā elektroniskā dokumentā ar Microsoft Office 2010 (vai vēlākas programmatūras versijas) rīkiem lasāmā formātā un jāpievieno tam paredzētajā iepirkuma procedūras profila sadaļā. Tehniskais piedāvājums jāsagatavo kā atsevišķs elektronisks dokuments ar Microsoft Office 2010 (vai vēlākas programmatūras versijas) vai Adobe Acrobat Reader rīkiem nolasāmā formātā, nodrošinot teksta meklēšanas un kopēšanas iespējas;</w:t>
      </w:r>
    </w:p>
    <w:p>
      <w:pPr>
        <w:pStyle w:val="ListParagraph"/>
        <w:numPr>
          <w:ilvl w:val="3"/>
          <w:numId w:val="4"/>
        </w:numPr>
        <w:spacing w:lineRule="auto" w:line="252"/>
        <w:ind w:hanging="720" w:start="1276" w:end="-20"/>
        <w:jc w:val="both"/>
        <w:rPr>
          <w:rFonts w:ascii="Times New Roman" w:hAnsi="Times New Roman"/>
        </w:rPr>
      </w:pPr>
      <w:r>
        <w:rPr/>
        <w:t>Iesniedzot piedāvājumu, pretendents to paraksta ar drošu elektronisko parakstu un laika zīmogu. Pretendents pēc saviem ieskatiem dalības pieteikumu, tehnisko piedāvājumu un finanšu piedāvājumu var ar drošu elektronisko parakstu un laika zīmogu parakstīt atsevišķi. Piedāvājumu (tā daļas, ja tās paraksta atsevišķi) paraksta persona, kuras paraksta tiesībām ir jābūt nostiprinātām atbilstoši normatīvajos aktos noteiktajam regulējumam. Ja dokumentāciju paraksta pretendenta pilnvarota persona, pievienojot attiecīgu paraksta tiesīgās personas izdotu pilnvaru vai normatīvajos aktos noteiktā kārtībā apliecinātu pilnvarojuma kopiju.</w:t>
      </w:r>
    </w:p>
    <w:p>
      <w:pPr>
        <w:pStyle w:val="ListParagraph"/>
        <w:numPr>
          <w:ilvl w:val="2"/>
          <w:numId w:val="4"/>
        </w:numPr>
        <w:spacing w:lineRule="auto" w:line="252"/>
        <w:ind w:hanging="567" w:start="567" w:end="-20"/>
        <w:jc w:val="both"/>
        <w:rPr>
          <w:rFonts w:ascii="Times New Roman" w:hAnsi="Times New Roman"/>
        </w:rPr>
      </w:pPr>
      <w:r>
        <w:rPr/>
        <w:t>Piedāvājumā iekļautajiem dokumentiem jābūt skaidri salasāmiem, latviešu valodā. Vārdiem un skaitļiem jābūt bez iestarpinājumiem vai labojumiem. Ja kāds oriģināldokuments ir sagatavots svešvalodā, tam pievieno tulkojumu latviešu valodā. Pretendents apliecina tulkojuma pareizību atbilstoši normatīvo aktu prasībām. Iesniedzot piedāvājumu, Pretendents ir tiesīgs visu iesniegto dokumentu atvasinājumu un tulkojumu pareizību apliecināt ar vienu apliecinājumu. Par kaitējumu, kas radies dokumenta tulkojuma nepareizības dēļ, Pretendents atbild normatīvajos aktos noteiktajā kārtībā. Piedāvājuma dokumentiem ir jābūt noformētiem atbilstoši Ministru kabineta 2018. gada 4. septembra noteikumiem Nr. 558 "Dokumentu izstrādāšanas un noformēšanas kārtība". Komisija, ja tai rodas šaubas par iesniegtā dokumenta kopijas autentiskumu, saskaņā ar Publisko iepirkumu likuma 41. panta piekto daļu var pieprasīt, lai pretendents uzrāda dokumenta oriģinālu vai iesniedz apliecinātu dokumenta kopiju.</w:t>
      </w:r>
    </w:p>
    <w:p>
      <w:pPr>
        <w:pStyle w:val="ListParagraph"/>
        <w:numPr>
          <w:ilvl w:val="2"/>
          <w:numId w:val="4"/>
        </w:numPr>
        <w:spacing w:lineRule="auto" w:line="252"/>
        <w:ind w:hanging="567" w:start="567" w:end="-20"/>
        <w:jc w:val="both"/>
        <w:rPr>
          <w:rFonts w:ascii="Times New Roman" w:hAnsi="Times New Roman"/>
        </w:rPr>
      </w:pPr>
      <w:r>
        <w:rPr>
          <w:color w:themeColor="text1" w:val="000000"/>
        </w:rPr>
        <w:t xml:space="preserve">Ja Pretendenta ieskatā kāda no piedāvājuma sastāvdaļām ir uzskatāma par komercnoslēpumu, pretendents to norāda savā piedāvājumā. Par komercnoslēpumu nevar tikt atzīta informācija, kas saskaņā ar normatīvajiem aktiem ir noteikta kā vispārpieejama informācija. </w:t>
      </w:r>
    </w:p>
    <w:p>
      <w:pPr>
        <w:pStyle w:val="ListParagraph"/>
        <w:numPr>
          <w:ilvl w:val="2"/>
          <w:numId w:val="4"/>
        </w:numPr>
        <w:spacing w:lineRule="auto" w:line="252"/>
        <w:ind w:hanging="709" w:start="709" w:end="-20"/>
        <w:jc w:val="both"/>
        <w:rPr>
          <w:rFonts w:ascii="Times New Roman" w:hAnsi="Times New Roman"/>
        </w:rPr>
      </w:pPr>
      <w:r>
        <w:rPr>
          <w:color w:themeColor="text1" w:val="000000"/>
        </w:rPr>
        <w:t>Ies</w:t>
      </w:r>
      <w:r>
        <w:rPr/>
        <w:t>niegtie piedāvājumi, izņemot, ja Pretendents piedāvājumu atsauc vai groza pirms piedāvājuma iesniegšanas termiņa beigām, paliek Pasūtītāja īpašumā.</w:t>
      </w:r>
    </w:p>
    <w:p>
      <w:pPr>
        <w:pStyle w:val="ListParagraph"/>
        <w:numPr>
          <w:ilvl w:val="2"/>
          <w:numId w:val="4"/>
        </w:numPr>
        <w:spacing w:lineRule="auto" w:line="252"/>
        <w:ind w:hanging="709" w:start="709" w:end="-20"/>
        <w:jc w:val="both"/>
        <w:rPr>
          <w:rFonts w:ascii="Times New Roman" w:hAnsi="Times New Roman"/>
        </w:rPr>
      </w:pPr>
      <w:r>
        <w:rPr/>
        <w:t>Pretendents var iesniegt piedāvājumu visiem darba uzdevumiem, vai tikai tiem, kuros tas vēlas sniegt piedāvājumu.</w:t>
      </w:r>
    </w:p>
    <w:p>
      <w:pPr>
        <w:pStyle w:val="ListParagraph"/>
        <w:numPr>
          <w:ilvl w:val="0"/>
          <w:numId w:val="0"/>
        </w:numPr>
        <w:spacing w:lineRule="auto" w:line="252"/>
        <w:ind w:hanging="0" w:start="709" w:end="-20"/>
        <w:jc w:val="both"/>
        <w:rPr>
          <w:rFonts w:ascii="Times New Roman" w:hAnsi="Times New Roman"/>
        </w:rPr>
      </w:pPr>
      <w:r>
        <w:rPr/>
      </w:r>
    </w:p>
    <w:p>
      <w:pPr>
        <w:pStyle w:val="ListParagraph"/>
        <w:numPr>
          <w:ilvl w:val="1"/>
          <w:numId w:val="4"/>
        </w:numPr>
        <w:spacing w:lineRule="auto" w:line="252"/>
        <w:ind w:hanging="567" w:start="567" w:end="-20"/>
        <w:jc w:val="both"/>
        <w:rPr>
          <w:rFonts w:ascii="Times New Roman" w:hAnsi="Times New Roman"/>
        </w:rPr>
      </w:pPr>
      <w:r>
        <w:rPr>
          <w:b/>
          <w:bCs/>
        </w:rPr>
        <w:t>Piedāvājumu grozīšana un atsaukšana</w:t>
      </w:r>
    </w:p>
    <w:p>
      <w:pPr>
        <w:pStyle w:val="ListParagraph"/>
        <w:numPr>
          <w:ilvl w:val="2"/>
          <w:numId w:val="4"/>
        </w:numPr>
        <w:spacing w:lineRule="auto" w:line="252"/>
        <w:ind w:hanging="709" w:start="709" w:end="-20"/>
        <w:jc w:val="both"/>
        <w:rPr>
          <w:rFonts w:ascii="Times New Roman" w:hAnsi="Times New Roman"/>
        </w:rPr>
      </w:pPr>
      <w:r>
        <w:rPr/>
        <w:t>Pretendents līdz piedāvājumu iesniegšanas termiņa beigām var grozīt vai atsaukt iesniegto piedāvājumu, nosūtot paziņojumu uz Pasūtītāja epastu, noformējot ”Grozījumi” vai ”Atsaukums”.</w:t>
      </w:r>
    </w:p>
    <w:p>
      <w:pPr>
        <w:pStyle w:val="ListParagraph"/>
        <w:numPr>
          <w:ilvl w:val="2"/>
          <w:numId w:val="4"/>
        </w:numPr>
        <w:spacing w:lineRule="auto" w:line="252"/>
        <w:ind w:hanging="709" w:start="709" w:end="-20"/>
        <w:jc w:val="both"/>
        <w:rPr>
          <w:rFonts w:ascii="Times New Roman" w:hAnsi="Times New Roman"/>
        </w:rPr>
      </w:pPr>
      <w:r>
        <w:rPr/>
        <w:t>Atsaukumam ir bezierunu raksturs, un tas izslēdz pretendenta atsauktā piedāvājuma tālāku līdzdalību iepirkumā.</w:t>
      </w:r>
    </w:p>
    <w:p>
      <w:pPr>
        <w:pStyle w:val="ListParagraph"/>
        <w:numPr>
          <w:ilvl w:val="1"/>
          <w:numId w:val="4"/>
        </w:numPr>
        <w:spacing w:lineRule="auto" w:line="252"/>
        <w:ind w:hanging="567" w:start="567" w:end="-20"/>
        <w:jc w:val="both"/>
        <w:rPr>
          <w:rFonts w:ascii="Times New Roman" w:hAnsi="Times New Roman"/>
        </w:rPr>
      </w:pPr>
      <w:r>
        <w:rPr>
          <w:b/>
          <w:bCs/>
        </w:rPr>
        <w:t>Piedāvājumu apkopošana</w:t>
      </w:r>
    </w:p>
    <w:p>
      <w:pPr>
        <w:pStyle w:val="ListParagraph"/>
        <w:numPr>
          <w:ilvl w:val="2"/>
          <w:numId w:val="4"/>
        </w:numPr>
        <w:spacing w:lineRule="auto" w:line="252"/>
        <w:ind w:hanging="709" w:start="709" w:end="-20"/>
        <w:jc w:val="both"/>
        <w:rPr>
          <w:rFonts w:ascii="Times New Roman" w:hAnsi="Times New Roman"/>
        </w:rPr>
      </w:pPr>
      <w:r>
        <w:rPr/>
        <w:t xml:space="preserve">Iesniegtie piedāvājumi tiks </w:t>
      </w:r>
      <w:r>
        <w:rPr>
          <w:color w:themeColor="text1" w:val="000000"/>
        </w:rPr>
        <w:t>apkopoti</w:t>
      </w:r>
      <w:r>
        <w:rPr/>
        <w:t xml:space="preserve"> 4 (četras) stundas pēc piedāvājumu iesniegšanas termiņa beigām, kas norādīts Iepirkumu uzraudzības biroja tīmekļvietnes attiecīgajā paziņojumā norādītajā piedāvājumu atvēršanas laikā. </w:t>
      </w:r>
    </w:p>
    <w:p>
      <w:pPr>
        <w:pStyle w:val="ListParagraph"/>
        <w:numPr>
          <w:ilvl w:val="2"/>
          <w:numId w:val="4"/>
        </w:numPr>
        <w:spacing w:lineRule="auto" w:line="252"/>
        <w:ind w:hanging="709" w:start="709" w:end="-20"/>
        <w:jc w:val="both"/>
        <w:rPr>
          <w:rFonts w:ascii="Times New Roman" w:hAnsi="Times New Roman"/>
        </w:rPr>
      </w:pPr>
      <w:r>
        <w:rPr/>
        <w:t>Pretendents sedz visus izdevumus, kas saistīti ar piedāvājuma sagatavošanu un iesniegšanu. Piedāvājuma iesniegšana ir pretendenta brīvas gribas izpausme, tāpēc neatkarīgi no iepirkuma procedūras rezultātiem, Pasūtītājs neuzņemas atbildību par pretendenta izdevumiem, kas saistīti ar piedāvājuma sagatavošanu un iesniegšanu.</w:t>
      </w:r>
    </w:p>
    <w:p>
      <w:pPr>
        <w:pStyle w:val="ListParagraph"/>
        <w:numPr>
          <w:ilvl w:val="0"/>
          <w:numId w:val="0"/>
        </w:numPr>
        <w:spacing w:lineRule="auto" w:line="252"/>
        <w:ind w:hanging="0" w:start="709" w:end="-20"/>
        <w:jc w:val="both"/>
        <w:rPr>
          <w:rFonts w:ascii="Times New Roman" w:hAnsi="Times New Roman"/>
        </w:rPr>
      </w:pPr>
      <w:r>
        <w:rPr/>
      </w:r>
    </w:p>
    <w:p>
      <w:pPr>
        <w:pStyle w:val="ListParagraph"/>
        <w:numPr>
          <w:ilvl w:val="0"/>
          <w:numId w:val="4"/>
        </w:numPr>
        <w:spacing w:lineRule="auto" w:line="252" w:before="0" w:after="120"/>
        <w:ind w:hanging="284" w:start="284" w:end="-23"/>
        <w:jc w:val="center"/>
        <w:rPr>
          <w:rFonts w:ascii="Times New Roman" w:hAnsi="Times New Roman"/>
        </w:rPr>
      </w:pPr>
      <w:r>
        <w:rPr>
          <w:b/>
          <w:bCs/>
        </w:rPr>
        <w:t>INFORMĀCIJA PAR IEPIRKUMA PRIEKŠMETU</w:t>
      </w:r>
    </w:p>
    <w:p>
      <w:pPr>
        <w:pStyle w:val="ListParagraph"/>
        <w:numPr>
          <w:ilvl w:val="0"/>
          <w:numId w:val="1"/>
        </w:numPr>
        <w:spacing w:lineRule="auto" w:line="252"/>
        <w:ind w:hanging="360" w:start="380" w:end="-20"/>
        <w:jc w:val="both"/>
        <w:rPr>
          <w:rFonts w:ascii="Times New Roman" w:hAnsi="Times New Roman"/>
        </w:rPr>
      </w:pPr>
      <w:r>
        <w:rPr>
          <w:b/>
          <w:bCs/>
        </w:rPr>
        <w:t xml:space="preserve"> </w:t>
      </w:r>
      <w:r>
        <w:rPr>
          <w:b/>
          <w:bCs/>
        </w:rPr>
        <w:t>Iepirkuma priekšmeta apraksts</w:t>
      </w:r>
    </w:p>
    <w:p>
      <w:pPr>
        <w:pStyle w:val="ListParagraph"/>
        <w:numPr>
          <w:ilvl w:val="2"/>
          <w:numId w:val="5"/>
        </w:numPr>
        <w:spacing w:lineRule="auto" w:line="252"/>
        <w:ind w:hanging="578" w:start="567" w:end="-20"/>
        <w:jc w:val="both"/>
        <w:rPr>
          <w:rFonts w:ascii="Times New Roman" w:hAnsi="Times New Roman"/>
        </w:rPr>
      </w:pPr>
      <w:r>
        <w:rPr/>
        <w:t xml:space="preserve">Iepirkuma priekšmets: “Mākslīgā intelekta risinājums Sistēmu izstrādes dzīves cikla atbalstam izstrde un ieviešana” atbilstoši tehniskajā specifikācijā (3.pielikums) noteiktajām prasībām. (turpmāk – Pakalpojums). </w:t>
      </w:r>
    </w:p>
    <w:p>
      <w:pPr>
        <w:pStyle w:val="ListParagraph"/>
        <w:numPr>
          <w:ilvl w:val="2"/>
          <w:numId w:val="5"/>
        </w:numPr>
        <w:spacing w:lineRule="auto" w:line="252"/>
        <w:ind w:hanging="578" w:start="567" w:end="-20"/>
        <w:jc w:val="both"/>
        <w:rPr>
          <w:rFonts w:ascii="Times New Roman" w:hAnsi="Times New Roman"/>
        </w:rPr>
      </w:pPr>
      <w:r>
        <w:rPr/>
        <w:t xml:space="preserve">Pakalpojuma CPV kods: </w:t>
      </w:r>
      <w:r>
        <w:rPr>
          <w:sz w:val="24"/>
        </w:rPr>
        <w:t xml:space="preserve">48000000-8 (Programmatūras pakotne un informācijas sistēmas), </w:t>
      </w:r>
      <w:r>
        <w:rPr/>
        <w:t xml:space="preserve">72000000-5 (IT pakalpojumi, konsultēšana, programmatūras izstrāde, internets un atbalsts), </w:t>
      </w:r>
    </w:p>
    <w:p>
      <w:pPr>
        <w:pStyle w:val="ListParagraph"/>
        <w:numPr>
          <w:ilvl w:val="2"/>
          <w:numId w:val="5"/>
        </w:numPr>
        <w:spacing w:lineRule="auto" w:line="252"/>
        <w:ind w:hanging="578" w:start="567" w:end="-20"/>
        <w:jc w:val="both"/>
        <w:rPr>
          <w:rFonts w:ascii="Times New Roman" w:hAnsi="Times New Roman"/>
        </w:rPr>
      </w:pPr>
      <w:r>
        <w:rPr/>
        <w:t>Iepirkuma priekšmets ietver vienotu pakalpojumu projekta "Mākslīgā intelekta risinājums Sistēmu izstrādes dzīves cikla atbalstam izstrde un ieviešana” līdz ar to Iepirkuma priekšmets nav dalīts daļās. Pretendents var iesniegt tikai 1 (vienu) piedāvājuma variantu par pilnu iepirkuma priekšmeta apjomu.</w:t>
      </w:r>
    </w:p>
    <w:p>
      <w:pPr>
        <w:pStyle w:val="ListParagraph"/>
        <w:numPr>
          <w:ilvl w:val="1"/>
          <w:numId w:val="5"/>
        </w:numPr>
        <w:spacing w:lineRule="auto" w:line="252"/>
        <w:ind w:hanging="426" w:start="426" w:end="-20"/>
        <w:jc w:val="both"/>
        <w:rPr>
          <w:rFonts w:ascii="Times New Roman" w:hAnsi="Times New Roman"/>
        </w:rPr>
      </w:pPr>
      <w:r>
        <w:rPr>
          <w:b/>
          <w:bCs/>
        </w:rPr>
        <w:t>Līguma izpildes laiks un vieta</w:t>
      </w:r>
    </w:p>
    <w:p>
      <w:pPr>
        <w:pStyle w:val="ListParagraph"/>
        <w:numPr>
          <w:ilvl w:val="2"/>
          <w:numId w:val="5"/>
        </w:numPr>
        <w:spacing w:lineRule="auto" w:line="252"/>
        <w:ind w:hanging="567" w:start="567" w:end="-20"/>
        <w:jc w:val="both"/>
        <w:rPr>
          <w:rFonts w:ascii="Times New Roman" w:hAnsi="Times New Roman"/>
        </w:rPr>
      </w:pPr>
      <w:r>
        <w:rPr/>
        <w:t>Paredzamā līguma izpildes vieta ir Latvijas Republika. Pakalpojuma sniegšanas periods ir  8 (astoņi) mēneši no līguma abpusējas parakstīšanas dienas vai līdz līguma saistību pilnai izpildei.</w:t>
      </w:r>
    </w:p>
    <w:p>
      <w:pPr>
        <w:pStyle w:val="ListParagraph"/>
        <w:numPr>
          <w:ilvl w:val="0"/>
          <w:numId w:val="5"/>
        </w:numPr>
        <w:spacing w:lineRule="auto" w:line="252" w:before="0" w:after="120"/>
        <w:ind w:hanging="284" w:start="284" w:end="-23"/>
        <w:jc w:val="center"/>
        <w:rPr>
          <w:rFonts w:ascii="Times New Roman" w:hAnsi="Times New Roman"/>
        </w:rPr>
      </w:pPr>
      <w:r>
        <w:rPr>
          <w:b/>
          <w:bCs/>
        </w:rPr>
        <w:t>PRETENDENTU ATLASES NOSACĪJUMI</w:t>
      </w:r>
    </w:p>
    <w:p>
      <w:pPr>
        <w:pStyle w:val="ListParagraph"/>
        <w:numPr>
          <w:ilvl w:val="1"/>
          <w:numId w:val="2"/>
        </w:numPr>
        <w:spacing w:lineRule="auto" w:line="252"/>
        <w:ind w:hanging="426" w:start="426" w:end="-20"/>
        <w:jc w:val="both"/>
        <w:rPr>
          <w:rFonts w:ascii="Times New Roman" w:hAnsi="Times New Roman"/>
        </w:rPr>
      </w:pPr>
      <w:r>
        <w:rPr>
          <w:b/>
          <w:bCs/>
        </w:rPr>
        <w:t>Pretendentu izslēgšanas un vispārīgie Pretendentu atlases nosacījumi</w:t>
      </w:r>
    </w:p>
    <w:p>
      <w:pPr>
        <w:pStyle w:val="ListParagraph"/>
        <w:numPr>
          <w:ilvl w:val="2"/>
          <w:numId w:val="2"/>
        </w:numPr>
        <w:spacing w:lineRule="auto" w:line="252"/>
        <w:ind w:hanging="567" w:start="567" w:end="-20"/>
        <w:jc w:val="both"/>
        <w:rPr>
          <w:rFonts w:ascii="Times New Roman" w:hAnsi="Times New Roman"/>
          <w:b w:val="false"/>
          <w:bCs w:val="false"/>
        </w:rPr>
      </w:pPr>
      <w:r>
        <w:rPr>
          <w:b w:val="false"/>
          <w:bCs w:val="false"/>
        </w:rPr>
        <w:t xml:space="preserve"> </w:t>
      </w:r>
      <w:r>
        <w:rPr>
          <w:b w:val="false"/>
          <w:bCs w:val="false"/>
        </w:rPr>
        <w:t>Pretendents iesniedz apliecinājumu, ka uz to neattiecas izslēgšanas nosacījumi, parakstot apliecinājuma dokumentu (1. pielikums).</w:t>
      </w:r>
    </w:p>
    <w:p>
      <w:pPr>
        <w:pStyle w:val="ListParagraph"/>
        <w:numPr>
          <w:ilvl w:val="2"/>
          <w:numId w:val="2"/>
        </w:numPr>
        <w:suppressAutoHyphens w:val="false"/>
        <w:spacing w:lineRule="auto" w:line="252"/>
        <w:ind w:hanging="567" w:start="567" w:end="-20"/>
        <w:jc w:val="both"/>
        <w:rPr>
          <w:rFonts w:ascii="Times New Roman" w:hAnsi="Times New Roman"/>
          <w:b w:val="false"/>
          <w:bCs w:val="false"/>
        </w:rPr>
      </w:pPr>
      <w:r>
        <w:rPr>
          <w:b w:val="false"/>
          <w:bCs w:val="false"/>
        </w:rPr>
        <w:t>Ārvalstī reģistrēts pretendents kopā ar piedāvājumu iesniedz kompetentas institūcijas izziņu ar informāciju par amatpersonām, kā arī apliecinājumu, ka izziņā minētā informācija joprojām ir aktuāla.</w:t>
      </w:r>
    </w:p>
    <w:p>
      <w:pPr>
        <w:pStyle w:val="ListParagraph"/>
        <w:numPr>
          <w:ilvl w:val="2"/>
          <w:numId w:val="2"/>
        </w:numPr>
        <w:suppressAutoHyphens w:val="false"/>
        <w:spacing w:lineRule="auto" w:line="252"/>
        <w:ind w:hanging="567" w:start="567" w:end="-20"/>
        <w:jc w:val="both"/>
        <w:rPr>
          <w:rFonts w:ascii="Times New Roman" w:hAnsi="Times New Roman"/>
          <w:b w:val="false"/>
          <w:bCs w:val="false"/>
        </w:rPr>
      </w:pPr>
      <w:r>
        <w:rPr>
          <w:b w:val="false"/>
          <w:bCs w:val="false"/>
        </w:rPr>
        <w:t>Komisija izslēdz Pretendentu no dalības iepirkuma procedūrā, ja piedāvājums neatbilst Nolikumā izvirzītajām prasībām.</w:t>
      </w:r>
    </w:p>
    <w:p>
      <w:pPr>
        <w:pStyle w:val="ListParagraph"/>
        <w:numPr>
          <w:ilvl w:val="1"/>
          <w:numId w:val="2"/>
        </w:numPr>
        <w:suppressAutoHyphens w:val="false"/>
        <w:spacing w:lineRule="auto" w:line="252"/>
        <w:ind w:hanging="426" w:start="426" w:end="-20"/>
        <w:jc w:val="both"/>
        <w:rPr>
          <w:rFonts w:ascii="Times New Roman" w:hAnsi="Times New Roman"/>
        </w:rPr>
      </w:pPr>
      <w:r>
        <w:rPr>
          <w:b/>
          <w:bCs/>
        </w:rPr>
        <w:t>Pretendentiem izvirzītās prasības un iesniedzamie dokumenti:</w:t>
      </w:r>
    </w:p>
    <w:p>
      <w:pPr>
        <w:pStyle w:val="Normal"/>
        <w:spacing w:lineRule="auto" w:line="252" w:before="0" w:after="0"/>
        <w:ind w:hanging="0" w:start="-20" w:end="-20"/>
        <w:jc w:val="end"/>
        <w:rPr>
          <w:rFonts w:ascii="Times New Roman" w:hAnsi="Times New Roman" w:eastAsia="Times New Roman"/>
          <w:sz w:val="8"/>
          <w:szCs w:val="8"/>
          <w:lang w:val="lv-LV"/>
        </w:rPr>
      </w:pPr>
      <w:r>
        <w:rPr>
          <w:rFonts w:eastAsia="Times New Roman" w:ascii="Times New Roman" w:hAnsi="Times New Roman"/>
          <w:sz w:val="8"/>
          <w:szCs w:val="8"/>
          <w:lang w:val="lv-LV"/>
        </w:rPr>
      </w:r>
    </w:p>
    <w:p>
      <w:pPr>
        <w:pStyle w:val="Normal"/>
        <w:spacing w:lineRule="auto" w:line="252" w:before="0" w:after="0"/>
        <w:ind w:hanging="0" w:start="-20" w:end="-20"/>
        <w:jc w:val="end"/>
        <w:rPr>
          <w:rFonts w:ascii="Times New Roman" w:hAnsi="Times New Roman"/>
        </w:rPr>
      </w:pPr>
      <w:r>
        <w:rPr>
          <w:rFonts w:eastAsia="Times New Roman" w:ascii="Times New Roman" w:hAnsi="Times New Roman"/>
          <w:sz w:val="24"/>
          <w:szCs w:val="24"/>
          <w:lang w:val="lv-LV"/>
        </w:rPr>
        <w:t>Tabula 1. Prasības Pretendentam.</w:t>
      </w:r>
    </w:p>
    <w:tbl>
      <w:tblPr>
        <w:tblW w:w="9175" w:type="dxa"/>
        <w:jc w:val="start"/>
        <w:tblInd w:w="-258" w:type="dxa"/>
        <w:tblLayout w:type="fixed"/>
        <w:tblCellMar>
          <w:top w:w="0" w:type="dxa"/>
          <w:start w:w="105" w:type="dxa"/>
          <w:bottom w:w="0" w:type="dxa"/>
          <w:end w:w="105" w:type="dxa"/>
        </w:tblCellMar>
        <w:tblLook w:val="04a0" w:firstRow="1" w:noVBand="1" w:lastRow="0" w:firstColumn="1" w:lastColumn="0" w:noHBand="0"/>
      </w:tblPr>
      <w:tblGrid>
        <w:gridCol w:w="1000"/>
        <w:gridCol w:w="2700"/>
        <w:gridCol w:w="5475"/>
      </w:tblGrid>
      <w:tr>
        <w:trPr>
          <w:trHeight w:val="300" w:hRule="atLeast"/>
        </w:trPr>
        <w:tc>
          <w:tcPr>
            <w:tcW w:w="1000" w:type="dxa"/>
            <w:tcBorders>
              <w:top w:val="single" w:sz="6" w:space="0" w:color="000000"/>
              <w:start w:val="single" w:sz="6" w:space="0" w:color="000000"/>
              <w:bottom w:val="single" w:sz="6" w:space="0" w:color="000000"/>
              <w:end w:val="single" w:sz="6" w:space="0" w:color="000000"/>
            </w:tcBorders>
            <w:shd w:color="auto" w:fill="A6A6A6" w:themeFill="background1" w:themeFillShade="a6" w:val="clear"/>
          </w:tcPr>
          <w:p>
            <w:pPr>
              <w:pStyle w:val="Normal"/>
              <w:widowControl w:val="false"/>
              <w:spacing w:before="120" w:after="120"/>
              <w:jc w:val="center"/>
              <w:rPr>
                <w:rFonts w:ascii="Times New Roman" w:hAnsi="Times New Roman"/>
              </w:rPr>
            </w:pPr>
            <w:r>
              <w:rPr>
                <w:rFonts w:eastAsia="Times New Roman" w:ascii="Times New Roman" w:hAnsi="Times New Roman"/>
                <w:b/>
                <w:bCs/>
                <w:color w:themeColor="text1" w:val="000000"/>
                <w:sz w:val="24"/>
                <w:szCs w:val="24"/>
                <w:lang w:val="lv-LV"/>
              </w:rPr>
              <w:t>Nr.</w:t>
            </w:r>
          </w:p>
        </w:tc>
        <w:tc>
          <w:tcPr>
            <w:tcW w:w="2700" w:type="dxa"/>
            <w:tcBorders>
              <w:top w:val="single" w:sz="6" w:space="0" w:color="000000"/>
              <w:start w:val="single" w:sz="6" w:space="0" w:color="000000"/>
              <w:bottom w:val="single" w:sz="6" w:space="0" w:color="000000"/>
              <w:end w:val="single" w:sz="6" w:space="0" w:color="000000"/>
            </w:tcBorders>
            <w:shd w:color="auto" w:fill="A6A6A6" w:themeFill="background1" w:themeFillShade="a6" w:val="clear"/>
          </w:tcPr>
          <w:p>
            <w:pPr>
              <w:pStyle w:val="Normal"/>
              <w:widowControl w:val="false"/>
              <w:spacing w:before="120" w:after="120"/>
              <w:jc w:val="center"/>
              <w:rPr>
                <w:rFonts w:ascii="Times New Roman" w:hAnsi="Times New Roman"/>
              </w:rPr>
            </w:pPr>
            <w:r>
              <w:rPr>
                <w:rFonts w:eastAsia="Times New Roman" w:ascii="Times New Roman" w:hAnsi="Times New Roman"/>
                <w:b/>
                <w:bCs/>
                <w:color w:themeColor="text1" w:val="000000"/>
                <w:sz w:val="24"/>
                <w:szCs w:val="24"/>
                <w:lang w:val="lv-LV"/>
              </w:rPr>
              <w:t>Prasība</w:t>
            </w:r>
          </w:p>
        </w:tc>
        <w:tc>
          <w:tcPr>
            <w:tcW w:w="5475" w:type="dxa"/>
            <w:tcBorders>
              <w:top w:val="single" w:sz="6" w:space="0" w:color="000000"/>
              <w:start w:val="single" w:sz="6" w:space="0" w:color="000000"/>
              <w:bottom w:val="single" w:sz="6" w:space="0" w:color="000000"/>
              <w:end w:val="single" w:sz="6" w:space="0" w:color="000000"/>
            </w:tcBorders>
            <w:shd w:color="auto" w:fill="A6A6A6" w:themeFill="background1" w:themeFillShade="a6" w:val="clear"/>
          </w:tcPr>
          <w:p>
            <w:pPr>
              <w:pStyle w:val="Normal"/>
              <w:widowControl w:val="false"/>
              <w:spacing w:before="120" w:after="120"/>
              <w:jc w:val="center"/>
              <w:rPr>
                <w:rFonts w:ascii="Times New Roman" w:hAnsi="Times New Roman"/>
              </w:rPr>
            </w:pPr>
            <w:r>
              <w:rPr>
                <w:rFonts w:eastAsia="Times New Roman" w:ascii="Times New Roman" w:hAnsi="Times New Roman"/>
                <w:b/>
                <w:bCs/>
                <w:color w:themeColor="text1" w:val="000000"/>
                <w:sz w:val="24"/>
                <w:szCs w:val="24"/>
                <w:lang w:val="lv-LV"/>
              </w:rPr>
              <w:t>Iesniedzamie dokumenti</w:t>
            </w:r>
          </w:p>
        </w:tc>
      </w:tr>
      <w:tr>
        <w:trPr>
          <w:trHeight w:val="300" w:hRule="atLeast"/>
        </w:trPr>
        <w:tc>
          <w:tcPr>
            <w:tcW w:w="1000"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0"/>
              <w:jc w:val="both"/>
              <w:rPr>
                <w:rFonts w:ascii="Times New Roman" w:hAnsi="Times New Roman"/>
              </w:rPr>
            </w:pPr>
            <w:r>
              <w:rPr>
                <w:rFonts w:eastAsia="Times New Roman" w:ascii="Times New Roman" w:hAnsi="Times New Roman"/>
                <w:b/>
                <w:bCs/>
                <w:color w:themeColor="text1" w:val="000000"/>
                <w:sz w:val="24"/>
                <w:szCs w:val="24"/>
                <w:lang w:val="lv-LV"/>
              </w:rPr>
              <w:t>3.2.1.</w:t>
            </w:r>
          </w:p>
        </w:tc>
        <w:tc>
          <w:tcPr>
            <w:tcW w:w="2700"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120"/>
              <w:jc w:val="both"/>
              <w:rPr>
                <w:rFonts w:ascii="Times New Roman" w:hAnsi="Times New Roman"/>
              </w:rPr>
            </w:pPr>
            <w:r>
              <w:rPr>
                <w:rFonts w:eastAsia="Times New Roman" w:ascii="Times New Roman" w:hAnsi="Times New Roman"/>
                <w:sz w:val="24"/>
                <w:szCs w:val="24"/>
                <w:lang w:val="lv-LV"/>
              </w:rPr>
              <w:t>Pretendents ir reģistrēts atbilstoši reģistrācijas vai pastāvīgās dzīvesvietas valsts normatīvo aktu prasībām.</w:t>
            </w:r>
          </w:p>
          <w:p>
            <w:pPr>
              <w:pStyle w:val="Normal"/>
              <w:widowControl w:val="false"/>
              <w:spacing w:before="0" w:after="120"/>
              <w:jc w:val="both"/>
              <w:rPr>
                <w:rFonts w:ascii="Times New Roman" w:hAnsi="Times New Roman"/>
              </w:rPr>
            </w:pPr>
            <w:r>
              <w:rPr>
                <w:rFonts w:eastAsia="Times New Roman" w:ascii="Times New Roman" w:hAnsi="Times New Roman"/>
                <w:i/>
                <w:iCs/>
                <w:color w:themeColor="text1" w:val="000000"/>
                <w:sz w:val="24"/>
                <w:szCs w:val="24"/>
                <w:lang w:val="lv-LV"/>
              </w:rPr>
              <w:t>Prasība, kas noteikta Nolikuma 3.2.1. punktā, attiecas uz Pretendentu un uz katru apakšuzņēmēju un piegādātāju apvienības biedru. </w:t>
            </w:r>
            <w:r>
              <w:rPr>
                <w:rFonts w:eastAsia="Times New Roman" w:ascii="Times New Roman" w:hAnsi="Times New Roman"/>
                <w:color w:themeColor="text1" w:val="000000"/>
                <w:sz w:val="24"/>
                <w:szCs w:val="24"/>
                <w:lang w:val="lv-LV"/>
              </w:rPr>
              <w:t> </w:t>
            </w:r>
          </w:p>
          <w:p>
            <w:pPr>
              <w:pStyle w:val="Normal"/>
              <w:widowControl w:val="false"/>
              <w:spacing w:before="0" w:after="120"/>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tc>
        <w:tc>
          <w:tcPr>
            <w:tcW w:w="5475" w:type="dxa"/>
            <w:tcBorders>
              <w:top w:val="single" w:sz="6" w:space="0" w:color="000000"/>
              <w:start w:val="single" w:sz="6" w:space="0" w:color="000000"/>
              <w:bottom w:val="single" w:sz="6" w:space="0" w:color="000000"/>
              <w:end w:val="single" w:sz="6" w:space="0" w:color="000000"/>
            </w:tcBorders>
          </w:tcPr>
          <w:p>
            <w:pPr>
              <w:pStyle w:val="paragraph"/>
              <w:widowControl w:val="false"/>
              <w:spacing w:beforeAutospacing="0" w:before="0" w:afterAutospacing="0" w:after="0"/>
              <w:ind w:hanging="0" w:start="-30" w:end="-30"/>
              <w:jc w:val="both"/>
              <w:textAlignment w:val="baseline"/>
              <w:rPr/>
            </w:pPr>
            <w:r>
              <w:rPr>
                <w:rStyle w:val="normaltextrun"/>
                <w:lang w:val="lv-LV"/>
              </w:rPr>
              <w:t>Pretendentam (t.sk. arī apakšuzņēmējiem, piegādātāju apvienībām vai personālsabiedrības dalībniekiem) reģistrācija ir jāapliecina atbilstoši attiecīgās valsts nosacījumiem (piemēram, norādot publiski pieejamu reģistru, kur pasūtītājs var pārliecināties par reģistrācijas faktu).</w:t>
            </w:r>
            <w:r>
              <w:rPr>
                <w:rStyle w:val="eop"/>
                <w:lang w:val="lv-LV"/>
              </w:rPr>
              <w:t> </w:t>
            </w:r>
          </w:p>
          <w:p>
            <w:pPr>
              <w:pStyle w:val="paragraph"/>
              <w:widowControl w:val="false"/>
              <w:spacing w:beforeAutospacing="0" w:before="0" w:afterAutospacing="0" w:after="0"/>
              <w:ind w:hanging="0" w:start="-30" w:end="-30"/>
              <w:jc w:val="both"/>
              <w:textAlignment w:val="baseline"/>
              <w:rPr/>
            </w:pPr>
            <w:r>
              <w:rPr>
                <w:rStyle w:val="normaltextrun"/>
                <w:lang w:val="lv-LV"/>
              </w:rPr>
              <w:t>Attiecībā uz Latvijā reģistrētu pretendentu Komisija pārbaudi veiks pēc Uzņēmumu reģistrā vai Valsts ieņēmumu dienesta saimnieciskās darbības veicēju datu bāzē norādītās informācijas.</w:t>
            </w:r>
            <w:r>
              <w:rPr>
                <w:rStyle w:val="eop"/>
                <w:lang w:val="lv-LV"/>
              </w:rPr>
              <w:t> </w:t>
            </w:r>
          </w:p>
          <w:p>
            <w:pPr>
              <w:pStyle w:val="paragraph"/>
              <w:widowControl w:val="false"/>
              <w:spacing w:beforeAutospacing="0" w:before="0" w:afterAutospacing="0" w:after="0"/>
              <w:ind w:hanging="0" w:start="-30" w:end="-30"/>
              <w:jc w:val="both"/>
              <w:textAlignment w:val="baseline"/>
              <w:rPr/>
            </w:pPr>
            <w:r>
              <w:rPr>
                <w:rStyle w:val="eop"/>
                <w:lang w:val="lv-LV"/>
              </w:rPr>
              <w:t> </w:t>
            </w:r>
            <w:r>
              <w:rPr>
                <w:rStyle w:val="normaltextrun"/>
                <w:b/>
                <w:bCs/>
                <w:sz w:val="24"/>
                <w:szCs w:val="24"/>
                <w:lang w:val="lv-LV"/>
              </w:rPr>
              <w:t>Ja pretendents ir reģistrēts ārvalstīs</w:t>
            </w:r>
            <w:r>
              <w:rPr>
                <w:rStyle w:val="normaltextrun"/>
                <w:sz w:val="24"/>
                <w:szCs w:val="24"/>
                <w:lang w:val="lv-LV"/>
              </w:rPr>
              <w:t>, tad pretendents iesniedz līdzvērtīgas komercdarbību reģistrējošas iestādes ārvalstīs izsniegtu komersanta reģistrācijas apliecības kopiju vai citas ārvalstu institūcijas izsniegtu izziņas kopiju vai norāda publiski pieejamu reģistru, kur pasūtītājs var pārliecināties par pretendenta reģistrācijas faktu. Pretendents iesniedz arī kompetentas institūcijas izsniegtu izziņu par pretendenta amatpersonām (vai norāda publiski pieejamu reģistru, kur pasūtītājs var pārliecināties par pretendenta amatpersonas paraksta (pārstāvības) tiesībām), kurām ir pārstāvības tiesības, kā arī apliecinājumu, ka izziņā norādītā informācija joprojām ir aktuāla.</w:t>
            </w:r>
            <w:r>
              <w:rPr>
                <w:rStyle w:val="eop"/>
                <w:sz w:val="24"/>
                <w:szCs w:val="24"/>
                <w:lang w:val="lv-LV"/>
              </w:rPr>
              <w:t> </w:t>
            </w:r>
          </w:p>
        </w:tc>
      </w:tr>
      <w:tr>
        <w:trPr>
          <w:trHeight w:val="300" w:hRule="atLeast"/>
        </w:trPr>
        <w:tc>
          <w:tcPr>
            <w:tcW w:w="1000"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0"/>
              <w:jc w:val="both"/>
              <w:rPr>
                <w:rFonts w:ascii="Times New Roman" w:hAnsi="Times New Roman"/>
              </w:rPr>
            </w:pPr>
            <w:r>
              <w:rPr>
                <w:rFonts w:eastAsia="Times New Roman" w:ascii="Times New Roman" w:hAnsi="Times New Roman"/>
                <w:b/>
                <w:bCs/>
                <w:color w:themeColor="text1" w:val="000000"/>
                <w:sz w:val="24"/>
                <w:szCs w:val="24"/>
                <w:lang w:val="lv-LV"/>
              </w:rPr>
              <w:t xml:space="preserve">3.2.2. </w:t>
            </w:r>
          </w:p>
        </w:tc>
        <w:tc>
          <w:tcPr>
            <w:tcW w:w="2700"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120"/>
              <w:jc w:val="both"/>
              <w:rPr>
                <w:rFonts w:ascii="Times New Roman" w:hAnsi="Times New Roman"/>
              </w:rPr>
            </w:pPr>
            <w:r>
              <w:rPr>
                <w:rFonts w:eastAsia="Times New Roman" w:ascii="Times New Roman" w:hAnsi="Times New Roman"/>
                <w:sz w:val="24"/>
                <w:szCs w:val="24"/>
                <w:lang w:val="lv-LV"/>
              </w:rPr>
              <w:t>Pretendenta apliecinājums, ka uz viņu neattiecas Latvijas un starptautisko institūciju sankcijas un ierobežojumi. </w:t>
            </w:r>
          </w:p>
        </w:tc>
        <w:tc>
          <w:tcPr>
            <w:tcW w:w="5475"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200"/>
              <w:jc w:val="both"/>
              <w:rPr>
                <w:rFonts w:ascii="Times New Roman" w:hAnsi="Times New Roman"/>
              </w:rPr>
            </w:pPr>
            <w:r>
              <w:rPr>
                <w:rFonts w:eastAsia="Times New Roman" w:ascii="Times New Roman" w:hAnsi="Times New Roman"/>
                <w:color w:themeColor="text1" w:val="000000"/>
                <w:sz w:val="24"/>
                <w:szCs w:val="24"/>
                <w:lang w:val="lv-LV"/>
              </w:rPr>
              <w:t>Apliecinājums atbilstoši Nolikuma 1.pielikumam, ko parakstījusi persona ar pretendenta pārstāvības tiesībām vai tā pilnvarotā persona. </w:t>
            </w:r>
          </w:p>
        </w:tc>
      </w:tr>
      <w:tr>
        <w:trPr>
          <w:trHeight w:val="300" w:hRule="atLeast"/>
        </w:trPr>
        <w:tc>
          <w:tcPr>
            <w:tcW w:w="1000"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0"/>
              <w:jc w:val="both"/>
              <w:rPr>
                <w:rFonts w:ascii="Times New Roman" w:hAnsi="Times New Roman"/>
              </w:rPr>
            </w:pPr>
            <w:r>
              <w:rPr>
                <w:rFonts w:ascii="Times New Roman" w:hAnsi="Times New Roman"/>
              </w:rPr>
            </w:r>
          </w:p>
        </w:tc>
        <w:tc>
          <w:tcPr>
            <w:tcW w:w="2700" w:type="dxa"/>
            <w:tcBorders>
              <w:top w:val="single" w:sz="6" w:space="0" w:color="000000"/>
              <w:start w:val="single" w:sz="6" w:space="0" w:color="000000"/>
              <w:bottom w:val="single" w:sz="6" w:space="0" w:color="000000"/>
              <w:end w:val="single" w:sz="6" w:space="0" w:color="000000"/>
            </w:tcBorders>
          </w:tcPr>
          <w:p>
            <w:pPr>
              <w:pStyle w:val="Normal"/>
              <w:widowControl w:val="false"/>
              <w:spacing w:lineRule="auto" w:line="240" w:before="0" w:after="120"/>
              <w:jc w:val="both"/>
              <w:rPr>
                <w:rFonts w:ascii="Times New Roman" w:hAnsi="Times New Roman"/>
              </w:rPr>
            </w:pPr>
            <w:r>
              <w:rPr>
                <w:rFonts w:eastAsia="Times New Roman" w:ascii="Times New Roman" w:hAnsi="Times New Roman"/>
                <w:sz w:val="24"/>
                <w:szCs w:val="24"/>
                <w:lang w:val="lv-LV"/>
              </w:rPr>
              <w:t>Pretendenta izteikta griba piedalīties iepirkumā saskaņā ar Iepirkuma nolikuma noteikumiem. </w:t>
            </w:r>
          </w:p>
        </w:tc>
        <w:tc>
          <w:tcPr>
            <w:tcW w:w="5475" w:type="dxa"/>
            <w:tcBorders>
              <w:top w:val="single" w:sz="6" w:space="0" w:color="000000"/>
              <w:start w:val="single" w:sz="6" w:space="0" w:color="000000"/>
              <w:bottom w:val="single" w:sz="6" w:space="0" w:color="000000"/>
              <w:end w:val="single" w:sz="6" w:space="0" w:color="000000"/>
            </w:tcBorders>
            <w:shd w:color="auto" w:fill="FFFFFF" w:themeFill="background1" w:val="clear"/>
          </w:tcPr>
          <w:p>
            <w:pPr>
              <w:pStyle w:val="Normal"/>
              <w:widowControl w:val="false"/>
              <w:spacing w:lineRule="auto" w:line="240" w:before="0" w:after="200"/>
              <w:jc w:val="both"/>
              <w:rPr>
                <w:rFonts w:ascii="Times New Roman" w:hAnsi="Times New Roman"/>
              </w:rPr>
            </w:pPr>
            <w:r>
              <w:rPr>
                <w:rFonts w:eastAsia="Times New Roman" w:ascii="Times New Roman" w:hAnsi="Times New Roman"/>
                <w:color w:themeColor="text1" w:val="000000"/>
                <w:sz w:val="24"/>
                <w:szCs w:val="24"/>
                <w:lang w:val="lv-LV"/>
              </w:rPr>
              <w:t>Pieteikums atbilstoši Nolikuma 2.pielikumam, ko parakstījusi persona ar pretendenta pārstāvības tiesībām vai tā pilnvarotā persona. </w:t>
            </w:r>
          </w:p>
        </w:tc>
      </w:tr>
    </w:tbl>
    <w:p>
      <w:pPr>
        <w:pStyle w:val="ListParagraph"/>
        <w:numPr>
          <w:ilvl w:val="1"/>
          <w:numId w:val="2"/>
        </w:numPr>
        <w:ind w:hanging="426" w:start="426"/>
        <w:jc w:val="both"/>
        <w:rPr>
          <w:rFonts w:ascii="Times New Roman" w:hAnsi="Times New Roman"/>
        </w:rPr>
      </w:pPr>
      <w:r>
        <w:rPr/>
        <w:t xml:space="preserve">Pretendents atbilstoši Ministru kabineta 25.06.2025. noteikumu Nr. 397 “Minimālās kiberdrošības prasības” prasībām līguma izpildei nedrīkst piesaistīt speciālistus, kas ir Krievijas Federācijas, Baltkrievijas Republikas vai valstu, kuru Eiropas Parlaments vai Latvijas Republikas Saeima ir atzinusi par terorismu atbalstošu valsti, pilsoņi. </w:t>
      </w:r>
    </w:p>
    <w:p>
      <w:pPr>
        <w:pStyle w:val="ListParagraph"/>
        <w:spacing w:lineRule="auto" w:line="252" w:before="0" w:after="120"/>
        <w:jc w:val="center"/>
        <w:rPr>
          <w:rFonts w:ascii="Times New Roman" w:hAnsi="Times New Roman"/>
        </w:rPr>
      </w:pPr>
      <w:r>
        <w:rPr>
          <w:b/>
          <w:bCs/>
        </w:rPr>
        <w:t>4. IESNIEDZAMIE DOKUMENTI</w:t>
      </w:r>
    </w:p>
    <w:p>
      <w:pPr>
        <w:pStyle w:val="ListParagraph"/>
        <w:spacing w:lineRule="auto" w:line="252"/>
        <w:jc w:val="both"/>
        <w:rPr>
          <w:rFonts w:ascii="Times New Roman" w:hAnsi="Times New Roman"/>
        </w:rPr>
      </w:pPr>
      <w:r>
        <w:rPr>
          <w:b/>
          <w:bCs/>
        </w:rPr>
        <w:t>4.1.</w:t>
      </w:r>
      <w:r>
        <w:rPr/>
        <w:t xml:space="preserve"> Pretendentu pārstāvēt tiesīgās personas (atbilstoši ierakstiem komercreģistrā), tā pilnvarotās personas (pievienojot attiecīgu pilnvaru vai apliecinātu pilnvaras kopiju) vai personu grupas dalībnieku pārstāvēt tiesīgo personu kopīgi parakstīts pieteikums par gatavību piedalīties iepirkuma procedūrā un izpildīt Nolikumā noteiktās prasības.</w:t>
      </w:r>
    </w:p>
    <w:p>
      <w:pPr>
        <w:pStyle w:val="ListParagraph"/>
        <w:spacing w:lineRule="auto" w:line="252"/>
        <w:jc w:val="both"/>
        <w:rPr>
          <w:rFonts w:ascii="Times New Roman" w:hAnsi="Times New Roman"/>
        </w:rPr>
      </w:pPr>
      <w:r>
        <w:rPr>
          <w:b/>
          <w:bCs/>
        </w:rPr>
        <w:t>4.2.</w:t>
      </w:r>
      <w:r>
        <w:rPr/>
        <w:t xml:space="preserve"> Pretendentu pārstāvēt tiesīgās personas (atbilstoši ierakstiem komercreģistrā), tā pilnvarotās personas (pievienojot attiecīgu pilnvaru vai apliecinātu pilnvaras kopiju) vai personu grupas dalībnieku pārstāvēt tiesīgo personu kopīgi parakstīts aliecinājums par atbilstību valstī noteiktajām prasībām darbu izpildei.</w:t>
      </w:r>
    </w:p>
    <w:p>
      <w:pPr>
        <w:pStyle w:val="ListParagraph"/>
        <w:spacing w:lineRule="auto" w:line="252"/>
        <w:ind w:hanging="426" w:start="426"/>
        <w:jc w:val="both"/>
        <w:rPr>
          <w:rFonts w:ascii="Times New Roman" w:hAnsi="Times New Roman"/>
        </w:rPr>
      </w:pPr>
      <w:r>
        <w:rPr>
          <w:b/>
          <w:bCs/>
        </w:rPr>
        <w:t>4.3. Finanšu piedāvājums:</w:t>
      </w:r>
    </w:p>
    <w:p>
      <w:pPr>
        <w:pStyle w:val="ListParagraph"/>
        <w:spacing w:lineRule="auto" w:line="252"/>
        <w:ind w:hanging="0" w:end="-144"/>
        <w:jc w:val="both"/>
        <w:rPr>
          <w:rFonts w:ascii="Times New Roman" w:hAnsi="Times New Roman"/>
        </w:rPr>
      </w:pPr>
      <w:r>
        <w:rPr/>
        <w:t>4.3.1. Pretendents sagatavo Finanšu piedāvājumu piedāvājuma formā (3. pielikums), aizpildot šajā pielikumā norādītās ailes.</w:t>
      </w:r>
    </w:p>
    <w:p>
      <w:pPr>
        <w:pStyle w:val="ListParagraph"/>
        <w:spacing w:lineRule="auto" w:line="252"/>
        <w:ind w:hanging="0" w:end="-144"/>
        <w:jc w:val="both"/>
        <w:rPr>
          <w:rFonts w:ascii="Times New Roman" w:hAnsi="Times New Roman"/>
        </w:rPr>
      </w:pPr>
      <w:r>
        <w:rPr>
          <w:rFonts w:eastAsia="" w:eastAsiaTheme="minorEastAsia"/>
        </w:rPr>
        <w:t xml:space="preserve">4.3.2. Pretendents cenu norāda euro bez PVN ar divām zīmēm aiz komata. </w:t>
      </w:r>
    </w:p>
    <w:p>
      <w:pPr>
        <w:pStyle w:val="ListParagraph"/>
        <w:spacing w:lineRule="auto" w:line="252"/>
        <w:jc w:val="both"/>
        <w:rPr>
          <w:rFonts w:ascii="Times New Roman" w:hAnsi="Times New Roman"/>
        </w:rPr>
      </w:pPr>
      <w:r>
        <w:rPr>
          <w:rFonts w:eastAsia="" w:eastAsiaTheme="minorEastAsia"/>
        </w:rPr>
        <w:t>4.3.3. Finanšu piedāvājuma cenā ietver visas izmaksas, kas saistītas, un nepieciešamas Pakalpojuma pilnīgai un kvalitatīvai izpildei, kā arī visas izmaksas, kas saistītas ar iespējamajiem riskiem (piem., tirgus cenu svārstības plānotā līguma izpildes laikā).</w:t>
      </w:r>
    </w:p>
    <w:p>
      <w:pPr>
        <w:pStyle w:val="ListParagraph"/>
        <w:spacing w:lineRule="auto" w:line="252"/>
        <w:ind w:hanging="0" w:start="-11"/>
        <w:jc w:val="both"/>
        <w:rPr>
          <w:rFonts w:ascii="Times New Roman" w:hAnsi="Times New Roman" w:eastAsia="Times New Roman"/>
          <w:color w:themeColor="text1" w:val="000000"/>
          <w:sz w:val="24"/>
          <w:szCs w:val="24"/>
          <w:lang w:val="lv-LV" w:eastAsia="lv-LV"/>
        </w:rPr>
      </w:pPr>
      <w:r>
        <w:rPr>
          <w:rFonts w:eastAsia="Times New Roman"/>
          <w:color w:themeColor="text1" w:val="000000"/>
          <w:sz w:val="24"/>
          <w:szCs w:val="24"/>
          <w:lang w:val="lv-LV" w:eastAsia="lv-LV"/>
        </w:rPr>
      </w:r>
    </w:p>
    <w:p>
      <w:pPr>
        <w:pStyle w:val="ListParagraph"/>
        <w:numPr>
          <w:ilvl w:val="0"/>
          <w:numId w:val="3"/>
        </w:numPr>
        <w:spacing w:lineRule="auto" w:line="252" w:before="0" w:after="120"/>
        <w:ind w:hanging="284" w:start="284" w:end="-23"/>
        <w:jc w:val="center"/>
        <w:rPr>
          <w:rFonts w:ascii="Times New Roman" w:hAnsi="Times New Roman"/>
        </w:rPr>
      </w:pPr>
      <w:r>
        <w:rPr>
          <w:b/>
          <w:bCs/>
        </w:rPr>
        <w:t>PIEDĀVĀJUMA IZVĒLES KRITĒRIJS, PIEDĀVĀJUMU VĒRTĒŠANA, LĒMUMU PIEŅEMŠANA UN PAZIŅOŠANA</w:t>
      </w:r>
    </w:p>
    <w:p>
      <w:pPr>
        <w:pStyle w:val="ListParagraph"/>
        <w:numPr>
          <w:ilvl w:val="1"/>
          <w:numId w:val="3"/>
        </w:numPr>
        <w:spacing w:lineRule="auto" w:line="252"/>
        <w:ind w:hanging="426" w:start="426" w:end="-20"/>
        <w:jc w:val="both"/>
        <w:rPr>
          <w:rFonts w:ascii="Times New Roman" w:hAnsi="Times New Roman"/>
        </w:rPr>
      </w:pPr>
      <w:r>
        <w:rPr>
          <w:b/>
          <w:bCs/>
        </w:rPr>
        <w:t>Piedāvājuma izvēles kritērijs</w:t>
      </w:r>
    </w:p>
    <w:p>
      <w:pPr>
        <w:pStyle w:val="ListParagraph"/>
        <w:numPr>
          <w:ilvl w:val="2"/>
          <w:numId w:val="3"/>
        </w:numPr>
        <w:spacing w:lineRule="auto" w:line="252"/>
        <w:ind w:hanging="567" w:start="567" w:end="-20"/>
        <w:jc w:val="both"/>
        <w:rPr>
          <w:rFonts w:ascii="Times New Roman" w:hAnsi="Times New Roman"/>
        </w:rPr>
      </w:pPr>
      <w:r>
        <w:rPr/>
        <w:t xml:space="preserve"> </w:t>
      </w:r>
      <w:r>
        <w:rPr/>
        <w:t>Piedāvājuma izvēles kritērijs ir zemākā cena katrā no pozīcijām.</w:t>
      </w:r>
    </w:p>
    <w:p>
      <w:pPr>
        <w:pStyle w:val="Normal"/>
        <w:spacing w:lineRule="auto" w:line="252" w:before="0" w:after="0"/>
        <w:jc w:val="end"/>
        <w:rPr>
          <w:rFonts w:ascii="Times New Roman" w:hAnsi="Times New Roman"/>
        </w:rPr>
      </w:pPr>
      <w:r>
        <w:rPr>
          <w:rFonts w:ascii="Times New Roman" w:hAnsi="Times New Roman"/>
        </w:rPr>
      </w:r>
    </w:p>
    <w:p>
      <w:pPr>
        <w:pStyle w:val="Normal"/>
        <w:spacing w:lineRule="auto" w:line="252" w:before="0" w:after="0"/>
        <w:jc w:val="end"/>
        <w:rPr>
          <w:rFonts w:ascii="Times New Roman" w:hAnsi="Times New Roman"/>
        </w:rPr>
      </w:pPr>
      <w:r>
        <w:rPr>
          <w:rFonts w:ascii="Times New Roman" w:hAnsi="Times New Roman"/>
        </w:rPr>
      </w:r>
    </w:p>
    <w:p>
      <w:pPr>
        <w:pStyle w:val="ListParagraph"/>
        <w:numPr>
          <w:ilvl w:val="0"/>
          <w:numId w:val="3"/>
        </w:numPr>
        <w:tabs>
          <w:tab w:val="clear" w:pos="720"/>
          <w:tab w:val="left" w:pos="3360" w:leader="none"/>
        </w:tabs>
        <w:spacing w:lineRule="auto" w:line="252" w:before="0" w:after="120"/>
        <w:ind w:hanging="357" w:start="357" w:end="-23"/>
        <w:jc w:val="center"/>
        <w:rPr>
          <w:rFonts w:ascii="Times New Roman" w:hAnsi="Times New Roman"/>
        </w:rPr>
      </w:pPr>
      <w:r>
        <w:rPr>
          <w:b/>
          <w:bCs/>
          <w:color w:themeColor="text1" w:val="000000"/>
        </w:rPr>
        <w:t>PIELIKUMI</w:t>
      </w:r>
    </w:p>
    <w:p>
      <w:pPr>
        <w:pStyle w:val="ListParagraph"/>
        <w:numPr>
          <w:ilvl w:val="1"/>
          <w:numId w:val="3"/>
        </w:numPr>
        <w:tabs>
          <w:tab w:val="clear" w:pos="720"/>
          <w:tab w:val="left" w:pos="3360" w:leader="none"/>
        </w:tabs>
        <w:spacing w:lineRule="auto" w:line="252"/>
        <w:ind w:hanging="720" w:start="720" w:end="-23"/>
        <w:jc w:val="both"/>
        <w:rPr>
          <w:rFonts w:ascii="Times New Roman" w:hAnsi="Times New Roman"/>
        </w:rPr>
      </w:pPr>
      <w:r>
        <w:rPr/>
        <w:t>1. pielikums “Pretendenta apliecinājums”</w:t>
      </w:r>
    </w:p>
    <w:p>
      <w:pPr>
        <w:pStyle w:val="ListParagraph"/>
        <w:numPr>
          <w:ilvl w:val="1"/>
          <w:numId w:val="3"/>
        </w:numPr>
        <w:tabs>
          <w:tab w:val="clear" w:pos="720"/>
          <w:tab w:val="left" w:pos="3360" w:leader="none"/>
        </w:tabs>
        <w:spacing w:lineRule="auto" w:line="252"/>
        <w:ind w:hanging="720" w:start="720" w:end="-23"/>
        <w:jc w:val="both"/>
        <w:rPr>
          <w:rFonts w:ascii="Times New Roman" w:hAnsi="Times New Roman"/>
        </w:rPr>
      </w:pPr>
      <w:r>
        <w:rPr/>
        <w:t xml:space="preserve">2. pielikums “ </w:t>
      </w:r>
      <w:r>
        <w:rPr>
          <w:rFonts w:eastAsia="Times New Roman"/>
          <w:sz w:val="24"/>
          <w:szCs w:val="24"/>
          <w:lang w:val="lv-LV"/>
        </w:rPr>
        <w:t>Pretendenta pieteikums dalībai iepirkumā”</w:t>
      </w:r>
    </w:p>
    <w:p>
      <w:pPr>
        <w:pStyle w:val="ListParagraph"/>
        <w:numPr>
          <w:ilvl w:val="1"/>
          <w:numId w:val="3"/>
        </w:numPr>
        <w:tabs>
          <w:tab w:val="clear" w:pos="720"/>
          <w:tab w:val="left" w:pos="3360" w:leader="none"/>
        </w:tabs>
        <w:spacing w:lineRule="auto" w:line="252"/>
        <w:ind w:hanging="720" w:start="720" w:end="-23"/>
        <w:jc w:val="both"/>
        <w:rPr>
          <w:rFonts w:ascii="Times New Roman" w:hAnsi="Times New Roman"/>
        </w:rPr>
      </w:pPr>
      <w:r>
        <w:rPr>
          <w:rFonts w:eastAsia="Times New Roman"/>
          <w:sz w:val="24"/>
          <w:szCs w:val="24"/>
          <w:lang w:val="lv-LV"/>
        </w:rPr>
        <w:t xml:space="preserve">3. pielikums “ </w:t>
      </w:r>
      <w:r>
        <w:rPr>
          <w:rFonts w:eastAsia="Times New Roman"/>
          <w:color w:themeColor="text1" w:val="000000"/>
          <w:sz w:val="24"/>
          <w:szCs w:val="24"/>
          <w:lang w:val="lv-LV"/>
        </w:rPr>
        <w:t>Finanšu piedāvājums”</w:t>
      </w:r>
    </w:p>
    <w:p>
      <w:pPr>
        <w:pStyle w:val="ListParagraph"/>
        <w:numPr>
          <w:ilvl w:val="0"/>
          <w:numId w:val="0"/>
        </w:numPr>
        <w:tabs>
          <w:tab w:val="clear" w:pos="720"/>
          <w:tab w:val="left" w:pos="3360" w:leader="none"/>
        </w:tabs>
        <w:spacing w:lineRule="auto" w:line="252"/>
        <w:ind w:hanging="0" w:start="720" w:end="-23"/>
        <w:jc w:val="both"/>
        <w:rPr>
          <w:rFonts w:ascii="Times New Roman" w:hAnsi="Times New Roman"/>
        </w:rPr>
      </w:pPr>
      <w:r>
        <w:rPr/>
      </w:r>
    </w:p>
    <w:p>
      <w:pPr>
        <w:pStyle w:val="Normal"/>
        <w:spacing w:lineRule="auto" w:line="240" w:before="0" w:after="0"/>
        <w:ind w:hanging="0" w:start="-23" w:end="-23"/>
        <w:contextualSpacing/>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p>
      <w:pPr>
        <w:pStyle w:val="Normal"/>
        <w:spacing w:lineRule="auto" w:line="240" w:before="0" w:after="0"/>
        <w:ind w:hanging="0" w:start="-23" w:end="-23"/>
        <w:contextualSpacing/>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p>
      <w:pPr>
        <w:pStyle w:val="Normal"/>
        <w:spacing w:lineRule="auto" w:line="240" w:before="0" w:after="0"/>
        <w:ind w:hanging="0" w:start="-23" w:end="-23"/>
        <w:contextualSpacing/>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p>
      <w:pPr>
        <w:pStyle w:val="Normal"/>
        <w:spacing w:lineRule="auto" w:line="240" w:before="0" w:after="0"/>
        <w:ind w:hanging="0" w:start="-23" w:end="-23"/>
        <w:contextualSpacing/>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r>
        <w:br w:type="page"/>
      </w:r>
    </w:p>
    <w:p>
      <w:pPr>
        <w:pStyle w:val="ListParagraph"/>
        <w:spacing w:lineRule="auto" w:line="252" w:before="0" w:after="0"/>
        <w:ind w:hanging="567" w:start="567" w:end="-20"/>
        <w:jc w:val="end"/>
        <w:rPr>
          <w:rFonts w:ascii="Times New Roman" w:hAnsi="Times New Roman"/>
        </w:rPr>
      </w:pPr>
      <w:r>
        <w:rPr>
          <w:sz w:val="22"/>
          <w:szCs w:val="22"/>
        </w:rPr>
        <w:t>Pielikums Nr1.</w:t>
      </w:r>
    </w:p>
    <w:p>
      <w:pPr>
        <w:pStyle w:val="ListParagraph"/>
        <w:spacing w:lineRule="auto" w:line="252"/>
        <w:ind w:hanging="567" w:start="567" w:end="-20"/>
        <w:jc w:val="end"/>
        <w:rPr>
          <w:rFonts w:ascii="Times New Roman" w:hAnsi="Times New Roman"/>
        </w:rPr>
      </w:pPr>
      <w:r>
        <w:rPr>
          <w:b/>
          <w:bCs/>
          <w:sz w:val="22"/>
          <w:szCs w:val="22"/>
        </w:rPr>
        <w:t>Izpildītāja apliecinājums</w:t>
      </w:r>
    </w:p>
    <w:p>
      <w:pPr>
        <w:pStyle w:val="ListParagraph"/>
        <w:spacing w:lineRule="auto" w:line="252"/>
        <w:ind w:hanging="567" w:start="567" w:end="-20"/>
        <w:jc w:val="end"/>
        <w:rPr>
          <w:rFonts w:ascii="Times New Roman" w:hAnsi="Times New Roman"/>
          <w:sz w:val="22"/>
          <w:szCs w:val="22"/>
        </w:rPr>
      </w:pPr>
      <w:r>
        <w:rPr>
          <w:sz w:val="22"/>
          <w:szCs w:val="22"/>
        </w:rPr>
      </w:r>
    </w:p>
    <w:p>
      <w:pPr>
        <w:pStyle w:val="ListParagraph"/>
        <w:spacing w:lineRule="auto" w:line="252"/>
        <w:ind w:hanging="567" w:start="567" w:end="-20"/>
        <w:jc w:val="both"/>
        <w:rPr>
          <w:rFonts w:ascii="Times New Roman" w:hAnsi="Times New Roman"/>
        </w:rPr>
      </w:pPr>
      <w:r>
        <w:rPr>
          <w:rFonts w:eastAsia="Times New Roman"/>
          <w:sz w:val="22"/>
          <w:szCs w:val="22"/>
          <w:lang w:val="lv-LV"/>
        </w:rPr>
        <w:t>Pretendents, tā &lt;</w:t>
      </w:r>
      <w:r>
        <w:rPr>
          <w:rFonts w:eastAsia="Times New Roman"/>
          <w:i/>
          <w:iCs/>
          <w:sz w:val="22"/>
          <w:szCs w:val="22"/>
          <w:u w:val="single"/>
          <w:lang w:val="lv-LV"/>
        </w:rPr>
        <w:t>amats, vārds, uzvārds&gt;</w:t>
      </w:r>
      <w:r>
        <w:rPr>
          <w:rFonts w:eastAsia="Times New Roman"/>
          <w:i/>
          <w:iCs/>
          <w:sz w:val="22"/>
          <w:szCs w:val="22"/>
          <w:lang w:val="lv-LV"/>
        </w:rPr>
        <w:t>,</w:t>
      </w:r>
      <w:r>
        <w:rPr>
          <w:rFonts w:eastAsia="Times New Roman"/>
          <w:sz w:val="22"/>
          <w:szCs w:val="22"/>
          <w:lang w:val="lv-LV"/>
        </w:rPr>
        <w:t xml:space="preserve"> kurš(-a) darbojas pamatojoties uz &lt;</w:t>
      </w:r>
      <w:r>
        <w:rPr>
          <w:rFonts w:eastAsia="Times New Roman"/>
          <w:i/>
          <w:iCs/>
          <w:sz w:val="22"/>
          <w:szCs w:val="22"/>
          <w:u w:val="single"/>
          <w:lang w:val="lv-LV"/>
        </w:rPr>
        <w:t>statūtiem/pilnvaras&gt;</w:t>
      </w:r>
      <w:r>
        <w:rPr>
          <w:rFonts w:eastAsia="Times New Roman"/>
          <w:i/>
          <w:iCs/>
          <w:sz w:val="22"/>
          <w:szCs w:val="22"/>
          <w:lang w:val="lv-LV"/>
        </w:rPr>
        <w:t>,</w:t>
      </w:r>
      <w:r>
        <w:rPr>
          <w:rFonts w:eastAsia="Times New Roman"/>
          <w:i/>
          <w:iCs/>
          <w:sz w:val="22"/>
          <w:szCs w:val="22"/>
          <w:u w:val="single"/>
          <w:lang w:val="lv-LV"/>
        </w:rPr>
        <w:t xml:space="preserve"> </w:t>
      </w:r>
      <w:r>
        <w:rPr>
          <w:rFonts w:eastAsia="Times New Roman"/>
          <w:sz w:val="22"/>
          <w:szCs w:val="22"/>
          <w:lang w:val="lv-LV"/>
        </w:rPr>
        <w:t>personā</w:t>
      </w:r>
      <w:r>
        <w:rPr>
          <w:sz w:val="22"/>
          <w:szCs w:val="22"/>
        </w:rPr>
        <w:t>, apliecina ka ir tiesīgs slēgt piegādes līgumu un mums neattiecas neviens no sekojošajiem izslēgšanas nosacījumiem:</w:t>
      </w:r>
    </w:p>
    <w:p>
      <w:pPr>
        <w:pStyle w:val="ListParagraph"/>
        <w:numPr>
          <w:ilvl w:val="3"/>
          <w:numId w:val="6"/>
        </w:numPr>
        <w:spacing w:lineRule="auto" w:line="252"/>
        <w:jc w:val="both"/>
        <w:rPr>
          <w:rFonts w:ascii="Times New Roman" w:hAnsi="Times New Roman"/>
        </w:rPr>
      </w:pPr>
      <w:r>
        <w:rPr>
          <w:sz w:val="22"/>
          <w:szCs w:val="22"/>
        </w:rPr>
        <w:t>Starptautisko un Latvijas Republikas nacionālo sankciju likuma 11.</w:t>
      </w:r>
      <w:r>
        <w:rPr>
          <w:sz w:val="22"/>
          <w:szCs w:val="22"/>
          <w:vertAlign w:val="superscript"/>
        </w:rPr>
        <w:t>1</w:t>
      </w:r>
      <w:r>
        <w:rPr>
          <w:sz w:val="22"/>
          <w:szCs w:val="22"/>
        </w:rPr>
        <w:t xml:space="preserve"> panta pirmajā daļā minētie izslēgšanas nosacījumi:</w:t>
      </w:r>
    </w:p>
    <w:p>
      <w:pPr>
        <w:pStyle w:val="ListParagraph"/>
        <w:numPr>
          <w:ilvl w:val="0"/>
          <w:numId w:val="0"/>
        </w:numPr>
        <w:spacing w:lineRule="auto" w:line="252"/>
        <w:ind w:hanging="0" w:start="1440"/>
        <w:jc w:val="both"/>
        <w:rPr>
          <w:rFonts w:ascii="Times New Roman" w:hAnsi="Times New Roman"/>
        </w:rPr>
      </w:pPr>
      <w:r>
        <w:rPr>
          <w:sz w:val="22"/>
          <w:szCs w:val="22"/>
        </w:rPr>
        <w:t>Uz Pretendentu, kuram būtu piešķiramas līguma slēgšanas tiesības,</w:t>
      </w:r>
      <w:r>
        <w:rPr>
          <w:b/>
          <w:bCs/>
          <w:sz w:val="22"/>
          <w:szCs w:val="22"/>
        </w:rPr>
        <w:t xml:space="preserve"> </w:t>
      </w:r>
      <w:r>
        <w:rPr>
          <w:sz w:val="22"/>
          <w:szCs w:val="22"/>
        </w:rPr>
        <w:t>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ir noteiktas starptautiskās vai nacionālās sankcijas vai būtiskas finanšu tirgus intereses ietekmējošas Eiropas Savienības dalībvalsts vai Ziemeļatlantijas līguma organizācijas dalībvalsts sankcijas. Ja attiecībā uz pretendentu vai kādu no minētajām personām noteiktās starptautiskās vai nacionālās sankcijas vai būtiskas finanšu tirgus intereses ietekmējošas Eiropas Savienības dalībvalsts vai Ziemeļatlantijas līguma organizācijas dalībvalsts sankcijas kavēs līguma izpildi, pretendents ir izslēdzams no dalības līguma slēgšanas tiesību piešķiršanas procedūrā;</w:t>
      </w:r>
    </w:p>
    <w:p>
      <w:pPr>
        <w:pStyle w:val="ListParagraph"/>
        <w:numPr>
          <w:ilvl w:val="3"/>
          <w:numId w:val="6"/>
        </w:numPr>
        <w:spacing w:lineRule="auto" w:line="252"/>
        <w:jc w:val="both"/>
        <w:rPr>
          <w:rFonts w:ascii="Times New Roman" w:hAnsi="Times New Roman"/>
        </w:rPr>
      </w:pPr>
      <w:r>
        <w:rPr>
          <w:sz w:val="22"/>
          <w:szCs w:val="22"/>
        </w:rPr>
        <w:t xml:space="preserve">Uz Pretendentu un PIL 42. panta trešās daļas 1., 2. un 3. punktā minētajām personām nav attiecināmi Publisko iepirkuma likuma 42. panta otrās daļas 1., 2., 3., 4., 5., 6., 7., 10., 11., 12., 13. un 14. punktā minētie izslēgšanas iemesli. (Publisko iepirkumu likuma </w:t>
      </w:r>
      <w:r>
        <w:rPr>
          <w:rFonts w:eastAsia="" w:eastAsiaTheme="minorEastAsia"/>
          <w:sz w:val="22"/>
          <w:szCs w:val="22"/>
          <w:lang w:eastAsia="en-US"/>
        </w:rPr>
        <w:t>42. panta otrās daļas 8. un 9. punktā noteiktie alternatīvie izslēgšanas nosacījumi netiks piemēroti).</w:t>
      </w:r>
    </w:p>
    <w:p>
      <w:pPr>
        <w:pStyle w:val="ListParagraph"/>
        <w:numPr>
          <w:ilvl w:val="3"/>
          <w:numId w:val="6"/>
        </w:numPr>
        <w:spacing w:lineRule="auto" w:line="252"/>
        <w:jc w:val="both"/>
        <w:rPr>
          <w:rFonts w:ascii="Times New Roman" w:hAnsi="Times New Roman"/>
        </w:rPr>
      </w:pPr>
      <w:r>
        <w:rPr>
          <w:rFonts w:eastAsia="" w:eastAsiaTheme="minorEastAsia"/>
          <w:sz w:val="22"/>
          <w:szCs w:val="22"/>
        </w:rPr>
        <w:t>Uz Pretendentu vai uz PIL 42. panta trešās daļas 4. punktā minētajām personām nav attiecināmi Publisko iepirkuma likuma 42. panta otrās daļas 1., 2. un 3. punktā minētie izslēgšanas iemesli.</w:t>
      </w:r>
    </w:p>
    <w:p>
      <w:pPr>
        <w:pStyle w:val="ListParagraph"/>
        <w:numPr>
          <w:ilvl w:val="3"/>
          <w:numId w:val="6"/>
        </w:numPr>
        <w:spacing w:lineRule="auto" w:line="252"/>
        <w:jc w:val="both"/>
        <w:rPr>
          <w:rFonts w:ascii="Times New Roman" w:hAnsi="Times New Roman"/>
        </w:rPr>
      </w:pPr>
      <w:r>
        <w:rPr>
          <w:rFonts w:eastAsia="" w:eastAsiaTheme="minorEastAsia"/>
          <w:sz w:val="22"/>
          <w:szCs w:val="22"/>
          <w:lang w:eastAsia="en-US"/>
        </w:rPr>
        <w:t xml:space="preserve">Uz Pretendentu vai uz PIL 42. panta trešajā trešās daļas 5. punktā minētajām personām nav attiecināmi Publisko iepirkuma likuma 42. panta otrās daļas 1., 2. un 11. punktā minētie izslēgšanas iemesli. </w:t>
      </w:r>
    </w:p>
    <w:p>
      <w:pPr>
        <w:pStyle w:val="ListParagraph"/>
        <w:numPr>
          <w:ilvl w:val="3"/>
          <w:numId w:val="6"/>
        </w:numPr>
        <w:spacing w:lineRule="auto" w:line="252"/>
        <w:jc w:val="both"/>
        <w:rPr>
          <w:rFonts w:ascii="Times New Roman" w:hAnsi="Times New Roman"/>
        </w:rPr>
      </w:pPr>
      <w:r>
        <w:rPr>
          <w:sz w:val="22"/>
          <w:szCs w:val="22"/>
        </w:rPr>
        <w:t>Uz Pretendentu nav attiecināmi Eiropas Savienības Padomes 2022. gada 8. aprīļa regulas (ES) 2022/576, ar kuru groza Regulu (ES) Nr. 833/2014 par ierobežojošiem pasākumiem saistībā ar Krievijas darbībām, kas destabilizē situāciju Ukrainā, 5.k panta 1. punktā noteiktie izslēgšanas iemesli.</w:t>
      </w:r>
    </w:p>
    <w:p>
      <w:pPr>
        <w:pStyle w:val="ListParagraph"/>
        <w:numPr>
          <w:ilvl w:val="3"/>
          <w:numId w:val="6"/>
        </w:numPr>
        <w:spacing w:lineRule="auto" w:line="252"/>
        <w:jc w:val="both"/>
        <w:rPr>
          <w:rFonts w:ascii="Times New Roman" w:hAnsi="Times New Roman"/>
        </w:rPr>
      </w:pPr>
      <w:r>
        <w:rPr>
          <w:sz w:val="22"/>
          <w:szCs w:val="22"/>
        </w:rPr>
        <w:t>Uz Pretendentu neattiecas kāds no PIL 43. panta pirmajā daļā norādītajiem izslēgšanas gadījumiem.</w:t>
      </w:r>
    </w:p>
    <w:p>
      <w:pPr>
        <w:pStyle w:val="Normal"/>
        <w:numPr>
          <w:ilvl w:val="0"/>
          <w:numId w:val="0"/>
        </w:numPr>
        <w:spacing w:lineRule="auto" w:line="259" w:before="0" w:after="0"/>
        <w:ind w:hanging="0" w:start="0"/>
        <w:rPr>
          <w:rFonts w:ascii="Times New Roman" w:hAnsi="Times New Roman"/>
        </w:rPr>
      </w:pPr>
      <w:r>
        <w:rPr>
          <w:rFonts w:ascii="Times New Roman" w:hAnsi="Times New Roman"/>
          <w:b/>
          <w:color w:val="111A54"/>
          <w:sz w:val="22"/>
          <w:szCs w:val="22"/>
        </w:rPr>
        <w:t xml:space="preserve"> </w:t>
      </w:r>
    </w:p>
    <w:tbl>
      <w:tblPr>
        <w:tblStyle w:val="TableGrid"/>
        <w:tblW w:w="8910" w:type="dxa"/>
        <w:jc w:val="start"/>
        <w:tblInd w:w="7" w:type="dxa"/>
        <w:tblLayout w:type="fixed"/>
        <w:tblCellMar>
          <w:top w:w="0" w:type="dxa"/>
          <w:start w:w="102" w:type="dxa"/>
          <w:bottom w:w="8" w:type="dxa"/>
          <w:end w:w="38" w:type="dxa"/>
        </w:tblCellMar>
        <w:tblLook w:val="04a0" w:firstRow="1" w:noVBand="1" w:lastRow="0" w:firstColumn="1" w:lastColumn="0" w:noHBand="0"/>
      </w:tblPr>
      <w:tblGrid>
        <w:gridCol w:w="2400"/>
        <w:gridCol w:w="6510"/>
      </w:tblGrid>
      <w:tr>
        <w:trPr>
          <w:trHeight w:val="808" w:hRule="atLeast"/>
        </w:trPr>
        <w:tc>
          <w:tcPr>
            <w:tcW w:w="240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
                <w:color w:val="111A54"/>
                <w:kern w:val="2"/>
                <w:sz w:val="22"/>
                <w:szCs w:val="22"/>
              </w:rPr>
              <w:t>Vārds, uzvārds:</w:t>
            </w:r>
          </w:p>
        </w:tc>
        <w:tc>
          <w:tcPr>
            <w:tcW w:w="65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rPr>
            </w:r>
          </w:p>
        </w:tc>
      </w:tr>
      <w:tr>
        <w:trPr>
          <w:trHeight w:val="530" w:hRule="atLeast"/>
        </w:trPr>
        <w:tc>
          <w:tcPr>
            <w:tcW w:w="2400" w:type="dxa"/>
            <w:tcBorders>
              <w:top w:val="single" w:sz="6" w:space="0" w:color="000000"/>
              <w:start w:val="single" w:sz="6" w:space="0" w:color="000000"/>
              <w:bottom w:val="single" w:sz="6" w:space="0" w:color="000000"/>
              <w:end w:val="single" w:sz="6" w:space="0" w:color="000000"/>
            </w:tcBorders>
            <w:vAlign w:val="bottom"/>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
                <w:color w:val="111A54"/>
                <w:kern w:val="2"/>
                <w:sz w:val="22"/>
                <w:szCs w:val="22"/>
              </w:rPr>
              <w:t>Amats:</w:t>
            </w:r>
          </w:p>
        </w:tc>
        <w:tc>
          <w:tcPr>
            <w:tcW w:w="65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rPr>
            </w:r>
          </w:p>
        </w:tc>
      </w:tr>
      <w:tr>
        <w:trPr>
          <w:trHeight w:val="532" w:hRule="atLeast"/>
        </w:trPr>
        <w:tc>
          <w:tcPr>
            <w:tcW w:w="2400" w:type="dxa"/>
            <w:tcBorders>
              <w:top w:val="single" w:sz="6" w:space="0" w:color="000000"/>
              <w:start w:val="single" w:sz="6" w:space="0" w:color="000000"/>
              <w:bottom w:val="single" w:sz="6" w:space="0" w:color="000000"/>
              <w:end w:val="single" w:sz="6" w:space="0" w:color="000000"/>
            </w:tcBorders>
            <w:vAlign w:val="bottom"/>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
                <w:color w:val="111A54"/>
                <w:kern w:val="2"/>
                <w:sz w:val="22"/>
                <w:szCs w:val="22"/>
              </w:rPr>
              <w:t>Paraksts:</w:t>
            </w:r>
          </w:p>
        </w:tc>
        <w:tc>
          <w:tcPr>
            <w:tcW w:w="65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Cs/>
                <w:color w:val="111A54"/>
                <w:kern w:val="2"/>
                <w:sz w:val="22"/>
                <w:szCs w:val="22"/>
              </w:rPr>
              <w:t xml:space="preserve"> </w:t>
            </w:r>
          </w:p>
        </w:tc>
      </w:tr>
    </w:tbl>
    <w:p>
      <w:pPr>
        <w:pStyle w:val="Normal"/>
        <w:numPr>
          <w:ilvl w:val="0"/>
          <w:numId w:val="0"/>
        </w:numPr>
        <w:spacing w:lineRule="auto" w:line="240" w:before="0" w:after="0"/>
        <w:ind w:hanging="0" w:start="1440"/>
        <w:jc w:val="end"/>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p>
      <w:pPr>
        <w:pStyle w:val="Normal"/>
        <w:spacing w:lineRule="auto" w:line="240" w:before="0" w:after="0"/>
        <w:ind w:hanging="0" w:start="-23" w:end="-23"/>
        <w:contextualSpacing/>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p>
      <w:pPr>
        <w:pStyle w:val="Normal"/>
        <w:spacing w:lineRule="auto" w:line="240" w:before="0" w:after="0"/>
        <w:ind w:hanging="0" w:start="-23" w:end="-23"/>
        <w:contextualSpacing/>
        <w:jc w:val="both"/>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r>
        <w:br w:type="page"/>
      </w:r>
    </w:p>
    <w:p>
      <w:pPr>
        <w:pStyle w:val="Normal"/>
        <w:spacing w:before="0" w:after="200"/>
        <w:jc w:val="end"/>
        <w:rPr>
          <w:rFonts w:ascii="Times New Roman" w:hAnsi="Times New Roman" w:eastAsia="Ubuntu" w:cs="Ubuntu"/>
          <w:b/>
          <w:color w:val="111A54"/>
          <w:sz w:val="24"/>
          <w:szCs w:val="24"/>
        </w:rPr>
      </w:pPr>
      <w:r>
        <w:rPr>
          <w:rFonts w:eastAsia="Ubuntu" w:cs="Ubuntu" w:ascii="Times New Roman" w:hAnsi="Times New Roman"/>
          <w:b/>
          <w:color w:val="111A54"/>
          <w:sz w:val="24"/>
          <w:szCs w:val="24"/>
        </w:rPr>
        <w:t>Pielikums Nr2.</w:t>
      </w:r>
    </w:p>
    <w:p>
      <w:pPr>
        <w:pStyle w:val="Normal"/>
        <w:jc w:val="end"/>
        <w:rPr>
          <w:rFonts w:ascii="Times New Roman" w:hAnsi="Times New Roman"/>
          <w:sz w:val="24"/>
          <w:szCs w:val="24"/>
        </w:rPr>
      </w:pPr>
      <w:r>
        <w:rPr>
          <w:rFonts w:eastAsia="Ubuntu" w:cs="Ubuntu" w:ascii="Times New Roman" w:hAnsi="Times New Roman"/>
          <w:b/>
          <w:color w:val="111A54"/>
          <w:sz w:val="24"/>
          <w:szCs w:val="24"/>
        </w:rPr>
        <w:t xml:space="preserve">Pieteikums dalībai iepirkumā </w:t>
      </w:r>
    </w:p>
    <w:p>
      <w:pPr>
        <w:pStyle w:val="Normal"/>
        <w:jc w:val="center"/>
        <w:rPr>
          <w:rFonts w:ascii="Times New Roman" w:hAnsi="Times New Roman" w:eastAsia="Times New Roman"/>
          <w:b/>
          <w:bCs/>
          <w:color w:themeColor="text1" w:val="000000"/>
          <w:lang w:val="lv-LV"/>
        </w:rPr>
      </w:pPr>
      <w:r>
        <w:rPr>
          <w:rFonts w:eastAsia="Times New Roman" w:ascii="Times New Roman" w:hAnsi="Times New Roman"/>
          <w:b/>
          <w:bCs/>
          <w:color w:themeColor="text1" w:val="000000"/>
          <w:lang w:val="lv-LV"/>
        </w:rPr>
      </w:r>
    </w:p>
    <w:p>
      <w:pPr>
        <w:pStyle w:val="Normal"/>
        <w:spacing w:before="0" w:after="0"/>
        <w:jc w:val="center"/>
        <w:rPr>
          <w:rFonts w:ascii="Times New Roman" w:hAnsi="Times New Roman"/>
        </w:rPr>
      </w:pPr>
      <w:r>
        <w:rPr>
          <w:rFonts w:eastAsia="Times New Roman" w:ascii="Times New Roman" w:hAnsi="Times New Roman"/>
          <w:b/>
          <w:bCs/>
          <w:lang w:val="lv-LV"/>
        </w:rPr>
        <w:t>PRETENDENTA PIETEIKUMS DALĪBAI IEPIRKUMA PROCEDŪRĀ</w:t>
      </w:r>
    </w:p>
    <w:p>
      <w:pPr>
        <w:pStyle w:val="Normal"/>
        <w:spacing w:before="0" w:after="0"/>
        <w:jc w:val="both"/>
        <w:rPr>
          <w:rFonts w:ascii="Times New Roman" w:hAnsi="Times New Roman"/>
        </w:rPr>
      </w:pPr>
      <w:r>
        <w:rPr>
          <w:rFonts w:eastAsia="Times New Roman" w:ascii="Times New Roman" w:hAnsi="Times New Roman"/>
          <w:b/>
          <w:bCs/>
          <w:lang w:val="lv-LV"/>
        </w:rPr>
        <w:t xml:space="preserve"> </w:t>
      </w:r>
    </w:p>
    <w:p>
      <w:pPr>
        <w:pStyle w:val="Normal"/>
        <w:spacing w:before="0" w:after="0"/>
        <w:jc w:val="both"/>
        <w:rPr>
          <w:rFonts w:ascii="Times New Roman" w:hAnsi="Times New Roman"/>
        </w:rPr>
      </w:pPr>
      <w:r>
        <w:rPr>
          <w:rFonts w:eastAsia="Times New Roman" w:ascii="Times New Roman" w:hAnsi="Times New Roman"/>
          <w:b/>
          <w:bCs/>
          <w:lang w:val="lv-LV"/>
        </w:rPr>
        <w:t>Iesniedza:</w:t>
      </w:r>
    </w:p>
    <w:tbl>
      <w:tblPr>
        <w:tblW w:w="9079" w:type="dxa"/>
        <w:jc w:val="start"/>
        <w:tblInd w:w="105" w:type="dxa"/>
        <w:tblLayout w:type="fixed"/>
        <w:tblCellMar>
          <w:top w:w="0" w:type="dxa"/>
          <w:start w:w="108" w:type="dxa"/>
          <w:bottom w:w="0" w:type="dxa"/>
          <w:end w:w="108" w:type="dxa"/>
        </w:tblCellMar>
        <w:tblLook w:val="04a0" w:firstRow="1" w:noVBand="1" w:lastRow="0" w:firstColumn="1" w:lastColumn="0" w:noHBand="0"/>
      </w:tblPr>
      <w:tblGrid>
        <w:gridCol w:w="4682"/>
        <w:gridCol w:w="4397"/>
      </w:tblGrid>
      <w:tr>
        <w:trPr>
          <w:trHeight w:val="300" w:hRule="atLeast"/>
        </w:trPr>
        <w:tc>
          <w:tcPr>
            <w:tcW w:w="4682" w:type="dxa"/>
            <w:tcBorders>
              <w:top w:val="single" w:sz="8" w:space="0" w:color="000000"/>
              <w:start w:val="single" w:sz="8" w:space="0" w:color="000000"/>
              <w:bottom w:val="single" w:sz="8" w:space="0" w:color="000000"/>
            </w:tcBorders>
            <w:shd w:color="auto" w:fill="E6E6E6" w:val="clear"/>
            <w:vAlign w:val="center"/>
          </w:tcPr>
          <w:p>
            <w:pPr>
              <w:pStyle w:val="Normal"/>
              <w:widowControl w:val="false"/>
              <w:spacing w:before="0" w:after="0"/>
              <w:jc w:val="center"/>
              <w:rPr>
                <w:rFonts w:ascii="Times New Roman" w:hAnsi="Times New Roman"/>
              </w:rPr>
            </w:pPr>
            <w:r>
              <w:rPr>
                <w:rFonts w:eastAsia="Times New Roman" w:ascii="Times New Roman" w:hAnsi="Times New Roman"/>
                <w:b/>
                <w:bCs/>
                <w:lang w:val="lv-LV"/>
              </w:rPr>
              <w:t>Pretendenta nosaukums</w:t>
            </w:r>
          </w:p>
        </w:tc>
        <w:tc>
          <w:tcPr>
            <w:tcW w:w="4397" w:type="dxa"/>
            <w:tcBorders>
              <w:top w:val="single" w:sz="8" w:space="0" w:color="000000"/>
              <w:start w:val="single" w:sz="8" w:space="0" w:color="000000"/>
              <w:bottom w:val="single" w:sz="8" w:space="0" w:color="000000"/>
              <w:end w:val="single" w:sz="8" w:space="0" w:color="000000"/>
            </w:tcBorders>
            <w:shd w:color="auto" w:fill="E6E6E6" w:val="clear"/>
            <w:vAlign w:val="center"/>
          </w:tcPr>
          <w:p>
            <w:pPr>
              <w:pStyle w:val="Normal"/>
              <w:widowControl w:val="false"/>
              <w:spacing w:before="0" w:after="0"/>
              <w:jc w:val="center"/>
              <w:rPr>
                <w:rFonts w:ascii="Times New Roman" w:hAnsi="Times New Roman"/>
              </w:rPr>
            </w:pPr>
            <w:r>
              <w:rPr>
                <w:rFonts w:eastAsia="Times New Roman" w:ascii="Times New Roman" w:hAnsi="Times New Roman"/>
                <w:b/>
                <w:bCs/>
                <w:lang w:val="lv-LV"/>
              </w:rPr>
              <w:t>Rekvizīti</w:t>
            </w:r>
          </w:p>
          <w:p>
            <w:pPr>
              <w:pStyle w:val="Normal"/>
              <w:widowControl w:val="false"/>
              <w:spacing w:before="0" w:after="0"/>
              <w:jc w:val="center"/>
              <w:rPr>
                <w:rFonts w:ascii="Times New Roman" w:hAnsi="Times New Roman"/>
              </w:rPr>
            </w:pPr>
            <w:r>
              <w:rPr>
                <w:rFonts w:eastAsia="Times New Roman" w:ascii="Times New Roman" w:hAnsi="Times New Roman"/>
                <w:sz w:val="20"/>
                <w:szCs w:val="20"/>
                <w:lang w:val="lv-LV"/>
              </w:rPr>
              <w:t>(juridiskā adrese, vienotais reģistrācijas numurs, nodokļu maksātāja reģistrācijas numurs)</w:t>
            </w:r>
          </w:p>
        </w:tc>
      </w:tr>
      <w:tr>
        <w:trPr>
          <w:trHeight w:val="330" w:hRule="atLeast"/>
        </w:trPr>
        <w:tc>
          <w:tcPr>
            <w:tcW w:w="4682" w:type="dxa"/>
            <w:tcBorders>
              <w:top w:val="single" w:sz="8" w:space="0" w:color="000000"/>
              <w:start w:val="single" w:sz="8" w:space="0" w:color="000000"/>
              <w:bottom w:val="single" w:sz="8" w:space="0" w:color="000000"/>
            </w:tcBorders>
          </w:tcPr>
          <w:p>
            <w:pPr>
              <w:pStyle w:val="Normal"/>
              <w:widowControl w:val="false"/>
              <w:spacing w:before="0" w:after="0"/>
              <w:jc w:val="both"/>
              <w:rPr>
                <w:rFonts w:ascii="Times New Roman" w:hAnsi="Times New Roman"/>
              </w:rPr>
            </w:pPr>
            <w:r>
              <w:rPr>
                <w:rFonts w:eastAsia="Times New Roman" w:ascii="Times New Roman" w:hAnsi="Times New Roman"/>
                <w:lang w:val="lv-LV"/>
              </w:rPr>
              <w:t xml:space="preserve"> </w:t>
            </w:r>
          </w:p>
        </w:tc>
        <w:tc>
          <w:tcPr>
            <w:tcW w:w="4397"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both"/>
              <w:rPr>
                <w:rFonts w:ascii="Times New Roman" w:hAnsi="Times New Roman"/>
              </w:rPr>
            </w:pPr>
            <w:r>
              <w:rPr>
                <w:rFonts w:eastAsia="Times New Roman" w:ascii="Times New Roman" w:hAnsi="Times New Roman"/>
                <w:lang w:val="lv-LV"/>
              </w:rPr>
              <w:t xml:space="preserve"> </w:t>
            </w:r>
          </w:p>
        </w:tc>
      </w:tr>
    </w:tbl>
    <w:p>
      <w:pPr>
        <w:pStyle w:val="Normal"/>
        <w:spacing w:before="0" w:after="0"/>
        <w:jc w:val="both"/>
        <w:rPr>
          <w:rFonts w:ascii="Times New Roman" w:hAnsi="Times New Roman"/>
        </w:rPr>
      </w:pPr>
      <w:r>
        <w:rPr>
          <w:rFonts w:eastAsia="Times New Roman" w:ascii="Times New Roman" w:hAnsi="Times New Roman"/>
          <w:lang w:val="lv-LV"/>
        </w:rPr>
        <w:t>turpmāk – Pretendents</w:t>
      </w:r>
    </w:p>
    <w:p>
      <w:pPr>
        <w:pStyle w:val="Normal"/>
        <w:spacing w:before="0" w:after="0"/>
        <w:jc w:val="both"/>
        <w:rPr>
          <w:rFonts w:ascii="Times New Roman" w:hAnsi="Times New Roman"/>
        </w:rPr>
      </w:pPr>
      <w:r>
        <w:rPr>
          <w:rFonts w:eastAsia="Times New Roman" w:ascii="Times New Roman" w:hAnsi="Times New Roman"/>
          <w:b/>
          <w:bCs/>
          <w:lang w:val="lv-LV"/>
        </w:rPr>
        <w:t xml:space="preserve"> </w:t>
      </w:r>
    </w:p>
    <w:p>
      <w:pPr>
        <w:pStyle w:val="Normal"/>
        <w:spacing w:before="0" w:after="0"/>
        <w:jc w:val="both"/>
        <w:rPr>
          <w:rFonts w:ascii="Times New Roman" w:hAnsi="Times New Roman"/>
        </w:rPr>
      </w:pPr>
      <w:r>
        <w:rPr>
          <w:rFonts w:eastAsia="Times New Roman" w:ascii="Times New Roman" w:hAnsi="Times New Roman"/>
          <w:b/>
          <w:bCs/>
          <w:lang w:val="lv-LV"/>
        </w:rPr>
        <w:t>Kontaktpersona:</w:t>
      </w:r>
    </w:p>
    <w:tbl>
      <w:tblPr>
        <w:tblW w:w="9078" w:type="dxa"/>
        <w:jc w:val="start"/>
        <w:tblInd w:w="105" w:type="dxa"/>
        <w:tblLayout w:type="fixed"/>
        <w:tblCellMar>
          <w:top w:w="0" w:type="dxa"/>
          <w:start w:w="108" w:type="dxa"/>
          <w:bottom w:w="0" w:type="dxa"/>
          <w:end w:w="108" w:type="dxa"/>
        </w:tblCellMar>
        <w:tblLook w:val="04a0" w:firstRow="1" w:noVBand="1" w:lastRow="0" w:firstColumn="1" w:lastColumn="0" w:noHBand="0"/>
      </w:tblPr>
      <w:tblGrid>
        <w:gridCol w:w="2107"/>
        <w:gridCol w:w="6971"/>
      </w:tblGrid>
      <w:tr>
        <w:trPr>
          <w:trHeight w:val="405" w:hRule="atLeast"/>
        </w:trPr>
        <w:tc>
          <w:tcPr>
            <w:tcW w:w="2107" w:type="dxa"/>
            <w:tcBorders>
              <w:top w:val="single" w:sz="8" w:space="0" w:color="000000"/>
              <w:start w:val="single" w:sz="8" w:space="0" w:color="000000"/>
              <w:bottom w:val="single" w:sz="8" w:space="0" w:color="000000"/>
            </w:tcBorders>
            <w:shd w:color="auto" w:fill="E6E6E6" w:val="clear"/>
            <w:vAlign w:val="center"/>
          </w:tcPr>
          <w:p>
            <w:pPr>
              <w:pStyle w:val="Normal"/>
              <w:widowControl w:val="false"/>
              <w:spacing w:before="0" w:after="0"/>
              <w:jc w:val="both"/>
              <w:rPr>
                <w:rFonts w:ascii="Times New Roman" w:hAnsi="Times New Roman"/>
              </w:rPr>
            </w:pPr>
            <w:r>
              <w:rPr>
                <w:rFonts w:eastAsia="Times New Roman" w:ascii="Times New Roman" w:hAnsi="Times New Roman"/>
                <w:lang w:val="lv-LV"/>
              </w:rPr>
              <w:t>Vārds, uzvārds</w:t>
            </w:r>
          </w:p>
        </w:tc>
        <w:tc>
          <w:tcPr>
            <w:tcW w:w="6971"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both"/>
              <w:rPr>
                <w:rFonts w:ascii="Times New Roman" w:hAnsi="Times New Roman"/>
              </w:rPr>
            </w:pPr>
            <w:r>
              <w:rPr>
                <w:rFonts w:eastAsia="Times New Roman" w:ascii="Times New Roman" w:hAnsi="Times New Roman"/>
                <w:lang w:val="lv-LV"/>
              </w:rPr>
              <w:t xml:space="preserve"> </w:t>
            </w:r>
          </w:p>
        </w:tc>
      </w:tr>
      <w:tr>
        <w:trPr>
          <w:trHeight w:val="240" w:hRule="atLeast"/>
        </w:trPr>
        <w:tc>
          <w:tcPr>
            <w:tcW w:w="2107" w:type="dxa"/>
            <w:tcBorders>
              <w:top w:val="single" w:sz="8" w:space="0" w:color="000000"/>
              <w:start w:val="single" w:sz="8" w:space="0" w:color="000000"/>
              <w:bottom w:val="single" w:sz="8" w:space="0" w:color="000000"/>
            </w:tcBorders>
            <w:shd w:color="auto" w:fill="E6E6E6" w:val="clear"/>
            <w:vAlign w:val="center"/>
          </w:tcPr>
          <w:p>
            <w:pPr>
              <w:pStyle w:val="Normal"/>
              <w:widowControl w:val="false"/>
              <w:spacing w:before="0" w:after="0"/>
              <w:jc w:val="both"/>
              <w:rPr>
                <w:rFonts w:ascii="Times New Roman" w:hAnsi="Times New Roman"/>
              </w:rPr>
            </w:pPr>
            <w:r>
              <w:rPr>
                <w:rFonts w:eastAsia="Times New Roman" w:ascii="Times New Roman" w:hAnsi="Times New Roman"/>
                <w:lang w:val="lv-LV"/>
              </w:rPr>
              <w:t>Adrese</w:t>
            </w:r>
          </w:p>
        </w:tc>
        <w:tc>
          <w:tcPr>
            <w:tcW w:w="6971"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both"/>
              <w:rPr>
                <w:rFonts w:ascii="Times New Roman" w:hAnsi="Times New Roman"/>
              </w:rPr>
            </w:pPr>
            <w:r>
              <w:rPr>
                <w:rFonts w:eastAsia="Times New Roman" w:ascii="Times New Roman" w:hAnsi="Times New Roman"/>
                <w:lang w:val="lv-LV"/>
              </w:rPr>
              <w:t xml:space="preserve"> </w:t>
            </w:r>
          </w:p>
        </w:tc>
      </w:tr>
      <w:tr>
        <w:trPr>
          <w:trHeight w:val="210" w:hRule="atLeast"/>
        </w:trPr>
        <w:tc>
          <w:tcPr>
            <w:tcW w:w="2107" w:type="dxa"/>
            <w:tcBorders>
              <w:top w:val="single" w:sz="8" w:space="0" w:color="000000"/>
              <w:start w:val="single" w:sz="8" w:space="0" w:color="000000"/>
              <w:bottom w:val="single" w:sz="8" w:space="0" w:color="000000"/>
            </w:tcBorders>
            <w:shd w:color="auto" w:fill="E6E6E6" w:val="clear"/>
            <w:vAlign w:val="center"/>
          </w:tcPr>
          <w:p>
            <w:pPr>
              <w:pStyle w:val="Normal"/>
              <w:widowControl w:val="false"/>
              <w:spacing w:before="0" w:after="0"/>
              <w:jc w:val="both"/>
              <w:rPr>
                <w:rFonts w:ascii="Times New Roman" w:hAnsi="Times New Roman"/>
              </w:rPr>
            </w:pPr>
            <w:r>
              <w:rPr>
                <w:rFonts w:eastAsia="Times New Roman" w:ascii="Times New Roman" w:hAnsi="Times New Roman"/>
                <w:lang w:val="lv-LV"/>
              </w:rPr>
              <w:t>Tālr. / Fakss</w:t>
            </w:r>
          </w:p>
        </w:tc>
        <w:tc>
          <w:tcPr>
            <w:tcW w:w="6971"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both"/>
              <w:rPr>
                <w:rFonts w:ascii="Times New Roman" w:hAnsi="Times New Roman"/>
              </w:rPr>
            </w:pPr>
            <w:r>
              <w:rPr>
                <w:rFonts w:eastAsia="Times New Roman" w:ascii="Times New Roman" w:hAnsi="Times New Roman"/>
                <w:lang w:val="lv-LV"/>
              </w:rPr>
              <w:t xml:space="preserve"> </w:t>
            </w:r>
          </w:p>
        </w:tc>
      </w:tr>
      <w:tr>
        <w:trPr>
          <w:trHeight w:val="300" w:hRule="atLeast"/>
        </w:trPr>
        <w:tc>
          <w:tcPr>
            <w:tcW w:w="2107" w:type="dxa"/>
            <w:tcBorders>
              <w:top w:val="single" w:sz="8" w:space="0" w:color="000000"/>
              <w:start w:val="single" w:sz="8" w:space="0" w:color="000000"/>
              <w:bottom w:val="single" w:sz="8" w:space="0" w:color="000000"/>
            </w:tcBorders>
            <w:shd w:color="auto" w:fill="E6E6E6" w:val="clear"/>
            <w:vAlign w:val="center"/>
          </w:tcPr>
          <w:p>
            <w:pPr>
              <w:pStyle w:val="Normal"/>
              <w:widowControl w:val="false"/>
              <w:spacing w:before="0" w:after="0"/>
              <w:jc w:val="both"/>
              <w:rPr>
                <w:rFonts w:ascii="Times New Roman" w:hAnsi="Times New Roman"/>
              </w:rPr>
            </w:pPr>
            <w:r>
              <w:rPr>
                <w:rFonts w:eastAsia="Times New Roman" w:ascii="Times New Roman" w:hAnsi="Times New Roman"/>
                <w:lang w:val="lv-LV"/>
              </w:rPr>
              <w:t>E - pasta adrese</w:t>
            </w:r>
          </w:p>
        </w:tc>
        <w:tc>
          <w:tcPr>
            <w:tcW w:w="6971" w:type="dxa"/>
            <w:tcBorders>
              <w:top w:val="single" w:sz="8" w:space="0" w:color="000000"/>
              <w:start w:val="single" w:sz="8" w:space="0" w:color="000000"/>
              <w:bottom w:val="single" w:sz="8" w:space="0" w:color="000000"/>
              <w:end w:val="single" w:sz="8" w:space="0" w:color="000000"/>
            </w:tcBorders>
          </w:tcPr>
          <w:p>
            <w:pPr>
              <w:pStyle w:val="Normal"/>
              <w:widowControl w:val="false"/>
              <w:spacing w:before="0" w:after="0"/>
              <w:jc w:val="both"/>
              <w:rPr>
                <w:rFonts w:ascii="Times New Roman" w:hAnsi="Times New Roman"/>
              </w:rPr>
            </w:pPr>
            <w:r>
              <w:rPr>
                <w:rFonts w:eastAsia="Times New Roman" w:ascii="Times New Roman" w:hAnsi="Times New Roman"/>
                <w:lang w:val="lv-LV"/>
              </w:rPr>
              <w:t xml:space="preserve"> </w:t>
            </w:r>
          </w:p>
        </w:tc>
      </w:tr>
    </w:tbl>
    <w:p>
      <w:pPr>
        <w:pStyle w:val="Normal"/>
        <w:spacing w:before="0" w:after="0"/>
        <w:jc w:val="both"/>
        <w:rPr>
          <w:rFonts w:ascii="Times New Roman" w:hAnsi="Times New Roman"/>
        </w:rPr>
      </w:pPr>
      <w:r>
        <w:rPr>
          <w:rFonts w:eastAsia="Times New Roman" w:ascii="Times New Roman" w:hAnsi="Times New Roman"/>
          <w:lang w:val="lv-LV"/>
        </w:rPr>
        <w:t xml:space="preserve"> </w:t>
      </w:r>
    </w:p>
    <w:p>
      <w:pPr>
        <w:pStyle w:val="Normal"/>
        <w:spacing w:before="0" w:after="0"/>
        <w:jc w:val="both"/>
        <w:rPr>
          <w:rFonts w:ascii="Times New Roman" w:hAnsi="Times New Roman"/>
        </w:rPr>
      </w:pPr>
      <w:r>
        <w:rPr>
          <w:rFonts w:eastAsia="Times New Roman" w:ascii="Times New Roman" w:hAnsi="Times New Roman"/>
          <w:lang w:val="lv-LV"/>
        </w:rPr>
        <w:t>Pretendents, tā &lt;</w:t>
      </w:r>
      <w:r>
        <w:rPr>
          <w:rFonts w:eastAsia="Times New Roman" w:ascii="Times New Roman" w:hAnsi="Times New Roman"/>
          <w:i/>
          <w:iCs/>
          <w:u w:val="single"/>
          <w:lang w:val="lv-LV"/>
        </w:rPr>
        <w:t>amats, vārds, uzvārds&gt;</w:t>
      </w:r>
      <w:r>
        <w:rPr>
          <w:rFonts w:eastAsia="Times New Roman" w:ascii="Times New Roman" w:hAnsi="Times New Roman"/>
          <w:i/>
          <w:iCs/>
          <w:lang w:val="lv-LV"/>
        </w:rPr>
        <w:t>,</w:t>
      </w:r>
      <w:r>
        <w:rPr>
          <w:rFonts w:eastAsia="Times New Roman" w:ascii="Times New Roman" w:hAnsi="Times New Roman"/>
          <w:lang w:val="lv-LV"/>
        </w:rPr>
        <w:t xml:space="preserve"> kurš(-a) darbojas pamatojoties uz &lt;</w:t>
      </w:r>
      <w:r>
        <w:rPr>
          <w:rFonts w:eastAsia="Times New Roman" w:ascii="Times New Roman" w:hAnsi="Times New Roman"/>
          <w:i/>
          <w:iCs/>
          <w:u w:val="single"/>
          <w:lang w:val="lv-LV"/>
        </w:rPr>
        <w:t>statūtiem/pilnvaras&gt;</w:t>
      </w:r>
      <w:r>
        <w:rPr>
          <w:rFonts w:eastAsia="Times New Roman" w:ascii="Times New Roman" w:hAnsi="Times New Roman"/>
          <w:i/>
          <w:iCs/>
          <w:lang w:val="lv-LV"/>
        </w:rPr>
        <w:t>,</w:t>
      </w:r>
      <w:r>
        <w:rPr>
          <w:rFonts w:eastAsia="Times New Roman" w:ascii="Times New Roman" w:hAnsi="Times New Roman"/>
          <w:i/>
          <w:iCs/>
          <w:u w:val="single"/>
          <w:lang w:val="lv-LV"/>
        </w:rPr>
        <w:t xml:space="preserve"> </w:t>
      </w:r>
      <w:r>
        <w:rPr>
          <w:rFonts w:eastAsia="Times New Roman" w:ascii="Times New Roman" w:hAnsi="Times New Roman"/>
          <w:lang w:val="lv-LV"/>
        </w:rPr>
        <w:t xml:space="preserve">personā, ar šī pieteikuma iesniegšanu: </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 xml:space="preserve">piesakās piedalīties iepirkumā  “Mākslīgā intelekta risinājums Sistēmu izstrādes dzīves cikla atbalstam” izstrāde un ieviešana  un apliecina savu spēju nodrošināt pakalpojumus atbilstoši Nolikuma, tehniskās specifikācijas un līgumprojekta prasībām; </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var nodrošināt nepieciešamos profesionālos, tehniskos un organizatoriskos resursus, speciālistus, finanšu resursus un infrastruktūru, kas nepieciešama iepirkuma priekšmeta realizēšanai tehniskajā specifikācijā noteiktajā apjomā;</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 xml:space="preserve">apņemas ievērot Nolikuma prasības; </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 xml:space="preserve">apliecina, ka visa pieteikumā un atlases dokumentos Pretendenta sniegtā informācija ir patiesa; </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apliecina, ka Pretendents vai personālsabiedrības biedrs, ja Pretendents ir personālsabiedrības biedrs, neatbilst Publisko iepirkumu likuma 42. panta otrās daļas izslēgšanas gadījumam (ja atbilst, tad norāda to Pretendenta pieteikumā par piedalīšanos iepirkumā, vai arī Eiropas vienotajā iepirkuma procedūras dokumentā, ja Pretendents ir izvēlējies tādu iesniegt);</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apliecina, ka piedāvājums ir sagatavots individuāli un nav saskaņots ar konkurentiem;</w:t>
      </w:r>
    </w:p>
    <w:p>
      <w:pPr>
        <w:pStyle w:val="ListParagraph"/>
        <w:numPr>
          <w:ilvl w:val="0"/>
          <w:numId w:val="7"/>
        </w:numPr>
        <w:suppressAutoHyphens w:val="false"/>
        <w:spacing w:lineRule="auto" w:line="276" w:before="0" w:after="0"/>
        <w:ind w:hanging="540" w:start="540"/>
        <w:contextualSpacing/>
        <w:jc w:val="both"/>
        <w:rPr>
          <w:rFonts w:ascii="Times New Roman" w:hAnsi="Times New Roman"/>
        </w:rPr>
      </w:pPr>
      <w:r>
        <w:rPr/>
        <w:t>atļauj pasūtītājam iepirkuma ietvaros un tā rezultātā noslēgtā iepirkuma līguma administrēšanai, apstrādāt savā piedāvājumā norādīto fizisko personu datus saskaņā ar Fizisko personu datu apstrādes likumu.</w:t>
      </w:r>
      <w:r>
        <w:br w:type="page"/>
      </w:r>
    </w:p>
    <w:p>
      <w:pPr>
        <w:pStyle w:val="Normal"/>
        <w:numPr>
          <w:ilvl w:val="0"/>
          <w:numId w:val="0"/>
        </w:numPr>
        <w:spacing w:before="0" w:after="200"/>
        <w:ind w:hanging="0" w:start="720"/>
        <w:jc w:val="end"/>
        <w:rPr>
          <w:rFonts w:ascii="Times New Roman" w:hAnsi="Times New Roman" w:eastAsia="Ubuntu" w:cs="Ubuntu"/>
          <w:b/>
          <w:color w:val="111A54"/>
          <w:sz w:val="24"/>
          <w:szCs w:val="24"/>
        </w:rPr>
      </w:pPr>
      <w:r>
        <w:rPr>
          <w:rFonts w:eastAsia="Ubuntu" w:cs="Ubuntu" w:ascii="Times New Roman" w:hAnsi="Times New Roman"/>
          <w:b/>
          <w:color w:val="111A54"/>
          <w:sz w:val="24"/>
          <w:szCs w:val="24"/>
        </w:rPr>
        <w:t>Pielikums Nr3</w:t>
      </w:r>
    </w:p>
    <w:p>
      <w:pPr>
        <w:pStyle w:val="Normal"/>
        <w:jc w:val="center"/>
        <w:rPr>
          <w:rFonts w:ascii="Times New Roman" w:hAnsi="Times New Roman" w:eastAsia="Ubuntu" w:cs="Ubuntu"/>
          <w:b/>
          <w:color w:val="111A54"/>
          <w:sz w:val="24"/>
          <w:szCs w:val="24"/>
        </w:rPr>
      </w:pPr>
      <w:r>
        <w:rPr>
          <w:rFonts w:eastAsia="Ubuntu" w:cs="Ubuntu" w:ascii="Times New Roman" w:hAnsi="Times New Roman"/>
          <w:b/>
          <w:color w:val="111A54"/>
          <w:sz w:val="24"/>
          <w:szCs w:val="24"/>
        </w:rPr>
        <w:t>Finanšu piedāvājums</w:t>
      </w:r>
    </w:p>
    <w:p>
      <w:pPr>
        <w:pStyle w:val="BodyText"/>
        <w:jc w:val="center"/>
        <w:rPr/>
      </w:pPr>
      <w:r>
        <w:rPr>
          <w:b/>
          <w:bCs/>
        </w:rPr>
        <w:t>Tehniskā specifikācija -piedāvājuma forma</w:t>
      </w:r>
    </w:p>
    <w:tbl>
      <w:tblPr>
        <w:tblW w:w="9751" w:type="dxa"/>
        <w:jc w:val="start"/>
        <w:tblInd w:w="-618" w:type="dxa"/>
        <w:tblLayout w:type="fixed"/>
        <w:tblCellMar>
          <w:top w:w="55" w:type="dxa"/>
          <w:start w:w="55" w:type="dxa"/>
          <w:bottom w:w="55" w:type="dxa"/>
          <w:end w:w="55" w:type="dxa"/>
        </w:tblCellMar>
      </w:tblPr>
      <w:tblGrid>
        <w:gridCol w:w="975"/>
        <w:gridCol w:w="1175"/>
        <w:gridCol w:w="4086"/>
        <w:gridCol w:w="2614"/>
        <w:gridCol w:w="901"/>
      </w:tblGrid>
      <w:tr>
        <w:trPr>
          <w:tblHeader w:val="true"/>
        </w:trPr>
        <w:tc>
          <w:tcPr>
            <w:tcW w:w="975" w:type="dxa"/>
            <w:tcBorders>
              <w:top w:val="single" w:sz="4" w:space="0" w:color="000000"/>
              <w:start w:val="single" w:sz="4" w:space="0" w:color="000000"/>
              <w:bottom w:val="single" w:sz="4" w:space="0" w:color="000000"/>
            </w:tcBorders>
          </w:tcPr>
          <w:p>
            <w:pPr>
              <w:pStyle w:val="TableHeading"/>
              <w:spacing w:before="0" w:after="200"/>
              <w:jc w:val="start"/>
              <w:rPr/>
            </w:pPr>
            <w:r>
              <w:rPr/>
              <w:t>Darba pakas NR</w:t>
            </w:r>
          </w:p>
        </w:tc>
        <w:tc>
          <w:tcPr>
            <w:tcW w:w="1175" w:type="dxa"/>
            <w:tcBorders>
              <w:top w:val="single" w:sz="4" w:space="0" w:color="000000"/>
              <w:start w:val="single" w:sz="4" w:space="0" w:color="000000"/>
              <w:bottom w:val="single" w:sz="4" w:space="0" w:color="000000"/>
            </w:tcBorders>
          </w:tcPr>
          <w:p>
            <w:pPr>
              <w:pStyle w:val="TableHeading"/>
              <w:spacing w:before="0" w:after="200"/>
              <w:jc w:val="start"/>
              <w:rPr/>
            </w:pPr>
            <w:r>
              <w:rPr/>
              <w:t>Moduļa nosaukums</w:t>
            </w:r>
          </w:p>
        </w:tc>
        <w:tc>
          <w:tcPr>
            <w:tcW w:w="4086" w:type="dxa"/>
            <w:tcBorders>
              <w:top w:val="single" w:sz="4" w:space="0" w:color="000000"/>
              <w:start w:val="single" w:sz="4" w:space="0" w:color="000000"/>
              <w:bottom w:val="single" w:sz="4" w:space="0" w:color="000000"/>
            </w:tcBorders>
          </w:tcPr>
          <w:p>
            <w:pPr>
              <w:pStyle w:val="TableHeading"/>
              <w:spacing w:before="0" w:after="200"/>
              <w:jc w:val="start"/>
              <w:rPr/>
            </w:pPr>
            <w:r>
              <w:rPr/>
              <w:t>Moduļa apraksts</w:t>
            </w:r>
          </w:p>
        </w:tc>
        <w:tc>
          <w:tcPr>
            <w:tcW w:w="2614" w:type="dxa"/>
            <w:tcBorders>
              <w:top w:val="single" w:sz="4" w:space="0" w:color="000000"/>
              <w:start w:val="single" w:sz="4" w:space="0" w:color="000000"/>
              <w:bottom w:val="single" w:sz="4" w:space="0" w:color="000000"/>
            </w:tcBorders>
          </w:tcPr>
          <w:p>
            <w:pPr>
              <w:pStyle w:val="TableHeading"/>
              <w:spacing w:before="0" w:after="200"/>
              <w:jc w:val="start"/>
              <w:rPr/>
            </w:pPr>
            <w:r>
              <w:rPr/>
              <w:t>Sagaidāmais rezultāts</w:t>
            </w:r>
          </w:p>
        </w:tc>
        <w:tc>
          <w:tcPr>
            <w:tcW w:w="901" w:type="dxa"/>
            <w:tcBorders>
              <w:top w:val="single" w:sz="4" w:space="0" w:color="000000"/>
              <w:start w:val="single" w:sz="4" w:space="0" w:color="000000"/>
              <w:bottom w:val="single" w:sz="4" w:space="0" w:color="000000"/>
              <w:end w:val="single" w:sz="4" w:space="0" w:color="000000"/>
            </w:tcBorders>
          </w:tcPr>
          <w:p>
            <w:pPr>
              <w:pStyle w:val="TableHeading"/>
              <w:spacing w:before="0" w:after="200"/>
              <w:jc w:val="start"/>
              <w:rPr/>
            </w:pPr>
            <w:r>
              <w:rPr/>
              <w:t>Cena (bez PVN)</w:t>
            </w:r>
          </w:p>
        </w:tc>
      </w:tr>
      <w:tr>
        <w:trPr/>
        <w:tc>
          <w:tcPr>
            <w:tcW w:w="975" w:type="dxa"/>
            <w:tcBorders>
              <w:start w:val="single" w:sz="4" w:space="0" w:color="000000"/>
              <w:bottom w:val="single" w:sz="4" w:space="0" w:color="000000"/>
            </w:tcBorders>
          </w:tcPr>
          <w:p>
            <w:pPr>
              <w:pStyle w:val="TableContents"/>
              <w:spacing w:before="0" w:after="200"/>
              <w:rPr/>
            </w:pPr>
            <w:r>
              <w:rPr/>
              <w:t>DP-1</w:t>
            </w:r>
          </w:p>
        </w:tc>
        <w:tc>
          <w:tcPr>
            <w:tcW w:w="1175" w:type="dxa"/>
            <w:tcBorders>
              <w:start w:val="single" w:sz="4" w:space="0" w:color="000000"/>
              <w:bottom w:val="single" w:sz="4" w:space="0" w:color="000000"/>
            </w:tcBorders>
          </w:tcPr>
          <w:p>
            <w:pPr>
              <w:pStyle w:val="TableContents"/>
              <w:spacing w:before="0" w:after="200"/>
              <w:rPr>
                <w:b/>
              </w:rPr>
            </w:pPr>
            <w:r>
              <w:rPr>
                <w:b/>
              </w:rPr>
              <w:t>LLM aparatūras infrastruktūras modulis</w:t>
            </w:r>
          </w:p>
        </w:tc>
        <w:tc>
          <w:tcPr>
            <w:tcW w:w="4086" w:type="dxa"/>
            <w:tcBorders>
              <w:start w:val="single" w:sz="4" w:space="0" w:color="000000"/>
              <w:bottom w:val="single" w:sz="4" w:space="0" w:color="000000"/>
            </w:tcBorders>
          </w:tcPr>
          <w:p>
            <w:pPr>
              <w:pStyle w:val="TableContents"/>
              <w:ind w:hanging="0" w:start="0" w:end="0"/>
              <w:jc w:val="start"/>
              <w:rPr/>
            </w:pPr>
            <w:r>
              <w:rPr/>
              <w:t>Piegādāt un uzstādīt serveri CPU. RAM, HDD un ar </w:t>
            </w:r>
            <w:r>
              <w:rPr>
                <w:rStyle w:val="Strong"/>
              </w:rPr>
              <w:t>≥</w:t>
            </w:r>
            <w:r>
              <w:rPr>
                <w:rStyle w:val="Strong"/>
                <w:b/>
              </w:rPr>
              <w:t>90 GB ātro GPU atmiņu</w:t>
            </w:r>
            <w:r>
              <w:rPr/>
              <w:t> (piem., NVIDIA H100 96 GB HBM3 vai līdzvērtīgu) vai līdzvērtīgu risināumu, kurš  spēs efektivi uzstādīt un izpildīt šādus LLM spēj izpildīt modeļus: (i) GPT-OSS-120B, (ii) DeepSeek</w:t>
              <w:noBreakHyphen/>
              <w:t>V4</w:t>
              <w:noBreakHyphen/>
              <w:t xml:space="preserve">Flash, (iii) Llama 4, (iv) Mistral, ar vēlamo ātrdarbību 20kt/s. </w:t>
            </w:r>
          </w:p>
          <w:p>
            <w:pPr>
              <w:pStyle w:val="TableContents"/>
              <w:ind w:hanging="0" w:start="0" w:end="0"/>
              <w:jc w:val="start"/>
              <w:rPr/>
            </w:pPr>
            <w:r>
              <w:rPr/>
            </w:r>
          </w:p>
          <w:p>
            <w:pPr>
              <w:pStyle w:val="TableContents"/>
              <w:spacing w:before="0" w:after="200"/>
              <w:ind w:hanging="0" w:start="0" w:end="0"/>
              <w:jc w:val="start"/>
              <w:rPr/>
            </w:pPr>
            <w:r>
              <w:rPr/>
              <w:t>Konfigurēt drošu vidi: stingrs resursdatora ugunsmūris, ielaušanās detektēšana (IDS), piekļuve tikai caur VPN vai speciālu pārvaldības staciju, disku šifrēšana, drošās sāknēšanas un integritātes pārbaudes.</w:t>
            </w:r>
          </w:p>
        </w:tc>
        <w:tc>
          <w:tcPr>
            <w:tcW w:w="2614" w:type="dxa"/>
            <w:tcBorders>
              <w:start w:val="single" w:sz="4" w:space="0" w:color="000000"/>
              <w:bottom w:val="single" w:sz="4" w:space="0" w:color="000000"/>
            </w:tcBorders>
          </w:tcPr>
          <w:p>
            <w:pPr>
              <w:pStyle w:val="TableContents"/>
              <w:ind w:hanging="0" w:start="0" w:end="0"/>
              <w:jc w:val="start"/>
              <w:rPr/>
            </w:pPr>
            <w:r>
              <w:rPr/>
              <w:t>1) Serveris ar uzstādītiem 4 LLM, kuri katrs nodrošina lietojamu ātrumu viena pieslēguma  režīmā.</w:t>
            </w:r>
          </w:p>
          <w:p>
            <w:pPr>
              <w:pStyle w:val="TableContents"/>
              <w:ind w:hanging="0" w:start="0" w:end="0"/>
              <w:jc w:val="start"/>
              <w:rPr/>
            </w:pPr>
            <w:r>
              <w:rPr/>
              <w:t>2) uzstādīta un konfigurēta atvērtā drošības vide (FW,IDS,VPN)</w:t>
            </w:r>
          </w:p>
          <w:p>
            <w:pPr>
              <w:pStyle w:val="TableContents"/>
              <w:spacing w:before="0" w:after="200"/>
              <w:ind w:hanging="0" w:start="0" w:end="0"/>
              <w:jc w:val="start"/>
              <w:rPr/>
            </w:pPr>
            <w:r>
              <w:rPr/>
              <w:t>3)izstrādāta un saskaņota lietotāja un administratora dokumentācija.</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DP-2</w:t>
            </w:r>
          </w:p>
        </w:tc>
        <w:tc>
          <w:tcPr>
            <w:tcW w:w="1175" w:type="dxa"/>
            <w:tcBorders>
              <w:start w:val="single" w:sz="4" w:space="0" w:color="000000"/>
              <w:bottom w:val="single" w:sz="4" w:space="0" w:color="000000"/>
            </w:tcBorders>
          </w:tcPr>
          <w:p>
            <w:pPr>
              <w:pStyle w:val="TableContents"/>
              <w:spacing w:before="0" w:after="200"/>
              <w:rPr>
                <w:b/>
              </w:rPr>
            </w:pPr>
            <w:r>
              <w:rPr>
                <w:b/>
              </w:rPr>
              <w:t>Darbvirsmas aktivitāšu tveršanas un kataloga izgūšanas modulis (ar piespiedu mācīšanos)</w:t>
            </w:r>
          </w:p>
        </w:tc>
        <w:tc>
          <w:tcPr>
            <w:tcW w:w="4086" w:type="dxa"/>
            <w:tcBorders>
              <w:start w:val="single" w:sz="4" w:space="0" w:color="000000"/>
              <w:bottom w:val="single" w:sz="4" w:space="0" w:color="000000"/>
            </w:tcBorders>
          </w:tcPr>
          <w:p>
            <w:pPr>
              <w:pStyle w:val="TableContents"/>
              <w:spacing w:before="0" w:after="200"/>
              <w:rPr/>
            </w:pPr>
            <w:r>
              <w:rPr/>
              <w:t xml:space="preserve">Fona aģents tver tastatūras, peles un UI notikumus, kā arī klipboardi, straumējot tos uz serveri. Servera puse veic notikumu pirmapstrādi, sesiju sadalīšanu un trokšņu noņemšanu. Modulis atbalsta </w:t>
            </w:r>
            <w:r>
              <w:rPr>
                <w:b/>
              </w:rPr>
              <w:t>piespiedu mācīšanos</w:t>
            </w:r>
            <w:r>
              <w:rPr/>
              <w:t>: lietotājs var ieslēgt audio komentāru režīmu, mutiski paskaidrojot katru tverto darbību; balss ieraksts tiek pārveidots tekstā un izmantots, lai nekavējoties izveidotu jaunu pakalpojumu kataloga rindu (bez automātiskas klasterizācijas).Modulis izmanto lokālo LLM, lai no uzkrātajiem žurnāliem atklātu atkārtojošos rutīnas, sagrupētu tās un piedāvātu apstiprināšanai kataloga vienības.</w:t>
            </w:r>
          </w:p>
        </w:tc>
        <w:tc>
          <w:tcPr>
            <w:tcW w:w="2614" w:type="dxa"/>
            <w:tcBorders>
              <w:start w:val="single" w:sz="4" w:space="0" w:color="000000"/>
              <w:bottom w:val="single" w:sz="4" w:space="0" w:color="000000"/>
            </w:tcBorders>
          </w:tcPr>
          <w:p>
            <w:pPr>
              <w:pStyle w:val="TableContents"/>
              <w:jc w:val="start"/>
              <w:rPr/>
            </w:pPr>
            <w:r>
              <w:rPr/>
              <w:t xml:space="preserve">1) Darbojošs tveršanas aģents uz mērķa darbstacijām. </w:t>
            </w:r>
          </w:p>
          <w:p>
            <w:pPr>
              <w:pStyle w:val="TableContents"/>
              <w:jc w:val="start"/>
              <w:rPr/>
            </w:pPr>
            <w:r>
              <w:rPr/>
              <w:t xml:space="preserve">2) Centralizēts, strukturēts un attīrīts aktivitāšu žurnāls. </w:t>
            </w:r>
          </w:p>
          <w:p>
            <w:pPr>
              <w:pStyle w:val="TableContents"/>
              <w:spacing w:before="0" w:after="200"/>
              <w:jc w:val="start"/>
              <w:rPr/>
            </w:pPr>
            <w:r>
              <w:rPr/>
              <w:t>3) Apstiprināšanai gatavs pakalpojumu kataloga melnraksts (pakalpojuma nosaukums; apraksts; in/out/config datu lauki ar tipiem; nepieciešami api/datu ievažu simulācijas; nepieciešamie dokumenti).</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DP-3</w:t>
            </w:r>
          </w:p>
        </w:tc>
        <w:tc>
          <w:tcPr>
            <w:tcW w:w="1175" w:type="dxa"/>
            <w:tcBorders>
              <w:start w:val="single" w:sz="4" w:space="0" w:color="000000"/>
              <w:bottom w:val="single" w:sz="4" w:space="0" w:color="000000"/>
            </w:tcBorders>
          </w:tcPr>
          <w:p>
            <w:pPr>
              <w:pStyle w:val="TableContents"/>
              <w:spacing w:before="0" w:after="200"/>
              <w:rPr/>
            </w:pPr>
            <w:r>
              <w:rPr>
                <w:b/>
              </w:rPr>
              <w:t>Kataloga pārvaldības, darbplūsmu ģenerēšanas un izpildes modulis</w:t>
            </w:r>
          </w:p>
        </w:tc>
        <w:tc>
          <w:tcPr>
            <w:tcW w:w="4086" w:type="dxa"/>
            <w:tcBorders>
              <w:start w:val="single" w:sz="4" w:space="0" w:color="000000"/>
              <w:bottom w:val="single" w:sz="4" w:space="0" w:color="000000"/>
            </w:tcBorders>
          </w:tcPr>
          <w:p>
            <w:pPr>
              <w:pStyle w:val="TableContents"/>
              <w:spacing w:before="0" w:after="200"/>
              <w:rPr/>
            </w:pPr>
            <w:r>
              <w:rPr/>
              <w:t xml:space="preserve">Nodrošina tīmekļa saskarni, kurā administratori var </w:t>
            </w:r>
            <w:r>
              <w:rPr>
                <w:b/>
              </w:rPr>
              <w:t>rafinēt katalogu</w:t>
            </w:r>
            <w:r>
              <w:rPr/>
              <w:t>: dzēst, apvienot, labot pakalpojumu aprakstus un soļus. Apstiprinātu pakalpojumu modulis, izmantojot LLM, automātiski pārveido par Temporal darbplūsmas kodu (Python/TypeScript), kartējot soļus uz pieejamajām aktivitātēm. Pašmitināts Temporal serveris droši izpilda darbplūsmas, pārvalda stāvokļus, gaidīšanu (piem., parakstu) un atkārtojumus.</w:t>
            </w:r>
          </w:p>
        </w:tc>
        <w:tc>
          <w:tcPr>
            <w:tcW w:w="2614" w:type="dxa"/>
            <w:tcBorders>
              <w:start w:val="single" w:sz="4" w:space="0" w:color="000000"/>
              <w:bottom w:val="single" w:sz="4" w:space="0" w:color="000000"/>
            </w:tcBorders>
          </w:tcPr>
          <w:p>
            <w:pPr>
              <w:pStyle w:val="TableContents"/>
              <w:jc w:val="start"/>
              <w:rPr/>
            </w:pPr>
            <w:r>
              <w:rPr/>
              <w:t xml:space="preserve">1) Interaktīvs kataloga pārvaldības rīks ar auditējamu vēsturi. </w:t>
            </w:r>
          </w:p>
          <w:p>
            <w:pPr>
              <w:pStyle w:val="TableContents"/>
              <w:jc w:val="start"/>
              <w:rPr/>
            </w:pPr>
            <w:r>
              <w:rPr/>
              <w:t xml:space="preserve">2) No kataloga ieraksta automātiski ģenerēta, izvietošanai gatava Temporal darbplūsma. </w:t>
            </w:r>
          </w:p>
          <w:p>
            <w:pPr>
              <w:pStyle w:val="TableContents"/>
              <w:spacing w:before="0" w:after="200"/>
              <w:jc w:val="start"/>
              <w:rPr/>
            </w:pPr>
            <w:r>
              <w:rPr/>
              <w:t>3) Darbojošs Temporal klāsteris, kas spēj izpildīt cilvēka līdzdalības darbplūsmas.</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DP-4</w:t>
            </w:r>
          </w:p>
        </w:tc>
        <w:tc>
          <w:tcPr>
            <w:tcW w:w="1175" w:type="dxa"/>
            <w:tcBorders>
              <w:start w:val="single" w:sz="4" w:space="0" w:color="000000"/>
              <w:bottom w:val="single" w:sz="4" w:space="0" w:color="000000"/>
            </w:tcBorders>
          </w:tcPr>
          <w:p>
            <w:pPr>
              <w:pStyle w:val="TableContents"/>
              <w:spacing w:before="0" w:after="200"/>
              <w:rPr>
                <w:b/>
              </w:rPr>
            </w:pPr>
            <w:r>
              <w:rPr>
                <w:b/>
              </w:rPr>
              <w:t>Tērzēšanas robota modulis ar lokālo LLM</w:t>
            </w:r>
          </w:p>
        </w:tc>
        <w:tc>
          <w:tcPr>
            <w:tcW w:w="4086" w:type="dxa"/>
            <w:tcBorders>
              <w:start w:val="single" w:sz="4" w:space="0" w:color="000000"/>
              <w:bottom w:val="single" w:sz="4" w:space="0" w:color="000000"/>
            </w:tcBorders>
          </w:tcPr>
          <w:p>
            <w:pPr>
              <w:pStyle w:val="TableContents"/>
              <w:spacing w:before="0" w:after="200"/>
              <w:jc w:val="start"/>
              <w:rPr/>
            </w:pPr>
            <w:r>
              <w:rPr/>
              <w:t>Ietver sevī pašizmitinātu tīmekļa tērzēšanas saskarni gala lietotājiem, dialoga pārvaldnieku un tiešu integrāciju  ar lokāli izvietotu lielo valodas modeli (LLM). Modulis izmanto lokālo LLM, lai: 1) saprastu lietotāja nodomu un saskaņotu to ar kataloga pakalpojumu (izmantojot vektoru meklēšanu pakalpojumu aprakstos); 2) vadītu parametru iegūšanas dialogu; 3) ģenerētu cilvēcisku atbildi un progresa paziņojumus. Kad visi dati savākti, modulis palaiž atbilstošo Temporal darbplūsmu.</w:t>
            </w:r>
          </w:p>
        </w:tc>
        <w:tc>
          <w:tcPr>
            <w:tcW w:w="2614" w:type="dxa"/>
            <w:tcBorders>
              <w:start w:val="single" w:sz="4" w:space="0" w:color="000000"/>
              <w:bottom w:val="single" w:sz="4" w:space="0" w:color="000000"/>
            </w:tcBorders>
          </w:tcPr>
          <w:p>
            <w:pPr>
              <w:pStyle w:val="TableContents"/>
              <w:jc w:val="start"/>
              <w:rPr/>
            </w:pPr>
            <w:r>
              <w:rPr/>
              <w:t>1) Pilnībā funkcionējoša, saskarne Whatsup;Epasta un Telegram vidē</w:t>
            </w:r>
          </w:p>
          <w:p>
            <w:pPr>
              <w:pStyle w:val="TableContents"/>
              <w:jc w:val="start"/>
              <w:rPr/>
            </w:pPr>
            <w:r>
              <w:rPr/>
              <w:t xml:space="preserve">2) Dialoga sistēma, kas spēj precīzi noteikt pakalpojumu un aizpildīt visus parametrus, izmantojot tikai lokālo LLM. </w:t>
            </w:r>
          </w:p>
          <w:p>
            <w:pPr>
              <w:pStyle w:val="TableContents"/>
              <w:spacing w:before="0" w:after="200"/>
              <w:jc w:val="start"/>
              <w:rPr/>
            </w:pPr>
            <w:r>
              <w:rPr/>
              <w:t>3) Veiksmīga integrācija ar Temporal – lietotājs caur čatu iedarbina sarežģītas darbplūsmas.</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DP-5</w:t>
            </w:r>
          </w:p>
        </w:tc>
        <w:tc>
          <w:tcPr>
            <w:tcW w:w="1175" w:type="dxa"/>
            <w:tcBorders>
              <w:start w:val="single" w:sz="4" w:space="0" w:color="000000"/>
              <w:bottom w:val="single" w:sz="4" w:space="0" w:color="000000"/>
            </w:tcBorders>
          </w:tcPr>
          <w:p>
            <w:pPr>
              <w:pStyle w:val="TableContents"/>
              <w:spacing w:before="0" w:after="200"/>
              <w:rPr>
                <w:b/>
              </w:rPr>
            </w:pPr>
            <w:r>
              <w:rPr>
                <w:b/>
              </w:rPr>
              <w:t>Publisko iepirkumu specifikāciju ieguves un analīzes modulis</w:t>
            </w:r>
          </w:p>
        </w:tc>
        <w:tc>
          <w:tcPr>
            <w:tcW w:w="4086" w:type="dxa"/>
            <w:tcBorders>
              <w:start w:val="single" w:sz="4" w:space="0" w:color="000000"/>
              <w:bottom w:val="single" w:sz="4" w:space="0" w:color="000000"/>
            </w:tcBorders>
          </w:tcPr>
          <w:p>
            <w:pPr>
              <w:pStyle w:val="TableContents"/>
              <w:spacing w:before="0" w:after="200"/>
              <w:jc w:val="start"/>
              <w:rPr/>
            </w:pPr>
            <w:r>
              <w:rPr/>
              <w:t>Jauns modulis, kas veic specializētu datu ieguvi: pārmeklē publiski pieejamās iepirkumu vietnes, lejupielādējot vismaz 50 000 tehnisko prasību specifikāciju ierakstus. Iegūtos dokumentus apstrādā, izmantojot LLM, lai tos sadalītu funkcionālajos blokos (piem., “Drošības prasības”, “Veiktspējas parametri”). Katrā blokā identificē mainīgos parametrus (skaitliskās vērtības, izvēles iespējas) un fiksē to pieļaujamās robežas. Rezultātā izveidoto strukturēto datu kopu saglabā vektoru datubāzē un relāciju krātuvē, padarot to par pamatu LLM apmācībai un specifikāciju ģenerēšanai.</w:t>
            </w:r>
          </w:p>
        </w:tc>
        <w:tc>
          <w:tcPr>
            <w:tcW w:w="2614" w:type="dxa"/>
            <w:tcBorders>
              <w:start w:val="single" w:sz="4" w:space="0" w:color="000000"/>
              <w:bottom w:val="single" w:sz="4" w:space="0" w:color="000000"/>
            </w:tcBorders>
          </w:tcPr>
          <w:p>
            <w:pPr>
              <w:pStyle w:val="TableContents"/>
              <w:spacing w:before="0" w:after="200"/>
              <w:jc w:val="start"/>
              <w:rPr/>
            </w:pPr>
            <w:r>
              <w:rPr/>
              <w:t xml:space="preserve">1) Saraksts ar 50K+ apstrādātu specifikācijas prasību ierakstu (prasības nosaukums, apraksts, funkcionāla grupa, parametri/vērtības, prasības avota ID). </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DP-6</w:t>
            </w:r>
          </w:p>
        </w:tc>
        <w:tc>
          <w:tcPr>
            <w:tcW w:w="1175" w:type="dxa"/>
            <w:tcBorders>
              <w:start w:val="single" w:sz="4" w:space="0" w:color="000000"/>
              <w:bottom w:val="single" w:sz="4" w:space="0" w:color="000000"/>
            </w:tcBorders>
          </w:tcPr>
          <w:p>
            <w:pPr>
              <w:pStyle w:val="TableContents"/>
              <w:spacing w:before="0" w:after="200"/>
              <w:rPr>
                <w:b/>
              </w:rPr>
            </w:pPr>
            <w:r>
              <w:rPr>
                <w:b/>
              </w:rPr>
              <w:t>Specifikāciju rakstītājs</w:t>
            </w:r>
          </w:p>
        </w:tc>
        <w:tc>
          <w:tcPr>
            <w:tcW w:w="4086" w:type="dxa"/>
            <w:tcBorders>
              <w:start w:val="single" w:sz="4" w:space="0" w:color="000000"/>
              <w:bottom w:val="single" w:sz="4" w:space="0" w:color="000000"/>
            </w:tcBorders>
          </w:tcPr>
          <w:p>
            <w:pPr>
              <w:pStyle w:val="TableContents"/>
              <w:spacing w:before="0" w:after="200"/>
              <w:jc w:val="start"/>
              <w:rPr/>
            </w:pPr>
            <w:r>
              <w:rPr/>
              <w:t>Jauns modulis, kas, balstoties uz iegūto iepirkumu datu kopu un nodrošināto etalonspecifikāciju (atsauces veidni), apmāca (fine</w:t>
              <w:noBreakHyphen/>
              <w:t>tune) lokālo LLM ģenerēt jaunas tehniskās specifikācijas vai izmanto vairāksoļu procesu, specifikāciju ģenerēšanai. Modulis saņem ievaddatus (projekta mērķis, ierobežojumi) un, izmantojot iepriekš identificētos funkcionālos blokus un mainīgos parametrus, automātiski sastāda detalizētu, noformētu specifikācijas dokumentu, kas atbilst etalona struktūrai un terminoloģijai. Modulis ietver arī validācijas soli, lai pārbaudītu ģenerētā teksta atbilstību tipveida prasībām.</w:t>
            </w:r>
          </w:p>
        </w:tc>
        <w:tc>
          <w:tcPr>
            <w:tcW w:w="2614" w:type="dxa"/>
            <w:tcBorders>
              <w:start w:val="single" w:sz="4" w:space="0" w:color="000000"/>
              <w:bottom w:val="single" w:sz="4" w:space="0" w:color="000000"/>
            </w:tcBorders>
          </w:tcPr>
          <w:p>
            <w:pPr>
              <w:pStyle w:val="TableContents"/>
              <w:jc w:val="start"/>
              <w:rPr/>
            </w:pPr>
            <w:r>
              <w:rPr/>
              <w:t xml:space="preserve">1) Apmācīts lokālais LLM modelis, kas specializējies tehnisko specifikāciju rakstīšanā. </w:t>
            </w:r>
          </w:p>
          <w:p>
            <w:pPr>
              <w:pStyle w:val="TableContents"/>
              <w:jc w:val="start"/>
              <w:rPr/>
            </w:pPr>
            <w:r>
              <w:rPr/>
              <w:t xml:space="preserve">2) API vai UI, kurā, ievadot augsta līmeņa prasības, tiek saņemts gatavs specifikācijas melnraksts. </w:t>
            </w:r>
          </w:p>
          <w:p>
            <w:pPr>
              <w:pStyle w:val="TableContents"/>
              <w:spacing w:before="0" w:after="200"/>
              <w:jc w:val="start"/>
              <w:rPr/>
            </w:pPr>
            <w:r>
              <w:rPr/>
              <w:t>3) Validācijas ziņojums, kas apstiprina ģenerētās specifikācijas kvalitāti attiecībā pret etalonu.</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DP-7</w:t>
            </w:r>
          </w:p>
        </w:tc>
        <w:tc>
          <w:tcPr>
            <w:tcW w:w="1175" w:type="dxa"/>
            <w:tcBorders>
              <w:start w:val="single" w:sz="4" w:space="0" w:color="000000"/>
              <w:bottom w:val="single" w:sz="4" w:space="0" w:color="000000"/>
            </w:tcBorders>
          </w:tcPr>
          <w:p>
            <w:pPr>
              <w:pStyle w:val="TableContents"/>
              <w:spacing w:before="0" w:after="200"/>
              <w:rPr>
                <w:b/>
              </w:rPr>
            </w:pPr>
            <w:r>
              <w:rPr>
                <w:b/>
              </w:rPr>
              <w:t>Sistēmas administrēšanas konsole</w:t>
            </w:r>
          </w:p>
        </w:tc>
        <w:tc>
          <w:tcPr>
            <w:tcW w:w="4086" w:type="dxa"/>
            <w:tcBorders>
              <w:start w:val="single" w:sz="4" w:space="0" w:color="000000"/>
              <w:bottom w:val="single" w:sz="4" w:space="0" w:color="000000"/>
            </w:tcBorders>
          </w:tcPr>
          <w:p>
            <w:pPr>
              <w:pStyle w:val="TableContents"/>
              <w:spacing w:before="0" w:after="200"/>
              <w:jc w:val="start"/>
              <w:rPr/>
            </w:pPr>
            <w:r>
              <w:rPr/>
              <w:t>Centralizēts tīmekļa panelis administratoriem visu pārējo moduļu pārraudzībai un pārvaldībai. Sniedz ieskatu: visu komponentu veselības stāvoklī, darbplūsmu izpildes žurnālos un statistikā, lietotāju un lomu pārvaldībā, aktivitāšu bibliotēkas versiju kontrolē, LLM galapunktu un maršrutēšanas konfigurācijā (ja attiecināms), kā arī ļauj eksportēt auditētos datus.</w:t>
            </w:r>
          </w:p>
        </w:tc>
        <w:tc>
          <w:tcPr>
            <w:tcW w:w="2614" w:type="dxa"/>
            <w:tcBorders>
              <w:start w:val="single" w:sz="4" w:space="0" w:color="000000"/>
              <w:bottom w:val="single" w:sz="4" w:space="0" w:color="000000"/>
            </w:tcBorders>
          </w:tcPr>
          <w:p>
            <w:pPr>
              <w:pStyle w:val="TableContents"/>
              <w:spacing w:before="0" w:after="200"/>
              <w:jc w:val="start"/>
              <w:rPr/>
            </w:pPr>
            <w:r>
              <w:rPr/>
              <w:t>1) Vienota administrācijas saskarne ar autentifikāciju. 2) Reāllaika darbplūsmu izpildes monitoringa paneļi. 3) Konfigurācijas un lietotāju pārvaldības sadaļa.</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r>
        <w:trPr/>
        <w:tc>
          <w:tcPr>
            <w:tcW w:w="975" w:type="dxa"/>
            <w:tcBorders>
              <w:start w:val="single" w:sz="4" w:space="0" w:color="000000"/>
              <w:bottom w:val="single" w:sz="4" w:space="0" w:color="000000"/>
            </w:tcBorders>
          </w:tcPr>
          <w:p>
            <w:pPr>
              <w:pStyle w:val="TableContents"/>
              <w:spacing w:before="0" w:after="200"/>
              <w:rPr/>
            </w:pPr>
            <w:r>
              <w:rPr/>
              <w:t>DP-8</w:t>
            </w:r>
          </w:p>
        </w:tc>
        <w:tc>
          <w:tcPr>
            <w:tcW w:w="1175" w:type="dxa"/>
            <w:tcBorders>
              <w:start w:val="single" w:sz="4" w:space="0" w:color="000000"/>
              <w:bottom w:val="single" w:sz="4" w:space="0" w:color="000000"/>
            </w:tcBorders>
          </w:tcPr>
          <w:p>
            <w:pPr>
              <w:pStyle w:val="TableContents"/>
              <w:spacing w:before="0" w:after="200"/>
              <w:rPr>
                <w:b/>
              </w:rPr>
            </w:pPr>
            <w:r>
              <w:rPr>
                <w:b/>
              </w:rPr>
              <w:t>Kopstrādes vides izveidošana</w:t>
            </w:r>
          </w:p>
        </w:tc>
        <w:tc>
          <w:tcPr>
            <w:tcW w:w="4086" w:type="dxa"/>
            <w:tcBorders>
              <w:start w:val="single" w:sz="4" w:space="0" w:color="000000"/>
              <w:bottom w:val="single" w:sz="4" w:space="0" w:color="000000"/>
            </w:tcBorders>
          </w:tcPr>
          <w:p>
            <w:pPr>
              <w:pStyle w:val="TableContents"/>
              <w:spacing w:before="0" w:after="200"/>
              <w:rPr/>
            </w:pPr>
            <w:r>
              <w:rPr/>
              <w:t xml:space="preserve">Apvienotā infrastruktūras un pārvaldības vide, kas nodrošina visu pārējo moduļu darbību un uzturamību.  • </w:t>
            </w:r>
            <w:r>
              <w:rPr>
                <w:b/>
              </w:rPr>
              <w:t>CI/CD un koda pārvaldība:</w:t>
            </w:r>
            <w:r>
              <w:rPr/>
              <w:t xml:space="preserve"> Izveidot GitLab pašmitinātu repozitoriju visam pirmkodam (aģents, darbplūsmas, tērzēšanas robota servisi, aktivitāšu bibliotēka). Konfigurēt CI/CD cauruļvadus automātiskai būvēšanai, testēšanai un izvietošanai izolētajā vidē.  • </w:t>
            </w:r>
            <w:r>
              <w:rPr>
                <w:b/>
              </w:rPr>
              <w:t>Datu un glabāšanas slānis:</w:t>
            </w:r>
            <w:r>
              <w:rPr/>
              <w:t xml:space="preserve"> Izvietot un uzturēt PostgreSQL (Temporal stāvoklim, katalogam, konfigurācijai), vektoru datubāzi (semantiskajai meklēšanai), glabātuvi aktivitāšu žurnāliem un darbplūsmu koda versijām. Visi dati glabājas pašmitināti un tiek šifrēti miera stāvoklī.  • </w:t>
            </w:r>
            <w:r>
              <w:rPr>
                <w:b/>
              </w:rPr>
              <w:t>Administrēšanas konsole:</w:t>
            </w:r>
            <w:r>
              <w:rPr/>
              <w:t xml:space="preserve"> Vienots tīmekļa panelis ar RBAC kontrolētu piekļuvi. Nodrošina: komponentu veselības monitoringu, darbplūsmu izpildes žurnālu un statistiku, lietotāju/lomu pārvaldību, aktivitāšu bibliotēkas versijas, LLM galapunktu konfigurāciju un audita datu eksportu.  • </w:t>
            </w:r>
            <w:r>
              <w:rPr>
                <w:b/>
              </w:rPr>
              <w:t>Drošība un atbilstība:</w:t>
            </w:r>
            <w:r>
              <w:rPr/>
              <w:t xml:space="preserve"> Vienota autentifikācija (JWT/OAuth2) un lomas: darbvirsmas aģenta lietotājs, kataloga pārvaldnieks, gala lietotājs, administrators. Šifrēšana pārraidē (TLS) un glabāšanā. Detalizēti audita žurnāli par visām darbībām, datu saglabāšanas un dzēšanas politikas, kas atbilst bezsaistes prasībām.  • </w:t>
            </w:r>
            <w:r>
              <w:rPr>
                <w:b/>
              </w:rPr>
              <w:t>Uzturamība:</w:t>
            </w:r>
            <w:r>
              <w:rPr/>
              <w:t xml:space="preserve"> Visi komponenti darbojas konteinerizētā vidē (Docker/Kubernetes), infrastruktūra tiek definēta kā kods (Terraform/Ansible), dokumentācija izstrādātājiem un administratoriem par atjaunināšanas, dublēšanas un atkopšanas procedūrām.</w:t>
            </w:r>
          </w:p>
        </w:tc>
        <w:tc>
          <w:tcPr>
            <w:tcW w:w="2614" w:type="dxa"/>
            <w:tcBorders>
              <w:start w:val="single" w:sz="4" w:space="0" w:color="000000"/>
              <w:bottom w:val="single" w:sz="4" w:space="0" w:color="000000"/>
            </w:tcBorders>
          </w:tcPr>
          <w:p>
            <w:pPr>
              <w:pStyle w:val="TableContents"/>
              <w:spacing w:before="0" w:after="200"/>
              <w:jc w:val="start"/>
              <w:rPr/>
            </w:pPr>
            <w:r>
              <w:rPr/>
              <w:t>1) Pilnībā funkcionējošs GitLab ar CI/CD, kas spēj automātiski būvēt un izvietot pārējo moduļu kodu. 2) Izvietotas un konfigurētas datubāzes (PostgreSQL, vektoru DB) ar definētām dublēšanas un atjaunošanas procedūrām. 3) Darbojošs administrācijas panelis ar lomu sadalītu piekļuvi un reāllaika monitoringu. 4) Vienota drošības sistēma – RBAC, audita žurnāli, šifrēšana. 5) Dokumentēta “infrastruktūra kā kods” konfigurācija, kas nodrošina vides atkārtojamību un ilgtspējīgu uzturēšanu.</w:t>
            </w:r>
          </w:p>
        </w:tc>
        <w:tc>
          <w:tcPr>
            <w:tcW w:w="901" w:type="dxa"/>
            <w:tcBorders>
              <w:start w:val="single" w:sz="4" w:space="0" w:color="000000"/>
              <w:bottom w:val="single" w:sz="4" w:space="0" w:color="000000"/>
              <w:end w:val="single" w:sz="4" w:space="0" w:color="000000"/>
            </w:tcBorders>
          </w:tcPr>
          <w:p>
            <w:pPr>
              <w:pStyle w:val="TableContents"/>
              <w:spacing w:before="0" w:after="200"/>
              <w:jc w:val="start"/>
              <w:rPr/>
            </w:pPr>
            <w:r>
              <w:rPr/>
            </w:r>
          </w:p>
        </w:tc>
      </w:tr>
    </w:tbl>
    <w:p>
      <w:pPr>
        <w:pStyle w:val="Normal"/>
        <w:ind w:hanging="0" w:start="0" w:end="140"/>
        <w:jc w:val="both"/>
        <w:rPr>
          <w:rFonts w:ascii="Times New Roman" w:hAnsi="Times New Roman" w:eastAsia="Times New Roman" w:cs="Times New Roman"/>
          <w:color w:val="111A54"/>
          <w:sz w:val="24"/>
          <w:szCs w:val="24"/>
        </w:rPr>
      </w:pPr>
      <w:r>
        <w:rPr>
          <w:rFonts w:eastAsia="Times New Roman" w:cs="Times New Roman" w:ascii="Times New Roman" w:hAnsi="Times New Roman"/>
          <w:color w:val="111A54"/>
          <w:sz w:val="24"/>
          <w:szCs w:val="24"/>
        </w:rPr>
        <w:t>Apliecinājumi:</w:t>
      </w:r>
    </w:p>
    <w:p>
      <w:pPr>
        <w:pStyle w:val="Normal"/>
        <w:ind w:hanging="0" w:start="0" w:end="140"/>
        <w:jc w:val="both"/>
        <w:rPr>
          <w:rFonts w:ascii="Times New Roman" w:hAnsi="Times New Roman" w:eastAsia="Times New Roman" w:cs="Times New Roman"/>
          <w:color w:val="111A54"/>
          <w:sz w:val="24"/>
          <w:szCs w:val="24"/>
        </w:rPr>
      </w:pPr>
      <w:r>
        <w:rPr>
          <w:rFonts w:eastAsia="Times New Roman" w:cs="Times New Roman" w:ascii="Times New Roman" w:hAnsi="Times New Roman"/>
          <w:color w:val="111A54"/>
          <w:sz w:val="24"/>
          <w:szCs w:val="24"/>
        </w:rPr>
        <w:t>1. Apliecinu, ka Finanšu piedāvājumā piedāvātajā cenā ievērtētas un iekļautas visas ar pakalpojuma sniegšanu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pPr>
        <w:pStyle w:val="Normal"/>
        <w:ind w:hanging="0" w:start="0" w:end="140"/>
        <w:jc w:val="both"/>
        <w:rPr>
          <w:rFonts w:ascii="Times New Roman" w:hAnsi="Times New Roman" w:eastAsia="Times New Roman" w:cs="Times New Roman"/>
          <w:color w:val="111A54"/>
          <w:sz w:val="24"/>
          <w:szCs w:val="24"/>
        </w:rPr>
      </w:pPr>
      <w:r>
        <w:rPr>
          <w:rFonts w:eastAsia="Times New Roman" w:cs="Times New Roman" w:ascii="Times New Roman" w:hAnsi="Times New Roman"/>
          <w:color w:val="111A54"/>
          <w:sz w:val="24"/>
          <w:szCs w:val="24"/>
        </w:rPr>
        <w:t xml:space="preserve">2. Apliecinu, ka apņemos nodrošināt  </w:t>
      </w:r>
      <w:r>
        <w:rPr>
          <w:rFonts w:eastAsia="Times New Roman" w:cs="Times New Roman" w:ascii="Times New Roman" w:hAnsi="Times New Roman"/>
          <w:b/>
          <w:bCs/>
          <w:color w:val="111A54"/>
          <w:sz w:val="24"/>
          <w:szCs w:val="24"/>
        </w:rPr>
        <w:t>bezmaksas garantijas uzturēšanu</w:t>
      </w:r>
      <w:r>
        <w:rPr>
          <w:rFonts w:eastAsia="Times New Roman" w:cs="Times New Roman" w:ascii="Times New Roman" w:hAnsi="Times New Roman"/>
          <w:color w:val="111A54"/>
          <w:sz w:val="24"/>
          <w:szCs w:val="24"/>
        </w:rPr>
        <w:t xml:space="preserve"> piegādātajiem izstrādes  produktiem vismaz 24 mēnešus no darbu pabeigšanas, kā arī iesniegt bankas garantiju  </w:t>
      </w:r>
      <w:r>
        <w:rPr>
          <w:rFonts w:eastAsia="Times New Roman" w:cs="Times New Roman" w:ascii="Times New Roman" w:hAnsi="Times New Roman"/>
          <w:color w:val="111A54"/>
          <w:sz w:val="24"/>
          <w:szCs w:val="24"/>
        </w:rPr>
        <w:t xml:space="preserve">pirms samaksas saņēmšanas par darba izpildi, </w:t>
      </w:r>
      <w:r>
        <w:rPr>
          <w:rFonts w:eastAsia="Times New Roman" w:cs="Times New Roman" w:ascii="Times New Roman" w:hAnsi="Times New Roman"/>
          <w:color w:val="111A54"/>
          <w:sz w:val="24"/>
          <w:szCs w:val="24"/>
        </w:rPr>
        <w:t>15% apmērā no piedāvātās summas pēc Pasūtītaja pieprasījuma.</w:t>
      </w:r>
    </w:p>
    <w:p>
      <w:pPr>
        <w:pStyle w:val="Normal"/>
        <w:ind w:hanging="0" w:start="0" w:end="140"/>
        <w:jc w:val="both"/>
        <w:rPr>
          <w:rFonts w:ascii="Times New Roman" w:hAnsi="Times New Roman" w:eastAsia="Times New Roman" w:cs="Times New Roman"/>
          <w:color w:val="111A54"/>
          <w:sz w:val="24"/>
          <w:szCs w:val="24"/>
        </w:rPr>
      </w:pPr>
      <w:r>
        <w:rPr>
          <w:rFonts w:eastAsia="Times New Roman" w:cs="Times New Roman" w:ascii="Times New Roman" w:hAnsi="Times New Roman"/>
          <w:color w:val="111A54"/>
          <w:sz w:val="24"/>
          <w:szCs w:val="24"/>
        </w:rPr>
        <w:t xml:space="preserve">3. Apliecinu, ka piegādāšu darbus pilnā apmērā, kā to saskaņošu ar Pasūtītāju, un atbilstoši kritērijiem, par ko vienosimies darbu uzsākot (definition of Done). Gadījumā, ja nepiegādāšu produktu atbilstoši </w:t>
      </w:r>
      <w:r>
        <w:rPr>
          <w:rFonts w:eastAsia="Times New Roman" w:cs="Times New Roman" w:ascii="Times New Roman" w:hAnsi="Times New Roman"/>
          <w:color w:val="111A54"/>
          <w:sz w:val="24"/>
          <w:szCs w:val="24"/>
        </w:rPr>
        <w:t xml:space="preserve">Pasūtīāja </w:t>
      </w:r>
      <w:r>
        <w:rPr>
          <w:rFonts w:eastAsia="Times New Roman" w:cs="Times New Roman" w:ascii="Times New Roman" w:hAnsi="Times New Roman"/>
          <w:color w:val="111A54"/>
          <w:sz w:val="24"/>
          <w:szCs w:val="24"/>
        </w:rPr>
        <w:t xml:space="preserve">prasībām un nodošanas kritērijiem, Pasūtītājam ir tiesības </w:t>
      </w:r>
      <w:r>
        <w:rPr>
          <w:rFonts w:eastAsia="Times New Roman" w:cs="Times New Roman" w:ascii="Times New Roman" w:hAnsi="Times New Roman"/>
          <w:b/>
          <w:bCs/>
          <w:color w:val="111A54"/>
          <w:sz w:val="24"/>
          <w:szCs w:val="24"/>
        </w:rPr>
        <w:t>nemaksāt man</w:t>
      </w:r>
      <w:r>
        <w:rPr>
          <w:rFonts w:eastAsia="Times New Roman" w:cs="Times New Roman" w:ascii="Times New Roman" w:hAnsi="Times New Roman"/>
          <w:color w:val="111A54"/>
          <w:sz w:val="24"/>
          <w:szCs w:val="24"/>
        </w:rPr>
        <w:t xml:space="preserve"> par </w:t>
      </w:r>
      <w:r>
        <w:rPr>
          <w:rFonts w:eastAsia="Times New Roman" w:cs="Times New Roman" w:ascii="Times New Roman" w:hAnsi="Times New Roman"/>
          <w:color w:val="111A54"/>
          <w:sz w:val="24"/>
          <w:szCs w:val="24"/>
        </w:rPr>
        <w:t>pa</w:t>
      </w:r>
      <w:r>
        <w:rPr>
          <w:rFonts w:eastAsia="Times New Roman" w:cs="Times New Roman" w:ascii="Times New Roman" w:hAnsi="Times New Roman"/>
          <w:color w:val="111A54"/>
          <w:sz w:val="24"/>
          <w:szCs w:val="24"/>
        </w:rPr>
        <w:t xml:space="preserve">veikto darbu </w:t>
      </w:r>
      <w:r>
        <w:rPr>
          <w:rFonts w:eastAsia="Times New Roman" w:cs="Times New Roman" w:ascii="Times New Roman" w:hAnsi="Times New Roman"/>
          <w:color w:val="111A54"/>
          <w:sz w:val="24"/>
          <w:szCs w:val="24"/>
        </w:rPr>
        <w:t>un nodot izpildi nākamajam Pretendentam.</w:t>
      </w:r>
    </w:p>
    <w:p>
      <w:pPr>
        <w:pStyle w:val="Normal"/>
        <w:ind w:hanging="0" w:start="0" w:end="140"/>
        <w:jc w:val="both"/>
        <w:rPr>
          <w:rFonts w:ascii="Times New Roman" w:hAnsi="Times New Roman" w:eastAsia="Times New Roman" w:cs="Times New Roman"/>
          <w:color w:val="111A54"/>
          <w:sz w:val="24"/>
          <w:szCs w:val="24"/>
        </w:rPr>
      </w:pPr>
      <w:r>
        <w:rPr>
          <w:rFonts w:eastAsia="Times New Roman" w:cs="Times New Roman" w:ascii="Times New Roman" w:hAnsi="Times New Roman"/>
          <w:color w:val="111A54"/>
          <w:sz w:val="24"/>
          <w:szCs w:val="24"/>
        </w:rPr>
        <w:t xml:space="preserve">4. Apliecinu, ka gadījumā, ja mēs </w:t>
      </w:r>
      <w:r>
        <w:rPr>
          <w:rFonts w:eastAsia="Times New Roman" w:cs="Times New Roman" w:ascii="Times New Roman" w:hAnsi="Times New Roman"/>
          <w:color w:val="111A54"/>
          <w:sz w:val="24"/>
          <w:szCs w:val="24"/>
        </w:rPr>
        <w:t>nespēsim vienoties</w:t>
      </w:r>
      <w:r>
        <w:rPr>
          <w:rFonts w:eastAsia="Times New Roman" w:cs="Times New Roman" w:ascii="Times New Roman" w:hAnsi="Times New Roman"/>
          <w:color w:val="111A54"/>
          <w:sz w:val="24"/>
          <w:szCs w:val="24"/>
        </w:rPr>
        <w:t xml:space="preserve"> līgumu 10 darba dienu laikā pēc rezultāta paziņošanas, es atsaucu savu piedāvājumu konkrētajā darba uzdevuma punktā un Pasūtītājam ir tiesības slēgt līgumu ar nākamo zemākās cenas piedāvājumu.</w:t>
      </w:r>
    </w:p>
    <w:p>
      <w:pPr>
        <w:pStyle w:val="Normal"/>
        <w:ind w:hanging="0" w:start="0" w:end="140"/>
        <w:jc w:val="both"/>
        <w:rPr>
          <w:rFonts w:ascii="Times New Roman" w:hAnsi="Times New Roman" w:eastAsia="Times New Roman" w:cs="Times New Roman"/>
          <w:color w:val="111A54"/>
          <w:sz w:val="24"/>
          <w:szCs w:val="24"/>
        </w:rPr>
      </w:pPr>
      <w:r>
        <w:rPr>
          <w:rFonts w:eastAsia="Times New Roman" w:cs="Times New Roman" w:ascii="Times New Roman" w:hAnsi="Times New Roman"/>
          <w:color w:val="111A54"/>
          <w:sz w:val="24"/>
          <w:szCs w:val="24"/>
        </w:rPr>
      </w:r>
    </w:p>
    <w:p>
      <w:pPr>
        <w:pStyle w:val="Normal"/>
        <w:numPr>
          <w:ilvl w:val="0"/>
          <w:numId w:val="0"/>
        </w:numPr>
        <w:spacing w:lineRule="auto" w:line="259" w:before="0" w:after="0"/>
        <w:ind w:hanging="0" w:start="0"/>
        <w:rPr>
          <w:rFonts w:ascii="Times New Roman" w:hAnsi="Times New Roman"/>
        </w:rPr>
      </w:pPr>
      <w:r>
        <w:rPr>
          <w:rFonts w:ascii="Times New Roman" w:hAnsi="Times New Roman"/>
          <w:b/>
          <w:color w:val="111A54"/>
          <w:sz w:val="22"/>
          <w:szCs w:val="22"/>
        </w:rPr>
        <w:t xml:space="preserve"> </w:t>
      </w:r>
    </w:p>
    <w:tbl>
      <w:tblPr>
        <w:tblStyle w:val="TableGrid"/>
        <w:tblW w:w="8910" w:type="dxa"/>
        <w:jc w:val="start"/>
        <w:tblInd w:w="7" w:type="dxa"/>
        <w:tblLayout w:type="fixed"/>
        <w:tblCellMar>
          <w:top w:w="0" w:type="dxa"/>
          <w:start w:w="102" w:type="dxa"/>
          <w:bottom w:w="8" w:type="dxa"/>
          <w:end w:w="38" w:type="dxa"/>
        </w:tblCellMar>
        <w:tblLook w:val="04a0" w:firstRow="1" w:noVBand="1" w:lastRow="0" w:firstColumn="1" w:lastColumn="0" w:noHBand="0"/>
      </w:tblPr>
      <w:tblGrid>
        <w:gridCol w:w="2400"/>
        <w:gridCol w:w="6510"/>
      </w:tblGrid>
      <w:tr>
        <w:trPr>
          <w:trHeight w:val="808" w:hRule="atLeast"/>
        </w:trPr>
        <w:tc>
          <w:tcPr>
            <w:tcW w:w="240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
                <w:color w:val="111A54"/>
                <w:kern w:val="2"/>
                <w:sz w:val="22"/>
                <w:szCs w:val="22"/>
              </w:rPr>
              <w:t>Vārds, uzvārds:</w:t>
            </w:r>
          </w:p>
        </w:tc>
        <w:tc>
          <w:tcPr>
            <w:tcW w:w="65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rPr>
            </w:r>
          </w:p>
        </w:tc>
      </w:tr>
      <w:tr>
        <w:trPr>
          <w:trHeight w:val="530" w:hRule="atLeast"/>
        </w:trPr>
        <w:tc>
          <w:tcPr>
            <w:tcW w:w="2400" w:type="dxa"/>
            <w:tcBorders>
              <w:top w:val="single" w:sz="6" w:space="0" w:color="000000"/>
              <w:start w:val="single" w:sz="6" w:space="0" w:color="000000"/>
              <w:bottom w:val="single" w:sz="6" w:space="0" w:color="000000"/>
              <w:end w:val="single" w:sz="6" w:space="0" w:color="000000"/>
            </w:tcBorders>
            <w:vAlign w:val="bottom"/>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
                <w:color w:val="111A54"/>
                <w:kern w:val="2"/>
                <w:sz w:val="22"/>
                <w:szCs w:val="22"/>
              </w:rPr>
              <w:t>Amats:</w:t>
            </w:r>
          </w:p>
        </w:tc>
        <w:tc>
          <w:tcPr>
            <w:tcW w:w="65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rPr>
            </w:r>
          </w:p>
        </w:tc>
      </w:tr>
      <w:tr>
        <w:trPr>
          <w:trHeight w:val="532" w:hRule="atLeast"/>
        </w:trPr>
        <w:tc>
          <w:tcPr>
            <w:tcW w:w="2400" w:type="dxa"/>
            <w:tcBorders>
              <w:top w:val="single" w:sz="6" w:space="0" w:color="000000"/>
              <w:start w:val="single" w:sz="6" w:space="0" w:color="000000"/>
              <w:bottom w:val="single" w:sz="6" w:space="0" w:color="000000"/>
              <w:end w:val="single" w:sz="6" w:space="0" w:color="000000"/>
            </w:tcBorders>
            <w:vAlign w:val="bottom"/>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
                <w:color w:val="111A54"/>
                <w:kern w:val="2"/>
                <w:sz w:val="22"/>
                <w:szCs w:val="22"/>
              </w:rPr>
              <w:t>Paraksts:</w:t>
            </w:r>
          </w:p>
        </w:tc>
        <w:tc>
          <w:tcPr>
            <w:tcW w:w="65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numPr>
                <w:ilvl w:val="0"/>
                <w:numId w:val="0"/>
              </w:numPr>
              <w:suppressAutoHyphens w:val="true"/>
              <w:spacing w:lineRule="auto" w:line="259" w:before="0" w:after="0"/>
              <w:ind w:hanging="0" w:start="0"/>
              <w:jc w:val="start"/>
              <w:rPr>
                <w:rFonts w:ascii="Times New Roman" w:hAnsi="Times New Roman"/>
              </w:rPr>
            </w:pPr>
            <w:r>
              <w:rPr>
                <w:rFonts w:ascii="Times New Roman" w:hAnsi="Times New Roman"/>
                <w:bCs/>
                <w:color w:val="111A54"/>
                <w:kern w:val="2"/>
                <w:sz w:val="22"/>
                <w:szCs w:val="22"/>
              </w:rPr>
              <w:t xml:space="preserve"> </w:t>
            </w:r>
          </w:p>
        </w:tc>
      </w:tr>
    </w:tbl>
    <w:p>
      <w:pPr>
        <w:pStyle w:val="Normal"/>
        <w:numPr>
          <w:ilvl w:val="0"/>
          <w:numId w:val="0"/>
        </w:numPr>
        <w:spacing w:lineRule="auto" w:line="240" w:before="0" w:after="0"/>
        <w:ind w:hanging="0" w:start="1440"/>
        <w:jc w:val="end"/>
        <w:rPr>
          <w:rFonts w:ascii="Times New Roman" w:hAnsi="Times New Roman" w:eastAsia="Times New Roman"/>
          <w:color w:themeColor="text1" w:val="000000"/>
          <w:sz w:val="24"/>
          <w:szCs w:val="24"/>
          <w:lang w:val="lv-LV"/>
        </w:rPr>
      </w:pPr>
      <w:r>
        <w:rPr>
          <w:rFonts w:eastAsia="Times New Roman" w:ascii="Times New Roman" w:hAnsi="Times New Roman"/>
          <w:color w:themeColor="text1" w:val="000000"/>
          <w:sz w:val="24"/>
          <w:szCs w:val="24"/>
          <w:lang w:val="lv-LV"/>
        </w:rPr>
      </w:r>
    </w:p>
    <w:sectPr>
      <w:footerReference w:type="even" r:id="rId3"/>
      <w:footerReference w:type="default" r:id="rId4"/>
      <w:footerReference w:type="first" r:id="rId5"/>
      <w:type w:val="nextPage"/>
      <w:pgSz w:w="11906" w:h="16838"/>
      <w:pgMar w:left="1701" w:right="1145" w:gutter="0" w:header="0" w:top="1134" w:footer="709" w:bottom="1418"/>
      <w:pgNumType w:fmt="decimal"/>
      <w:formProt w:val="false"/>
      <w:titlePg/>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Segoe UI">
    <w:charset w:val="00" w:characterSet="windows-1252"/>
    <w:family w:val="roman"/>
    <w:pitch w:val="variable"/>
  </w:font>
  <w:font w:name="RimTimes">
    <w:charset w:val="00" w:characterSet="windows-1252"/>
    <w:family w:val="roman"/>
    <w:pitch w:val="variable"/>
  </w:font>
  <w:font w:name="Tahoma">
    <w:charset w:val="00" w:characterSet="windows-1252"/>
    <w:family w:val="roman"/>
    <w:pitch w:val="variable"/>
  </w:font>
  <w:font w:name="EYInterstate Light">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roman"/>
    <w:pitch w:val="variable"/>
  </w:font>
  <w:font w:name="Lucida Sans Unicode">
    <w:charset w:val="00" w:characterSet="windows-1252"/>
    <w:family w:val="roman"/>
    <w:pitch w:val="variable"/>
  </w:font>
  <w:font w:name="Liberation Mono">
    <w:altName w:val="Courier New"/>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40191409"/>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12</w:t>
        </w:r>
        <w:r>
          <w:rPr/>
          <w:fldChar w:fldCharType="end"/>
        </w:r>
      </w:p>
      <w:p>
        <w:pPr>
          <w:pStyle w:val="Footer"/>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1."/>
      <w:lvlJc w:val="start"/>
      <w:pPr>
        <w:tabs>
          <w:tab w:val="num" w:pos="0"/>
        </w:tabs>
        <w:ind w:start="380" w:hanging="360"/>
      </w:pPr>
      <w:rPr/>
    </w:lvl>
    <w:lvl w:ilvl="1">
      <w:start w:val="1"/>
      <w:numFmt w:val="lowerLetter"/>
      <w:lvlText w:val="%2."/>
      <w:lvlJc w:val="start"/>
      <w:pPr>
        <w:tabs>
          <w:tab w:val="num" w:pos="0"/>
        </w:tabs>
        <w:ind w:start="1100" w:hanging="360"/>
      </w:pPr>
      <w:rPr/>
    </w:lvl>
    <w:lvl w:ilvl="2">
      <w:start w:val="1"/>
      <w:numFmt w:val="lowerRoman"/>
      <w:lvlText w:val="%3."/>
      <w:lvlJc w:val="end"/>
      <w:pPr>
        <w:tabs>
          <w:tab w:val="num" w:pos="0"/>
        </w:tabs>
        <w:ind w:start="1820" w:hanging="180"/>
      </w:pPr>
      <w:rPr/>
    </w:lvl>
    <w:lvl w:ilvl="3">
      <w:start w:val="1"/>
      <w:numFmt w:val="decimal"/>
      <w:lvlText w:val="%4."/>
      <w:lvlJc w:val="start"/>
      <w:pPr>
        <w:tabs>
          <w:tab w:val="num" w:pos="0"/>
        </w:tabs>
        <w:ind w:start="2540" w:hanging="360"/>
      </w:pPr>
      <w:rPr/>
    </w:lvl>
    <w:lvl w:ilvl="4">
      <w:start w:val="1"/>
      <w:numFmt w:val="lowerLetter"/>
      <w:lvlText w:val="%5."/>
      <w:lvlJc w:val="start"/>
      <w:pPr>
        <w:tabs>
          <w:tab w:val="num" w:pos="0"/>
        </w:tabs>
        <w:ind w:start="3260" w:hanging="360"/>
      </w:pPr>
      <w:rPr/>
    </w:lvl>
    <w:lvl w:ilvl="5">
      <w:start w:val="1"/>
      <w:numFmt w:val="lowerRoman"/>
      <w:lvlText w:val="%6."/>
      <w:lvlJc w:val="end"/>
      <w:pPr>
        <w:tabs>
          <w:tab w:val="num" w:pos="0"/>
        </w:tabs>
        <w:ind w:start="3980" w:hanging="180"/>
      </w:pPr>
      <w:rPr/>
    </w:lvl>
    <w:lvl w:ilvl="6">
      <w:start w:val="1"/>
      <w:numFmt w:val="decimal"/>
      <w:lvlText w:val="%7."/>
      <w:lvlJc w:val="start"/>
      <w:pPr>
        <w:tabs>
          <w:tab w:val="num" w:pos="0"/>
        </w:tabs>
        <w:ind w:start="4700" w:hanging="360"/>
      </w:pPr>
      <w:rPr/>
    </w:lvl>
    <w:lvl w:ilvl="7">
      <w:start w:val="1"/>
      <w:numFmt w:val="lowerLetter"/>
      <w:lvlText w:val="%8."/>
      <w:lvlJc w:val="start"/>
      <w:pPr>
        <w:tabs>
          <w:tab w:val="num" w:pos="0"/>
        </w:tabs>
        <w:ind w:start="5420" w:hanging="360"/>
      </w:pPr>
      <w:rPr/>
    </w:lvl>
    <w:lvl w:ilvl="8">
      <w:start w:val="1"/>
      <w:numFmt w:val="lowerRoman"/>
      <w:lvlText w:val="%9."/>
      <w:lvlJc w:val="end"/>
      <w:pPr>
        <w:tabs>
          <w:tab w:val="num" w:pos="0"/>
        </w:tabs>
        <w:ind w:start="6140" w:hanging="180"/>
      </w:pPr>
      <w:rPr/>
    </w:lvl>
  </w:abstractNum>
  <w:abstractNum w:abstractNumId="2">
    <w:lvl w:ilvl="0">
      <w:start w:val="3"/>
      <w:numFmt w:val="decimal"/>
      <w:lvlText w:val="%1."/>
      <w:lvlJc w:val="start"/>
      <w:pPr>
        <w:tabs>
          <w:tab w:val="num" w:pos="0"/>
        </w:tabs>
        <w:ind w:start="504" w:hanging="504"/>
      </w:pPr>
      <w:rPr/>
    </w:lvl>
    <w:lvl w:ilvl="1">
      <w:start w:val="1"/>
      <w:numFmt w:val="decimal"/>
      <w:lvlText w:val="%1.%2."/>
      <w:lvlJc w:val="start"/>
      <w:pPr>
        <w:tabs>
          <w:tab w:val="num" w:pos="0"/>
        </w:tabs>
        <w:ind w:start="864" w:hanging="504"/>
      </w:pPr>
      <w:rPr>
        <w:b/>
        <w:bCs/>
      </w:rPr>
    </w:lvl>
    <w:lvl w:ilvl="2">
      <w:start w:val="1"/>
      <w:numFmt w:val="decimal"/>
      <w:lvlText w:val="%1.%2.%3."/>
      <w:lvlJc w:val="start"/>
      <w:pPr>
        <w:tabs>
          <w:tab w:val="num" w:pos="0"/>
        </w:tabs>
        <w:ind w:start="1440" w:hanging="720"/>
      </w:pPr>
      <w:rPr>
        <w:b w:val="false"/>
        <w:bCs w:val="false"/>
        <w:i w:val="false"/>
        <w:iCs w:val="false"/>
        <w:color w:val="auto"/>
      </w:rPr>
    </w:lvl>
    <w:lvl w:ilvl="3">
      <w:start w:val="1"/>
      <w:numFmt w:val="decimal"/>
      <w:lvlText w:val="%1.%2.%3.%4."/>
      <w:lvlJc w:val="start"/>
      <w:pPr>
        <w:tabs>
          <w:tab w:val="num" w:pos="0"/>
        </w:tabs>
        <w:ind w:start="1800" w:hanging="720"/>
      </w:pPr>
      <w:rPr>
        <w:b w:val="false"/>
        <w:bCs w:val="false"/>
      </w:rPr>
    </w:lvl>
    <w:lvl w:ilvl="4">
      <w:start w:val="1"/>
      <w:numFmt w:val="decimal"/>
      <w:lvlText w:val="%1.%2.%3.%4.%5."/>
      <w:lvlJc w:val="start"/>
      <w:pPr>
        <w:tabs>
          <w:tab w:val="num" w:pos="0"/>
        </w:tabs>
        <w:ind w:start="2520" w:hanging="1080"/>
      </w:pPr>
      <w:rPr>
        <w:b w:val="false"/>
        <w:bCs w:val="false"/>
      </w:rPr>
    </w:lvl>
    <w:lvl w:ilvl="5">
      <w:start w:val="1"/>
      <w:numFmt w:val="decimal"/>
      <w:lvlText w:val="%1.%2.%3.%4.%5.%6."/>
      <w:lvlJc w:val="start"/>
      <w:pPr>
        <w:tabs>
          <w:tab w:val="num" w:pos="0"/>
        </w:tabs>
        <w:ind w:start="2880" w:hanging="1080"/>
      </w:pPr>
      <w:rPr/>
    </w:lvl>
    <w:lvl w:ilvl="6">
      <w:start w:val="1"/>
      <w:numFmt w:val="decimal"/>
      <w:lvlText w:val="%1.%2.%3.%4.%5.%6.%7."/>
      <w:lvlJc w:val="start"/>
      <w:pPr>
        <w:tabs>
          <w:tab w:val="num" w:pos="0"/>
        </w:tabs>
        <w:ind w:start="3600" w:hanging="1440"/>
      </w:pPr>
      <w:rPr/>
    </w:lvl>
    <w:lvl w:ilvl="7">
      <w:start w:val="1"/>
      <w:numFmt w:val="decimal"/>
      <w:lvlText w:val="%1.%2.%3.%4.%5.%6.%7.%8."/>
      <w:lvlJc w:val="start"/>
      <w:pPr>
        <w:tabs>
          <w:tab w:val="num" w:pos="0"/>
        </w:tabs>
        <w:ind w:start="3960" w:hanging="1440"/>
      </w:pPr>
      <w:rPr/>
    </w:lvl>
    <w:lvl w:ilvl="8">
      <w:start w:val="1"/>
      <w:numFmt w:val="decimal"/>
      <w:lvlText w:val="%1.%2.%3.%4.%5.%6.%7.%8.%9."/>
      <w:lvlJc w:val="start"/>
      <w:pPr>
        <w:tabs>
          <w:tab w:val="num" w:pos="0"/>
        </w:tabs>
        <w:ind w:start="4680" w:hanging="1800"/>
      </w:pPr>
      <w:rPr/>
    </w:lvl>
  </w:abstractNum>
  <w:abstractNum w:abstractNumId="3">
    <w:lvl w:ilvl="0">
      <w:start w:val="5"/>
      <w:numFmt w:val="decimal"/>
      <w:lvlText w:val="%1."/>
      <w:lvlJc w:val="start"/>
      <w:pPr>
        <w:tabs>
          <w:tab w:val="num" w:pos="0"/>
        </w:tabs>
        <w:ind w:start="360" w:hanging="360"/>
      </w:pPr>
      <w:rPr>
        <w:b/>
        <w:bCs/>
        <w:sz w:val="24"/>
      </w:rPr>
    </w:lvl>
    <w:lvl w:ilvl="1">
      <w:start w:val="1"/>
      <w:numFmt w:val="decimal"/>
      <w:lvlText w:val="%1.%2."/>
      <w:lvlJc w:val="start"/>
      <w:pPr>
        <w:tabs>
          <w:tab w:val="num" w:pos="0"/>
        </w:tabs>
        <w:ind w:start="720" w:hanging="720"/>
      </w:pPr>
      <w:rPr>
        <w:b w:val="false"/>
        <w:bCs w:val="false"/>
        <w:sz w:val="24"/>
      </w:rPr>
    </w:lvl>
    <w:lvl w:ilvl="2">
      <w:start w:val="1"/>
      <w:numFmt w:val="decimal"/>
      <w:lvlText w:val="%1.%2.%3."/>
      <w:lvlJc w:val="start"/>
      <w:pPr>
        <w:tabs>
          <w:tab w:val="num" w:pos="0"/>
        </w:tabs>
        <w:ind w:start="720" w:hanging="720"/>
      </w:pPr>
      <w:rPr>
        <w:b w:val="false"/>
        <w:bCs w:val="false"/>
        <w:i w:val="false"/>
        <w:iCs w:val="false"/>
        <w:color w:val="auto"/>
        <w:sz w:val="24"/>
      </w:rPr>
    </w:lvl>
    <w:lvl w:ilvl="3">
      <w:start w:val="1"/>
      <w:numFmt w:val="decimal"/>
      <w:lvlText w:val="%1.%2.%3.%4."/>
      <w:lvlJc w:val="start"/>
      <w:pPr>
        <w:tabs>
          <w:tab w:val="num" w:pos="0"/>
        </w:tabs>
        <w:ind w:start="1080" w:hanging="1080"/>
      </w:pPr>
      <w:rPr>
        <w:b w:val="false"/>
        <w:bCs w:val="false"/>
        <w:sz w:val="24"/>
      </w:rPr>
    </w:lvl>
    <w:lvl w:ilvl="4">
      <w:start w:val="1"/>
      <w:numFmt w:val="decimal"/>
      <w:lvlText w:val="%1.%2.%3.%4.%5."/>
      <w:lvlJc w:val="start"/>
      <w:pPr>
        <w:tabs>
          <w:tab w:val="num" w:pos="0"/>
        </w:tabs>
        <w:ind w:start="1080" w:hanging="1080"/>
      </w:pPr>
      <w:rPr>
        <w:sz w:val="24"/>
      </w:rPr>
    </w:lvl>
    <w:lvl w:ilvl="5">
      <w:start w:val="1"/>
      <w:numFmt w:val="decimal"/>
      <w:lvlText w:val="%1.%2.%3.%4.%5.%6."/>
      <w:lvlJc w:val="start"/>
      <w:pPr>
        <w:tabs>
          <w:tab w:val="num" w:pos="0"/>
        </w:tabs>
        <w:ind w:start="1440" w:hanging="1440"/>
      </w:pPr>
      <w:rPr>
        <w:sz w:val="24"/>
      </w:rPr>
    </w:lvl>
    <w:lvl w:ilvl="6">
      <w:start w:val="1"/>
      <w:numFmt w:val="decimal"/>
      <w:lvlText w:val="%1.%2.%3.%4.%5.%6.%7."/>
      <w:lvlJc w:val="start"/>
      <w:pPr>
        <w:tabs>
          <w:tab w:val="num" w:pos="0"/>
        </w:tabs>
        <w:ind w:start="1800" w:hanging="1800"/>
      </w:pPr>
      <w:rPr>
        <w:sz w:val="24"/>
      </w:rPr>
    </w:lvl>
    <w:lvl w:ilvl="7">
      <w:start w:val="1"/>
      <w:numFmt w:val="decimal"/>
      <w:lvlText w:val="%1.%2.%3.%4.%5.%6.%7.%8."/>
      <w:lvlJc w:val="start"/>
      <w:pPr>
        <w:tabs>
          <w:tab w:val="num" w:pos="0"/>
        </w:tabs>
        <w:ind w:start="1800" w:hanging="1800"/>
      </w:pPr>
      <w:rPr>
        <w:sz w:val="24"/>
      </w:rPr>
    </w:lvl>
    <w:lvl w:ilvl="8">
      <w:start w:val="1"/>
      <w:numFmt w:val="decimal"/>
      <w:lvlText w:val="%1.%2.%3.%4.%5.%6.%7.%8.%9."/>
      <w:lvlJc w:val="start"/>
      <w:pPr>
        <w:tabs>
          <w:tab w:val="num" w:pos="0"/>
        </w:tabs>
        <w:ind w:start="2160" w:hanging="2160"/>
      </w:pPr>
      <w:rPr>
        <w:sz w:val="24"/>
      </w:rPr>
    </w:lvl>
  </w:abstractNum>
  <w:abstractNum w:abstractNumId="4">
    <w:lvl w:ilvl="0">
      <w:start w:val="1"/>
      <w:numFmt w:val="decimal"/>
      <w:lvlText w:val="%1."/>
      <w:lvlJc w:val="start"/>
      <w:pPr>
        <w:tabs>
          <w:tab w:val="num" w:pos="0"/>
        </w:tabs>
        <w:ind w:start="360" w:hanging="360"/>
      </w:pPr>
      <w:rPr/>
    </w:lvl>
    <w:lvl w:ilvl="1">
      <w:start w:val="2"/>
      <w:numFmt w:val="decimal"/>
      <w:lvlText w:val="%1.%2."/>
      <w:lvlJc w:val="start"/>
      <w:pPr>
        <w:tabs>
          <w:tab w:val="num" w:pos="0"/>
        </w:tabs>
        <w:ind w:start="1080" w:hanging="360"/>
      </w:pPr>
      <w:rPr>
        <w:b/>
        <w:bCs/>
        <w:sz w:val="24"/>
        <w:szCs w:val="24"/>
      </w:rPr>
    </w:lvl>
    <w:lvl w:ilvl="2">
      <w:start w:val="1"/>
      <w:numFmt w:val="decimal"/>
      <w:lvlText w:val="%1.%2.%3."/>
      <w:lvlJc w:val="start"/>
      <w:pPr>
        <w:tabs>
          <w:tab w:val="num" w:pos="0"/>
        </w:tabs>
        <w:ind w:start="2160" w:hanging="720"/>
      </w:pPr>
      <w:rPr>
        <w:b w:val="false"/>
        <w:bCs w:val="false"/>
        <w:i w:val="false"/>
        <w:iCs w:val="false"/>
        <w:color w:val="auto"/>
        <w:sz w:val="24"/>
        <w:szCs w:val="24"/>
      </w:rPr>
    </w:lvl>
    <w:lvl w:ilvl="3">
      <w:start w:val="1"/>
      <w:numFmt w:val="decimal"/>
      <w:lvlText w:val="%1.%2.%3.%4."/>
      <w:lvlJc w:val="start"/>
      <w:pPr>
        <w:tabs>
          <w:tab w:val="num" w:pos="0"/>
        </w:tabs>
        <w:ind w:start="2880" w:hanging="720"/>
      </w:pPr>
      <w:rPr>
        <w:b w:val="false"/>
        <w:bCs w:val="false"/>
        <w:sz w:val="24"/>
        <w:szCs w:val="24"/>
      </w:rPr>
    </w:lvl>
    <w:lvl w:ilvl="4">
      <w:start w:val="1"/>
      <w:numFmt w:val="decimal"/>
      <w:lvlText w:val="%1.%2.%3.%4.%5."/>
      <w:lvlJc w:val="start"/>
      <w:pPr>
        <w:tabs>
          <w:tab w:val="num" w:pos="0"/>
        </w:tabs>
        <w:ind w:start="3960" w:hanging="1080"/>
      </w:pPr>
      <w:rPr/>
    </w:lvl>
    <w:lvl w:ilvl="5">
      <w:start w:val="1"/>
      <w:numFmt w:val="decimal"/>
      <w:lvlText w:val="%1.%2.%3.%4.%5.%6."/>
      <w:lvlJc w:val="start"/>
      <w:pPr>
        <w:tabs>
          <w:tab w:val="num" w:pos="0"/>
        </w:tabs>
        <w:ind w:start="4680" w:hanging="1080"/>
      </w:pPr>
      <w:rPr/>
    </w:lvl>
    <w:lvl w:ilvl="6">
      <w:start w:val="1"/>
      <w:numFmt w:val="decimal"/>
      <w:lvlText w:val="%1.%2.%3.%4.%5.%6.%7."/>
      <w:lvlJc w:val="start"/>
      <w:pPr>
        <w:tabs>
          <w:tab w:val="num" w:pos="0"/>
        </w:tabs>
        <w:ind w:start="5760" w:hanging="1440"/>
      </w:pPr>
      <w:rPr/>
    </w:lvl>
    <w:lvl w:ilvl="7">
      <w:start w:val="1"/>
      <w:numFmt w:val="decimal"/>
      <w:lvlText w:val="%1.%2.%3.%4.%5.%6.%7.%8."/>
      <w:lvlJc w:val="start"/>
      <w:pPr>
        <w:tabs>
          <w:tab w:val="num" w:pos="0"/>
        </w:tabs>
        <w:ind w:start="6480" w:hanging="1440"/>
      </w:pPr>
      <w:rPr/>
    </w:lvl>
    <w:lvl w:ilvl="8">
      <w:start w:val="1"/>
      <w:numFmt w:val="decimal"/>
      <w:lvlText w:val="%1.%2.%3.%4.%5.%6.%7.%8.%9."/>
      <w:lvlJc w:val="start"/>
      <w:pPr>
        <w:tabs>
          <w:tab w:val="num" w:pos="0"/>
        </w:tabs>
        <w:ind w:start="7560" w:hanging="1800"/>
      </w:pPr>
      <w:rPr/>
    </w:lvl>
  </w:abstractNum>
  <w:abstractNum w:abstractNumId="5">
    <w:lvl w:ilvl="0">
      <w:start w:val="2"/>
      <w:numFmt w:val="decimal"/>
      <w:lvlText w:val="%1."/>
      <w:lvlJc w:val="start"/>
      <w:pPr>
        <w:tabs>
          <w:tab w:val="num" w:pos="0"/>
        </w:tabs>
        <w:ind w:start="540" w:hanging="540"/>
      </w:pPr>
      <w:rPr/>
    </w:lvl>
    <w:lvl w:ilvl="1">
      <w:start w:val="1"/>
      <w:numFmt w:val="decimal"/>
      <w:lvlText w:val="%1.%2."/>
      <w:lvlJc w:val="start"/>
      <w:pPr>
        <w:tabs>
          <w:tab w:val="num" w:pos="0"/>
        </w:tabs>
        <w:ind w:start="730" w:hanging="540"/>
      </w:pPr>
      <w:rPr/>
    </w:lvl>
    <w:lvl w:ilvl="2">
      <w:start w:val="1"/>
      <w:numFmt w:val="decimal"/>
      <w:lvlText w:val="%1.%2.%3."/>
      <w:lvlJc w:val="start"/>
      <w:pPr>
        <w:tabs>
          <w:tab w:val="num" w:pos="0"/>
        </w:tabs>
        <w:ind w:start="1100" w:hanging="720"/>
      </w:pPr>
      <w:rPr>
        <w:b w:val="false"/>
        <w:bCs w:val="false"/>
      </w:rPr>
    </w:lvl>
    <w:lvl w:ilvl="3">
      <w:start w:val="1"/>
      <w:numFmt w:val="decimal"/>
      <w:lvlText w:val="%1.%2.%3.%4."/>
      <w:lvlJc w:val="start"/>
      <w:pPr>
        <w:tabs>
          <w:tab w:val="num" w:pos="0"/>
        </w:tabs>
        <w:ind w:start="1290" w:hanging="720"/>
      </w:pPr>
      <w:rPr>
        <w:b w:val="false"/>
        <w:bCs w:val="false"/>
      </w:rPr>
    </w:lvl>
    <w:lvl w:ilvl="4">
      <w:start w:val="1"/>
      <w:numFmt w:val="decimal"/>
      <w:lvlText w:val="%1.%2.%3.%4.%5."/>
      <w:lvlJc w:val="start"/>
      <w:pPr>
        <w:tabs>
          <w:tab w:val="num" w:pos="0"/>
        </w:tabs>
        <w:ind w:start="1840" w:hanging="1080"/>
      </w:pPr>
      <w:rPr/>
    </w:lvl>
    <w:lvl w:ilvl="5">
      <w:start w:val="1"/>
      <w:numFmt w:val="decimal"/>
      <w:lvlText w:val="%1.%2.%3.%4.%5.%6."/>
      <w:lvlJc w:val="start"/>
      <w:pPr>
        <w:tabs>
          <w:tab w:val="num" w:pos="0"/>
        </w:tabs>
        <w:ind w:start="2030" w:hanging="1080"/>
      </w:pPr>
      <w:rPr/>
    </w:lvl>
    <w:lvl w:ilvl="6">
      <w:start w:val="1"/>
      <w:numFmt w:val="decimal"/>
      <w:lvlText w:val="%1.%2.%3.%4.%5.%6.%7."/>
      <w:lvlJc w:val="start"/>
      <w:pPr>
        <w:tabs>
          <w:tab w:val="num" w:pos="0"/>
        </w:tabs>
        <w:ind w:start="2580" w:hanging="1440"/>
      </w:pPr>
      <w:rPr/>
    </w:lvl>
    <w:lvl w:ilvl="7">
      <w:start w:val="1"/>
      <w:numFmt w:val="decimal"/>
      <w:lvlText w:val="%1.%2.%3.%4.%5.%6.%7.%8."/>
      <w:lvlJc w:val="start"/>
      <w:pPr>
        <w:tabs>
          <w:tab w:val="num" w:pos="0"/>
        </w:tabs>
        <w:ind w:start="2770" w:hanging="1440"/>
      </w:pPr>
      <w:rPr/>
    </w:lvl>
    <w:lvl w:ilvl="8">
      <w:start w:val="1"/>
      <w:numFmt w:val="decimal"/>
      <w:lvlText w:val="%1.%2.%3.%4.%5.%6.%7.%8.%9."/>
      <w:lvlJc w:val="start"/>
      <w:pPr>
        <w:tabs>
          <w:tab w:val="num" w:pos="0"/>
        </w:tabs>
        <w:ind w:start="3320" w:hanging="1800"/>
      </w:pPr>
      <w:rPr/>
    </w:lvl>
  </w:abstractNum>
  <w:abstractNum w:abstractNumId="6">
    <w:lvl w:ilvl="0">
      <w:start w:val="1"/>
      <w:numFmt w:val="decimal"/>
      <w:lvlText w:val="%1."/>
      <w:lvlJc w:val="start"/>
      <w:pPr>
        <w:tabs>
          <w:tab w:val="num" w:pos="0"/>
        </w:tabs>
        <w:ind w:start="720" w:hanging="360"/>
      </w:pPr>
      <w:rPr>
        <w:b/>
      </w:rPr>
    </w:lvl>
    <w:lvl w:ilvl="1">
      <w:start w:val="1"/>
      <w:numFmt w:val="decimal"/>
      <w:lvlText w:val="%1.%2."/>
      <w:lvlJc w:val="start"/>
      <w:pPr>
        <w:tabs>
          <w:tab w:val="num" w:pos="0"/>
        </w:tabs>
        <w:ind w:start="3763" w:hanging="360"/>
      </w:pPr>
      <w:rPr>
        <w:rFonts w:ascii="Times New Roman" w:hAnsi="Times New Roman"/>
        <w:b w:val="false"/>
        <w:bCs w:val="false"/>
        <w:i w:val="false"/>
        <w:iCs w:val="false"/>
        <w:caps w:val="false"/>
        <w:smallCaps w:val="false"/>
        <w:strike w:val="false"/>
        <w:dstrike w:val="false"/>
        <w:outline w:val="false"/>
        <w:shadow w:val="false"/>
        <w:emboss w:val="false"/>
        <w:imprint w:val="false"/>
        <w:vanish w:val="false"/>
        <w:spacing w:val="0"/>
        <w:kern w:val="0"/>
        <w:position w:val="0"/>
        <w:sz w:val="24"/>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cntxtAlts/>
        </w14:cntxtAlts>
      </w:rPr>
    </w:lvl>
    <w:lvl w:ilvl="2">
      <w:start w:val="1"/>
      <w:numFmt w:val="decimal"/>
      <w:lvlText w:val="%1.%2.%3."/>
      <w:lvlJc w:val="start"/>
      <w:pPr>
        <w:tabs>
          <w:tab w:val="num" w:pos="0"/>
        </w:tabs>
        <w:ind w:start="1288" w:hanging="720"/>
      </w:pPr>
      <w:rPr>
        <w:b w:val="false"/>
        <w:sz w:val="24"/>
        <w:szCs w:val="24"/>
      </w:rPr>
    </w:lvl>
    <w:lvl w:ilvl="3">
      <w:start w:val="1"/>
      <w:numFmt w:val="lowerLetter"/>
      <w:lvlText w:val="%4)"/>
      <w:lvlJc w:val="start"/>
      <w:pPr>
        <w:tabs>
          <w:tab w:val="num" w:pos="0"/>
        </w:tabs>
        <w:ind w:start="926" w:hanging="360"/>
      </w:pPr>
      <w:rPr/>
    </w:lvl>
    <w:lvl w:ilvl="4">
      <w:start w:val="1"/>
      <w:numFmt w:val="decimal"/>
      <w:lvlText w:val="%1.%2.%3.%4.%5."/>
      <w:lvlJc w:val="start"/>
      <w:pPr>
        <w:tabs>
          <w:tab w:val="num" w:pos="0"/>
        </w:tabs>
        <w:ind w:start="1440" w:hanging="1080"/>
      </w:pPr>
      <w:rPr>
        <w:b/>
      </w:rPr>
    </w:lvl>
    <w:lvl w:ilvl="5">
      <w:start w:val="1"/>
      <w:numFmt w:val="decimal"/>
      <w:lvlText w:val="%1.%2.%3.%4.%5.%6."/>
      <w:lvlJc w:val="start"/>
      <w:pPr>
        <w:tabs>
          <w:tab w:val="num" w:pos="0"/>
        </w:tabs>
        <w:ind w:start="1440" w:hanging="1080"/>
      </w:pPr>
      <w:rPr>
        <w:b/>
      </w:rPr>
    </w:lvl>
    <w:lvl w:ilvl="6">
      <w:start w:val="1"/>
      <w:numFmt w:val="decimal"/>
      <w:lvlText w:val="%1.%2.%3.%4.%5.%6.%7."/>
      <w:lvlJc w:val="start"/>
      <w:pPr>
        <w:tabs>
          <w:tab w:val="num" w:pos="0"/>
        </w:tabs>
        <w:ind w:start="1800" w:hanging="1440"/>
      </w:pPr>
      <w:rPr>
        <w:b/>
      </w:rPr>
    </w:lvl>
    <w:lvl w:ilvl="7">
      <w:start w:val="1"/>
      <w:numFmt w:val="decimal"/>
      <w:lvlText w:val="%1.%2.%3.%4.%5.%6.%7.%8."/>
      <w:lvlJc w:val="start"/>
      <w:pPr>
        <w:tabs>
          <w:tab w:val="num" w:pos="0"/>
        </w:tabs>
        <w:ind w:start="1800" w:hanging="1440"/>
      </w:pPr>
      <w:rPr>
        <w:b/>
      </w:rPr>
    </w:lvl>
    <w:lvl w:ilvl="8">
      <w:start w:val="1"/>
      <w:numFmt w:val="decimal"/>
      <w:lvlText w:val="%1.%2.%3.%4.%5.%6.%7.%8.%9."/>
      <w:lvlJc w:val="start"/>
      <w:pPr>
        <w:tabs>
          <w:tab w:val="num" w:pos="0"/>
        </w:tabs>
        <w:ind w:start="2160" w:hanging="1800"/>
      </w:pPr>
      <w:rPr>
        <w:b/>
      </w:rPr>
    </w:lvl>
  </w:abstractNum>
  <w:abstractNum w:abstractNumId="7">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80"/>
  <w:defaultTabStop w:val="720"/>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v-LV"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v-LV"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qFormat="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2fb8"/>
    <w:pPr>
      <w:widowControl w:val="false"/>
      <w:suppressAutoHyphens w:val="true"/>
      <w:bidi w:val="0"/>
      <w:spacing w:lineRule="auto" w:line="276" w:before="0" w:after="200"/>
      <w:jc w:val="start"/>
    </w:pPr>
    <w:rPr>
      <w:rFonts w:ascii="Calibri" w:hAnsi="Calibri" w:eastAsia="Calibri" w:cs="Times New Roman"/>
      <w:color w:val="auto"/>
      <w:kern w:val="0"/>
      <w:sz w:val="22"/>
      <w:szCs w:val="22"/>
      <w:lang w:val="en-US" w:eastAsia="en-US" w:bidi="ar-SA"/>
      <w14:ligatures w14:val="none"/>
    </w:rPr>
  </w:style>
  <w:style w:type="paragraph" w:styleId="Heading1">
    <w:name w:val="heading 1"/>
    <w:basedOn w:val="Normal"/>
    <w:next w:val="Normal"/>
    <w:link w:val="Heading1Char"/>
    <w:qFormat/>
    <w:rsid w:val="009a2fb8"/>
    <w:pPr>
      <w:keepNext w:val="true"/>
      <w:widowControl/>
      <w:spacing w:lineRule="auto" w:line="240" w:before="0" w:after="0"/>
      <w:jc w:val="center"/>
      <w:outlineLvl w:val="0"/>
    </w:pPr>
    <w:rPr>
      <w:rFonts w:ascii="Times New Roman" w:hAnsi="Times New Roman" w:eastAsia="Times New Roman"/>
      <w:b/>
      <w:sz w:val="28"/>
      <w:szCs w:val="20"/>
      <w:lang w:val="x-none"/>
    </w:rPr>
  </w:style>
  <w:style w:type="paragraph" w:styleId="Heading2">
    <w:name w:val="heading 2"/>
    <w:basedOn w:val="Normal"/>
    <w:next w:val="Normal"/>
    <w:link w:val="Heading2Char"/>
    <w:uiPriority w:val="9"/>
    <w:semiHidden/>
    <w:unhideWhenUsed/>
    <w:qFormat/>
    <w:rsid w:val="009a2fb8"/>
    <w:pPr>
      <w:keepNext w:val="true"/>
      <w:widowControl/>
      <w:spacing w:lineRule="auto" w:line="240" w:before="240" w:after="60"/>
      <w:ind w:firstLine="720"/>
      <w:jc w:val="both"/>
      <w:outlineLvl w:val="1"/>
    </w:pPr>
    <w:rPr>
      <w:rFonts w:ascii="Cambria" w:hAnsi="Cambria" w:eastAsia="Times New Roman"/>
      <w:b/>
      <w:bCs/>
      <w:i/>
      <w:iCs/>
      <w:sz w:val="28"/>
      <w:szCs w:val="28"/>
      <w:lang w:val="x-none"/>
    </w:rPr>
  </w:style>
  <w:style w:type="paragraph" w:styleId="Heading3">
    <w:name w:val="heading 3"/>
    <w:basedOn w:val="Normal"/>
    <w:next w:val="Normal"/>
    <w:link w:val="Heading3Char"/>
    <w:uiPriority w:val="9"/>
    <w:semiHidden/>
    <w:unhideWhenUsed/>
    <w:qFormat/>
    <w:rsid w:val="009a2fb8"/>
    <w:pPr>
      <w:keepNext w:val="true"/>
      <w:widowControl/>
      <w:spacing w:lineRule="auto" w:line="240" w:before="240" w:after="60"/>
      <w:ind w:firstLine="720"/>
      <w:jc w:val="both"/>
      <w:outlineLvl w:val="2"/>
    </w:pPr>
    <w:rPr>
      <w:rFonts w:ascii="Cambria" w:hAnsi="Cambria" w:eastAsia="Times New Roman"/>
      <w:b/>
      <w:bCs/>
      <w:sz w:val="26"/>
      <w:szCs w:val="26"/>
      <w:lang w:val="x-none"/>
    </w:rPr>
  </w:style>
  <w:style w:type="paragraph" w:styleId="Heading4">
    <w:name w:val="heading 4"/>
    <w:basedOn w:val="Normal"/>
    <w:next w:val="Normal"/>
    <w:link w:val="Heading4Char"/>
    <w:uiPriority w:val="9"/>
    <w:semiHidden/>
    <w:unhideWhenUsed/>
    <w:qFormat/>
    <w:rsid w:val="009a2fb8"/>
    <w:pPr>
      <w:keepNext w:val="true"/>
      <w:widowControl/>
      <w:spacing w:lineRule="auto" w:line="240" w:before="240" w:after="60"/>
      <w:ind w:firstLine="720"/>
      <w:jc w:val="both"/>
      <w:outlineLvl w:val="3"/>
    </w:pPr>
    <w:rPr>
      <w:rFonts w:eastAsia="Times New Roman"/>
      <w:b/>
      <w:bCs/>
      <w:sz w:val="28"/>
      <w:szCs w:val="28"/>
      <w:lang w:val="x-none"/>
    </w:rPr>
  </w:style>
  <w:style w:type="paragraph" w:styleId="Heading5">
    <w:name w:val="heading 5"/>
    <w:basedOn w:val="Normal"/>
    <w:next w:val="Normal"/>
    <w:uiPriority w:val="9"/>
    <w:unhideWhenUsed/>
    <w:qFormat/>
    <w:rsid w:val="3f8ddfc2"/>
    <w:pPr>
      <w:keepNext w:val="true"/>
      <w:keepLines/>
      <w:spacing w:before="80" w:after="40"/>
      <w:outlineLvl w:val="4"/>
    </w:pPr>
    <w:rPr>
      <w:rFonts w:eastAsia="" w:cs="" w:cstheme="majorEastAsia" w:eastAsiaTheme="minorEastAsia"/>
      <w:color w:themeColor="accent1" w:themeShade="bf" w:val="2F5496"/>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9a2fb8"/>
    <w:rPr>
      <w:rFonts w:ascii="Times New Roman" w:hAnsi="Times New Roman" w:eastAsia="Times New Roman" w:cs="Times New Roman"/>
      <w:b/>
      <w:kern w:val="0"/>
      <w:sz w:val="28"/>
      <w:szCs w:val="20"/>
      <w:lang w:val="x-none"/>
      <w14:ligatures w14:val="none"/>
    </w:rPr>
  </w:style>
  <w:style w:type="character" w:styleId="Heading2Char" w:customStyle="1">
    <w:name w:val="Heading 2 Char"/>
    <w:basedOn w:val="DefaultParagraphFont"/>
    <w:link w:val="Heading2"/>
    <w:uiPriority w:val="9"/>
    <w:semiHidden/>
    <w:qFormat/>
    <w:rsid w:val="009a2fb8"/>
    <w:rPr>
      <w:rFonts w:ascii="Cambria" w:hAnsi="Cambria" w:eastAsia="Times New Roman" w:cs="Times New Roman"/>
      <w:b/>
      <w:bCs/>
      <w:i/>
      <w:iCs/>
      <w:kern w:val="0"/>
      <w:sz w:val="28"/>
      <w:szCs w:val="28"/>
      <w:lang w:val="x-none"/>
      <w14:ligatures w14:val="none"/>
    </w:rPr>
  </w:style>
  <w:style w:type="character" w:styleId="Heading3Char" w:customStyle="1">
    <w:name w:val="Heading 3 Char"/>
    <w:basedOn w:val="DefaultParagraphFont"/>
    <w:link w:val="Heading3"/>
    <w:uiPriority w:val="9"/>
    <w:semiHidden/>
    <w:qFormat/>
    <w:rsid w:val="009a2fb8"/>
    <w:rPr>
      <w:rFonts w:ascii="Cambria" w:hAnsi="Cambria" w:eastAsia="Times New Roman" w:cs="Times New Roman"/>
      <w:b/>
      <w:bCs/>
      <w:kern w:val="0"/>
      <w:sz w:val="26"/>
      <w:szCs w:val="26"/>
      <w:lang w:val="x-none"/>
      <w14:ligatures w14:val="none"/>
    </w:rPr>
  </w:style>
  <w:style w:type="character" w:styleId="Heading4Char" w:customStyle="1">
    <w:name w:val="Heading 4 Char"/>
    <w:basedOn w:val="DefaultParagraphFont"/>
    <w:link w:val="Heading4"/>
    <w:uiPriority w:val="9"/>
    <w:semiHidden/>
    <w:qFormat/>
    <w:rsid w:val="009a2fb8"/>
    <w:rPr>
      <w:rFonts w:ascii="Calibri" w:hAnsi="Calibri" w:eastAsia="Times New Roman" w:cs="Times New Roman"/>
      <w:b/>
      <w:bCs/>
      <w:kern w:val="0"/>
      <w:sz w:val="28"/>
      <w:szCs w:val="28"/>
      <w:lang w:val="x-none"/>
      <w14:ligatures w14:val="none"/>
    </w:rPr>
  </w:style>
  <w:style w:type="character" w:styleId="HeaderChar" w:customStyle="1">
    <w:name w:val="Header Char"/>
    <w:basedOn w:val="DefaultParagraphFont"/>
    <w:link w:val="Header"/>
    <w:qFormat/>
    <w:rsid w:val="009a2fb8"/>
    <w:rPr>
      <w:rFonts w:ascii="Calibri" w:hAnsi="Calibri" w:eastAsia="Calibri" w:cs="Times New Roman"/>
      <w:kern w:val="0"/>
      <w:lang w:val="en-US"/>
      <w14:ligatures w14:val="none"/>
    </w:rPr>
  </w:style>
  <w:style w:type="character" w:styleId="BalloonTextChar" w:customStyle="1">
    <w:name w:val="Balloon Text Char"/>
    <w:basedOn w:val="DefaultParagraphFont"/>
    <w:link w:val="BalloonText"/>
    <w:semiHidden/>
    <w:qFormat/>
    <w:rsid w:val="009a2fb8"/>
    <w:rPr>
      <w:rFonts w:ascii="Segoe UI" w:hAnsi="Segoe UI" w:eastAsia="Calibri" w:cs="Segoe UI"/>
      <w:kern w:val="0"/>
      <w:sz w:val="18"/>
      <w:szCs w:val="18"/>
      <w:lang w:val="en-US"/>
      <w14:ligatures w14:val="none"/>
    </w:rPr>
  </w:style>
  <w:style w:type="character" w:styleId="BodyTextIndentChar" w:customStyle="1">
    <w:name w:val="Body Text Indent Char"/>
    <w:basedOn w:val="DefaultParagraphFont"/>
    <w:qFormat/>
    <w:rsid w:val="009a2fb8"/>
    <w:rPr>
      <w:rFonts w:ascii="RimTimes" w:hAnsi="RimTimes" w:eastAsia="Times New Roman" w:cs="Times New Roman"/>
      <w:kern w:val="0"/>
      <w:sz w:val="28"/>
      <w:szCs w:val="20"/>
      <w14:ligatures w14:val="none"/>
    </w:rPr>
  </w:style>
  <w:style w:type="character" w:styleId="FooterChar" w:customStyle="1">
    <w:name w:val="Footer Char"/>
    <w:basedOn w:val="DefaultParagraphFont"/>
    <w:link w:val="Footer"/>
    <w:uiPriority w:val="99"/>
    <w:qFormat/>
    <w:rsid w:val="009a2fb8"/>
    <w:rPr>
      <w:rFonts w:ascii="Calibri" w:hAnsi="Calibri" w:eastAsia="Calibri" w:cs="Times New Roman"/>
      <w:kern w:val="0"/>
      <w:lang w:val="en-US"/>
      <w14:ligatures w14:val="none"/>
    </w:rPr>
  </w:style>
  <w:style w:type="character" w:styleId="Hyperlink">
    <w:name w:val="Hyperlink"/>
    <w:uiPriority w:val="99"/>
    <w:unhideWhenUsed/>
    <w:rsid w:val="009a2fb8"/>
    <w:rPr>
      <w:color w:val="0000FF"/>
      <w:u w:val="single"/>
    </w:rPr>
  </w:style>
  <w:style w:type="character" w:styleId="BodyTextChar" w:customStyle="1">
    <w:name w:val="Body Text Char"/>
    <w:basedOn w:val="DefaultParagraphFont"/>
    <w:link w:val="Textbody"/>
    <w:qFormat/>
    <w:rsid w:val="009a2fb8"/>
    <w:rPr>
      <w:rFonts w:ascii="Calibri" w:hAnsi="Calibri" w:eastAsia="Calibri" w:cs="Times New Roman"/>
      <w:kern w:val="0"/>
      <w:lang w:val="en-US"/>
      <w14:ligatures w14:val="none"/>
    </w:rPr>
  </w:style>
  <w:style w:type="character" w:styleId="FollowedHyperlink">
    <w:name w:val="FollowedHyperlink"/>
    <w:uiPriority w:val="99"/>
    <w:semiHidden/>
    <w:unhideWhenUsed/>
    <w:rsid w:val="009a2fb8"/>
    <w:rPr>
      <w:color w:val="800080"/>
      <w:u w:val="single"/>
    </w:rPr>
  </w:style>
  <w:style w:type="character" w:styleId="FootnoteTextChar" w:customStyle="1">
    <w:name w:val="Footnote Text Char"/>
    <w:basedOn w:val="DefaultParagraphFont"/>
    <w:link w:val="FootnoteText"/>
    <w:uiPriority w:val="99"/>
    <w:qFormat/>
    <w:rsid w:val="009a2fb8"/>
    <w:rPr>
      <w:rFonts w:ascii="Times New Roman" w:hAnsi="Times New Roman" w:eastAsia="Times New Roman" w:cs="Times New Roman"/>
      <w:kern w:val="0"/>
      <w:sz w:val="20"/>
      <w:szCs w:val="20"/>
      <w:lang w:val="x-none"/>
      <w14:ligatures w14:val="none"/>
    </w:rPr>
  </w:style>
  <w:style w:type="character" w:styleId="CommentTextChar" w:customStyle="1">
    <w:name w:val="Comment Text Char"/>
    <w:basedOn w:val="DefaultParagraphFont"/>
    <w:link w:val="CommentText"/>
    <w:uiPriority w:val="99"/>
    <w:qFormat/>
    <w:rsid w:val="009a2fb8"/>
    <w:rPr>
      <w:rFonts w:ascii="Times New Roman" w:hAnsi="Times New Roman" w:eastAsia="Times New Roman" w:cs="Times New Roman"/>
      <w:kern w:val="0"/>
      <w:sz w:val="20"/>
      <w:szCs w:val="20"/>
      <w:lang w:val="x-none"/>
      <w14:ligatures w14:val="none"/>
    </w:rPr>
  </w:style>
  <w:style w:type="character" w:styleId="FooterChar1" w:customStyle="1">
    <w:name w:val="Footer Char1"/>
    <w:basedOn w:val="DefaultParagraphFont"/>
    <w:semiHidden/>
    <w:qFormat/>
    <w:rsid w:val="009a2fb8"/>
    <w:rPr>
      <w:rFonts w:ascii="Times New Roman" w:hAnsi="Times New Roman" w:eastAsia="Times New Roman" w:cs="Times New Roman"/>
      <w:sz w:val="28"/>
      <w:szCs w:val="20"/>
    </w:rPr>
  </w:style>
  <w:style w:type="character" w:styleId="TitleChar" w:customStyle="1">
    <w:name w:val="Title Char"/>
    <w:basedOn w:val="DefaultParagraphFont"/>
    <w:link w:val="Title"/>
    <w:qFormat/>
    <w:rsid w:val="009a2fb8"/>
    <w:rPr>
      <w:rFonts w:ascii="Times New Roman" w:hAnsi="Times New Roman" w:eastAsia="Times New Roman" w:cs="Times New Roman"/>
      <w:b/>
      <w:kern w:val="0"/>
      <w:sz w:val="24"/>
      <w:szCs w:val="20"/>
      <w:lang w:val="x-none"/>
      <w14:ligatures w14:val="none"/>
    </w:rPr>
  </w:style>
  <w:style w:type="character" w:styleId="SubtitleChar" w:customStyle="1">
    <w:name w:val="Subtitle Char"/>
    <w:basedOn w:val="DefaultParagraphFont"/>
    <w:link w:val="Subtitle"/>
    <w:uiPriority w:val="11"/>
    <w:qFormat/>
    <w:rsid w:val="009a2fb8"/>
    <w:rPr>
      <w:rFonts w:ascii="Times New Roman" w:hAnsi="Times New Roman" w:eastAsia="Calibri" w:cs="Times New Roman"/>
      <w:b/>
      <w:kern w:val="0"/>
      <w:sz w:val="24"/>
      <w:szCs w:val="20"/>
      <w14:ligatures w14:val="none"/>
    </w:rPr>
  </w:style>
  <w:style w:type="character" w:styleId="DocumentMapChar" w:customStyle="1">
    <w:name w:val="Document Map Char"/>
    <w:basedOn w:val="DefaultParagraphFont"/>
    <w:link w:val="DocumentMap"/>
    <w:uiPriority w:val="99"/>
    <w:semiHidden/>
    <w:qFormat/>
    <w:rsid w:val="009a2fb8"/>
    <w:rPr>
      <w:rFonts w:ascii="Tahoma" w:hAnsi="Tahoma" w:eastAsia="Times New Roman" w:cs="Times New Roman"/>
      <w:kern w:val="0"/>
      <w:sz w:val="16"/>
      <w:szCs w:val="16"/>
      <w:lang w:val="x-none"/>
      <w14:ligatures w14:val="none"/>
    </w:rPr>
  </w:style>
  <w:style w:type="character" w:styleId="CommentSubjectChar" w:customStyle="1">
    <w:name w:val="Comment Subject Char"/>
    <w:basedOn w:val="CommentTextChar"/>
    <w:link w:val="annotationsubject"/>
    <w:uiPriority w:val="99"/>
    <w:semiHidden/>
    <w:qFormat/>
    <w:rsid w:val="009a2fb8"/>
    <w:rPr>
      <w:rFonts w:ascii="Times New Roman" w:hAnsi="Times New Roman" w:eastAsia="Times New Roman" w:cs="Times New Roman"/>
      <w:b/>
      <w:bCs/>
      <w:kern w:val="0"/>
      <w:sz w:val="20"/>
      <w:szCs w:val="20"/>
      <w:lang w:val="x-none"/>
      <w14:ligatures w14:val="none"/>
    </w:rPr>
  </w:style>
  <w:style w:type="character" w:styleId="ApakpunktsChar" w:customStyle="1">
    <w:name w:val="Apakšpunkts Char"/>
    <w:link w:val="Apakpunkts"/>
    <w:qFormat/>
    <w:locked/>
    <w:rsid w:val="009a2fb8"/>
    <w:rPr>
      <w:iCs/>
      <w:color w:val="000000"/>
      <w:sz w:val="24"/>
      <w:szCs w:val="28"/>
      <w:lang w:val="x-none"/>
    </w:rPr>
  </w:style>
  <w:style w:type="character" w:styleId="FootnoteCharactersuser">
    <w:name w:val="Footnote Characters (user)"/>
    <w:link w:val="CharCharCharChar"/>
    <w:uiPriority w:val="99"/>
    <w:unhideWhenUsed/>
    <w:qFormat/>
    <w:rsid w:val="009a2fb8"/>
    <w:rPr>
      <w:vertAlign w:val="superscript"/>
    </w:rPr>
  </w:style>
  <w:style w:type="character" w:styleId="FootnoteCharacters">
    <w:name w:val="Footnote Characters"/>
    <w:qFormat/>
    <w:rPr/>
  </w:style>
  <w:style w:type="character" w:styleId="FootnoteReference">
    <w:name w:val="footnote reference"/>
    <w:rPr>
      <w:vertAlign w:val="superscript"/>
    </w:rPr>
  </w:style>
  <w:style w:type="character" w:styleId="CommentReference">
    <w:name w:val="annotation reference"/>
    <w:uiPriority w:val="99"/>
    <w:semiHidden/>
    <w:unhideWhenUsed/>
    <w:qFormat/>
    <w:rsid w:val="009a2fb8"/>
    <w:rPr>
      <w:sz w:val="16"/>
      <w:szCs w:val="16"/>
    </w:rPr>
  </w:style>
  <w:style w:type="character" w:styleId="colora" w:customStyle="1">
    <w:name w:val="colora"/>
    <w:qFormat/>
    <w:rsid w:val="009a2fb8"/>
    <w:rPr/>
  </w:style>
  <w:style w:type="character" w:styleId="apple-converted-space" w:customStyle="1">
    <w:name w:val="apple-converted-space"/>
    <w:qFormat/>
    <w:rsid w:val="009a2fb8"/>
    <w:rPr/>
  </w:style>
  <w:style w:type="character" w:styleId="highlight" w:customStyle="1">
    <w:name w:val="highlight"/>
    <w:qFormat/>
    <w:rsid w:val="009a2fb8"/>
    <w:rPr/>
  </w:style>
  <w:style w:type="character" w:styleId="ListParagraphChar" w:customStyle="1">
    <w:name w:val="List Paragraph Char"/>
    <w:link w:val="ListParagraph"/>
    <w:uiPriority w:val="34"/>
    <w:qFormat/>
    <w:locked/>
    <w:rsid w:val="00b45e0b"/>
    <w:rPr>
      <w:rFonts w:ascii="Times New Roman" w:hAnsi="Times New Roman" w:eastAsia="Times New Roman" w:cs="Times New Roman"/>
      <w:sz w:val="24"/>
      <w:szCs w:val="24"/>
      <w:lang w:eastAsia="ar-SA"/>
      <w14:ligatures w14:val="none"/>
    </w:rPr>
  </w:style>
  <w:style w:type="character" w:styleId="UnresolvedMention">
    <w:name w:val="Unresolved Mention"/>
    <w:basedOn w:val="DefaultParagraphFont"/>
    <w:uiPriority w:val="99"/>
    <w:semiHidden/>
    <w:unhideWhenUsed/>
    <w:qFormat/>
    <w:rsid w:val="00d7721c"/>
    <w:rPr>
      <w:color w:val="605E5C"/>
      <w:shd w:fill="E1DFDD" w:val="clear"/>
    </w:rPr>
  </w:style>
  <w:style w:type="character" w:styleId="normaltextrun" w:customStyle="1">
    <w:name w:val="normaltextrun"/>
    <w:basedOn w:val="DefaultParagraphFont"/>
    <w:qFormat/>
    <w:rsid w:val="00e60a85"/>
    <w:rPr>
      <w:rFonts w:cs="Times New Roman"/>
    </w:rPr>
  </w:style>
  <w:style w:type="character" w:styleId="eop" w:customStyle="1">
    <w:name w:val="eop"/>
    <w:basedOn w:val="DefaultParagraphFont"/>
    <w:qFormat/>
    <w:rsid w:val="00e60a85"/>
    <w:rPr>
      <w:rFonts w:cs="Times New Roman"/>
    </w:rPr>
  </w:style>
  <w:style w:type="character" w:styleId="1111TabulaiiiiiChar" w:customStyle="1">
    <w:name w:val="1.1.1.1.Tabulaiiiii Char"/>
    <w:link w:val="1111Tabulaiiiii"/>
    <w:qFormat/>
    <w:rsid w:val="00c93564"/>
    <w:rPr>
      <w:rFonts w:ascii="Times New Roman" w:hAnsi="Times New Roman" w:eastAsia="Times New Roman" w:cs="Times New Roman"/>
      <w:color w:val="000000"/>
      <w:kern w:val="0"/>
      <w:sz w:val="24"/>
      <w:lang w:val="x-none" w:eastAsia="x-none"/>
      <w14:ligatures w14:val="none"/>
    </w:rPr>
  </w:style>
  <w:style w:type="character" w:styleId="ui-provider" w:customStyle="1">
    <w:name w:val="ui-provider"/>
    <w:basedOn w:val="DefaultParagraphFont"/>
    <w:qFormat/>
    <w:rsid w:val="00c93564"/>
    <w:rPr/>
  </w:style>
  <w:style w:type="character" w:styleId="NormalWebChar" w:customStyle="1">
    <w:name w:val="Normal (Web) Char"/>
    <w:link w:val="NormalWeb"/>
    <w:uiPriority w:val="99"/>
    <w:qFormat/>
    <w:rsid w:val="000a3a7a"/>
    <w:rPr>
      <w:rFonts w:ascii="Times New Roman" w:hAnsi="Times New Roman" w:eastAsia="Times New Roman" w:cs="Times New Roman"/>
      <w:kern w:val="0"/>
      <w:sz w:val="24"/>
      <w:szCs w:val="24"/>
      <w:lang w:val="en-GB"/>
      <w14:ligatures w14:val="none"/>
    </w:rPr>
  </w:style>
  <w:style w:type="character" w:styleId="111TabulaiiiiiiChar" w:customStyle="1">
    <w:name w:val="1.1.1. Tabulaiiiiii Char"/>
    <w:link w:val="111Tabulaiiiiii"/>
    <w:qFormat/>
    <w:rsid w:val="000a3a7a"/>
    <w:rPr>
      <w:rFonts w:ascii="Times New Roman" w:hAnsi="Times New Roman" w:eastAsia="Times New Roman" w:cs="Times New Roman"/>
      <w:color w:val="000000"/>
      <w:kern w:val="0"/>
      <w:lang w:val="x-none" w:eastAsia="x-none"/>
      <w14:ligatures w14:val="none"/>
    </w:rPr>
  </w:style>
  <w:style w:type="character" w:styleId="EYNormalChar" w:customStyle="1">
    <w:name w:val="EY Normal Char"/>
    <w:link w:val="EYNormal"/>
    <w:qFormat/>
    <w:locked/>
    <w:rsid w:val="00265a0e"/>
    <w:rPr>
      <w:rFonts w:ascii="EYInterstate Light" w:hAnsi="EYInterstate Light" w:eastAsia="Calibri"/>
      <w:kern w:val="2"/>
      <w:szCs w:val="24"/>
      <w:lang w:eastAsia="en-GB"/>
    </w:rPr>
  </w:style>
  <w:style w:type="character" w:styleId="BodyText2Char" w:customStyle="1">
    <w:name w:val="Body Text 2 Char"/>
    <w:basedOn w:val="DefaultParagraphFont"/>
    <w:link w:val="BodyText2"/>
    <w:uiPriority w:val="99"/>
    <w:semiHidden/>
    <w:qFormat/>
    <w:rsid w:val="00dc392a"/>
    <w:rPr>
      <w:rFonts w:ascii="Calibri" w:hAnsi="Calibri" w:eastAsia="Calibri" w:cs="Times New Roman"/>
      <w:kern w:val="0"/>
      <w:lang w:val="en-US"/>
      <w14:ligatures w14:val="none"/>
    </w:rPr>
  </w:style>
  <w:style w:type="character" w:styleId="FootnoteTextChar1" w:customStyle="1">
    <w:name w:val="Footnote Text Char1"/>
    <w:basedOn w:val="DefaultParagraphFont"/>
    <w:uiPriority w:val="99"/>
    <w:semiHidden/>
    <w:qFormat/>
    <w:rsid w:val="00565e35"/>
    <w:rPr>
      <w:rFonts w:ascii="Times New Roman" w:hAnsi="Times New Roman" w:eastAsia="Times New Roman"/>
      <w:lang w:eastAsia="en-US"/>
    </w:rPr>
  </w:style>
  <w:style w:type="character" w:styleId="StrongEmphasis">
    <w:name w:val="Strong Emphasis"/>
    <w:qFormat/>
    <w:rPr>
      <w:b/>
      <w:bCs/>
    </w:rPr>
  </w:style>
  <w:style w:type="character" w:styleId="Bulletsuser">
    <w:name w:val="Bullets (user)"/>
    <w:qFormat/>
    <w:rPr>
      <w:rFonts w:ascii="OpenSymbol" w:hAnsi="OpenSymbol" w:eastAsia="OpenSymbol" w:cs="OpenSymbol"/>
    </w:rPr>
  </w:style>
  <w:style w:type="character" w:styleId="NumberingSymbols">
    <w:name w:val="Numbering Symbols"/>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nhideWhenUsed/>
    <w:rsid w:val="009a2fb8"/>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HeaderandFooter">
    <w:name w:val="Header and Footer"/>
    <w:basedOn w:val="Normal"/>
    <w:qFormat/>
    <w:pPr/>
    <w:rPr/>
  </w:style>
  <w:style w:type="paragraph" w:styleId="Header">
    <w:name w:val="header"/>
    <w:basedOn w:val="Normal"/>
    <w:link w:val="HeaderChar"/>
    <w:unhideWhenUsed/>
    <w:rsid w:val="009a2fb8"/>
    <w:pPr>
      <w:tabs>
        <w:tab w:val="clear" w:pos="720"/>
        <w:tab w:val="center" w:pos="4320" w:leader="none"/>
        <w:tab w:val="right" w:pos="8640" w:leader="none"/>
      </w:tabs>
      <w:spacing w:lineRule="auto" w:line="240" w:before="0" w:after="0"/>
    </w:pPr>
    <w:rPr/>
  </w:style>
  <w:style w:type="paragraph" w:styleId="BalloonText">
    <w:name w:val="Balloon Text"/>
    <w:basedOn w:val="Normal"/>
    <w:link w:val="BalloonTextChar"/>
    <w:semiHidden/>
    <w:unhideWhenUsed/>
    <w:qFormat/>
    <w:rsid w:val="009a2fb8"/>
    <w:pPr>
      <w:spacing w:lineRule="auto" w:line="240" w:before="0" w:after="0"/>
    </w:pPr>
    <w:rPr>
      <w:rFonts w:ascii="Segoe UI" w:hAnsi="Segoe UI" w:cs="Segoe UI"/>
      <w:sz w:val="18"/>
      <w:szCs w:val="18"/>
    </w:rPr>
  </w:style>
  <w:style w:type="paragraph" w:styleId="BodyTextIndent">
    <w:name w:val="Body Text Indent"/>
    <w:basedOn w:val="Normal"/>
    <w:link w:val="BodyTextIndentChar"/>
    <w:rsid w:val="009a2fb8"/>
    <w:pPr>
      <w:widowControl/>
      <w:spacing w:lineRule="auto" w:line="240" w:before="0" w:after="0"/>
      <w:ind w:firstLine="709"/>
      <w:jc w:val="both"/>
    </w:pPr>
    <w:rPr>
      <w:rFonts w:ascii="RimTimes" w:hAnsi="RimTimes" w:eastAsia="Times New Roman"/>
      <w:sz w:val="28"/>
      <w:szCs w:val="20"/>
      <w:lang w:val="lv-LV"/>
    </w:rPr>
  </w:style>
  <w:style w:type="paragraph" w:styleId="Footer">
    <w:name w:val="footer"/>
    <w:basedOn w:val="Normal"/>
    <w:link w:val="FooterChar"/>
    <w:uiPriority w:val="99"/>
    <w:unhideWhenUsed/>
    <w:rsid w:val="009a2fb8"/>
    <w:pPr>
      <w:tabs>
        <w:tab w:val="clear" w:pos="720"/>
        <w:tab w:val="center" w:pos="4153" w:leader="none"/>
        <w:tab w:val="right" w:pos="8306" w:leader="none"/>
      </w:tabs>
      <w:spacing w:lineRule="auto" w:line="240" w:before="0" w:after="0"/>
    </w:pPr>
    <w:rPr/>
  </w:style>
  <w:style w:type="paragraph" w:styleId="ListParagraph">
    <w:name w:val="List Paragraph"/>
    <w:basedOn w:val="Normal"/>
    <w:link w:val="ListParagraphChar"/>
    <w:uiPriority w:val="34"/>
    <w:qFormat/>
    <w:rsid w:val="009a2fb8"/>
    <w:pPr>
      <w:widowControl/>
      <w:suppressAutoHyphens w:val="true"/>
      <w:spacing w:lineRule="auto" w:line="240" w:before="0" w:after="0"/>
    </w:pPr>
    <w:rPr>
      <w:rFonts w:ascii="Times New Roman" w:hAnsi="Times New Roman" w:eastAsia="Times New Roman"/>
      <w:kern w:val="2"/>
      <w:sz w:val="24"/>
      <w:szCs w:val="24"/>
      <w:lang w:val="lv-LV" w:eastAsia="ar-SA"/>
    </w:rPr>
  </w:style>
  <w:style w:type="paragraph" w:styleId="msonormal" w:customStyle="1">
    <w:name w:val="msonormal"/>
    <w:basedOn w:val="Normal"/>
    <w:qFormat/>
    <w:rsid w:val="009a2fb8"/>
    <w:pPr>
      <w:widowControl/>
      <w:spacing w:lineRule="auto" w:line="240" w:before="100" w:after="0"/>
    </w:pPr>
    <w:rPr>
      <w:rFonts w:ascii="Times New Roman" w:hAnsi="Times New Roman" w:eastAsia="Times New Roman"/>
      <w:sz w:val="24"/>
      <w:szCs w:val="24"/>
      <w:lang w:val="en-GB"/>
    </w:rPr>
  </w:style>
  <w:style w:type="paragraph" w:styleId="NormalWeb">
    <w:name w:val="Normal (Web)"/>
    <w:basedOn w:val="Normal"/>
    <w:link w:val="NormalWebChar"/>
    <w:uiPriority w:val="99"/>
    <w:unhideWhenUsed/>
    <w:qFormat/>
    <w:rsid w:val="009a2fb8"/>
    <w:pPr>
      <w:widowControl/>
      <w:spacing w:lineRule="auto" w:line="240" w:before="100" w:after="0"/>
    </w:pPr>
    <w:rPr>
      <w:rFonts w:ascii="Times New Roman" w:hAnsi="Times New Roman" w:eastAsia="Times New Roman"/>
      <w:sz w:val="24"/>
      <w:szCs w:val="24"/>
      <w:lang w:val="en-GB"/>
    </w:rPr>
  </w:style>
  <w:style w:type="paragraph" w:styleId="TOC1">
    <w:name w:val="toc 1"/>
    <w:basedOn w:val="Normal"/>
    <w:next w:val="Normal"/>
    <w:autoRedefine/>
    <w:semiHidden/>
    <w:unhideWhenUsed/>
    <w:rsid w:val="009a2fb8"/>
    <w:pPr>
      <w:spacing w:lineRule="auto" w:line="240" w:before="0" w:after="0"/>
    </w:pPr>
    <w:rPr>
      <w:rFonts w:ascii="Times New Roman" w:hAnsi="Times New Roman" w:eastAsia="Times New Roman"/>
      <w:bCs/>
      <w:lang w:val="lv-LV"/>
    </w:rPr>
  </w:style>
  <w:style w:type="paragraph" w:styleId="FootnoteText">
    <w:name w:val="footnote text"/>
    <w:basedOn w:val="Normal"/>
    <w:link w:val="FootnoteTextChar"/>
    <w:uiPriority w:val="99"/>
    <w:unhideWhenUsed/>
    <w:qFormat/>
    <w:rsid w:val="009a2fb8"/>
    <w:pPr>
      <w:widowControl/>
      <w:spacing w:lineRule="auto" w:line="240" w:before="0" w:after="0"/>
      <w:ind w:firstLine="720"/>
      <w:jc w:val="both"/>
    </w:pPr>
    <w:rPr>
      <w:rFonts w:ascii="Times New Roman" w:hAnsi="Times New Roman" w:eastAsia="Times New Roman"/>
      <w:sz w:val="20"/>
      <w:szCs w:val="20"/>
      <w:lang w:val="x-none"/>
    </w:rPr>
  </w:style>
  <w:style w:type="paragraph" w:styleId="CommentText">
    <w:name w:val="annotation text"/>
    <w:basedOn w:val="Normal"/>
    <w:link w:val="CommentTextChar"/>
    <w:uiPriority w:val="99"/>
    <w:unhideWhenUsed/>
    <w:qFormat/>
    <w:rsid w:val="009a2fb8"/>
    <w:pPr>
      <w:widowControl/>
      <w:spacing w:lineRule="auto" w:line="240" w:before="0" w:after="0"/>
      <w:ind w:firstLine="720"/>
      <w:jc w:val="both"/>
    </w:pPr>
    <w:rPr>
      <w:rFonts w:ascii="Times New Roman" w:hAnsi="Times New Roman" w:eastAsia="Times New Roman"/>
      <w:sz w:val="20"/>
      <w:szCs w:val="20"/>
      <w:lang w:val="x-none"/>
    </w:rPr>
  </w:style>
  <w:style w:type="paragraph" w:styleId="Title">
    <w:name w:val="Title"/>
    <w:basedOn w:val="Normal"/>
    <w:link w:val="TitleChar"/>
    <w:qFormat/>
    <w:rsid w:val="009a2fb8"/>
    <w:pPr>
      <w:widowControl/>
      <w:spacing w:lineRule="auto" w:line="240" w:before="0" w:after="0"/>
      <w:jc w:val="center"/>
    </w:pPr>
    <w:rPr>
      <w:rFonts w:ascii="Times New Roman" w:hAnsi="Times New Roman" w:eastAsia="Times New Roman"/>
      <w:b/>
      <w:sz w:val="24"/>
      <w:szCs w:val="20"/>
      <w:lang w:val="x-none"/>
    </w:rPr>
  </w:style>
  <w:style w:type="paragraph" w:styleId="Subtitle">
    <w:name w:val="Subtitle"/>
    <w:basedOn w:val="Normal"/>
    <w:link w:val="SubtitleChar"/>
    <w:uiPriority w:val="11"/>
    <w:qFormat/>
    <w:rsid w:val="009a2fb8"/>
    <w:pPr>
      <w:widowControl/>
      <w:spacing w:lineRule="auto" w:line="240" w:before="0" w:after="0"/>
      <w:jc w:val="both"/>
    </w:pPr>
    <w:rPr>
      <w:rFonts w:ascii="Times New Roman" w:hAnsi="Times New Roman"/>
      <w:b/>
      <w:sz w:val="24"/>
      <w:szCs w:val="20"/>
      <w:lang w:val="lv-LV"/>
    </w:rPr>
  </w:style>
  <w:style w:type="paragraph" w:styleId="BlockText">
    <w:name w:val="Block Text"/>
    <w:basedOn w:val="Normal"/>
    <w:uiPriority w:val="99"/>
    <w:semiHidden/>
    <w:unhideWhenUsed/>
    <w:qFormat/>
    <w:rsid w:val="009a2fb8"/>
    <w:pPr>
      <w:widowControl/>
      <w:spacing w:lineRule="auto" w:line="240" w:before="0" w:after="120"/>
      <w:ind w:hanging="0" w:start="1440" w:end="1440"/>
    </w:pPr>
    <w:rPr>
      <w:rFonts w:ascii="Times New Roman" w:hAnsi="Times New Roman" w:eastAsia="Times New Roman"/>
      <w:sz w:val="20"/>
      <w:szCs w:val="20"/>
      <w:lang w:val="lv-LV"/>
    </w:rPr>
  </w:style>
  <w:style w:type="paragraph" w:styleId="DocumentMap">
    <w:name w:val="Document Map"/>
    <w:basedOn w:val="Normal"/>
    <w:link w:val="DocumentMapChar"/>
    <w:uiPriority w:val="99"/>
    <w:semiHidden/>
    <w:unhideWhenUsed/>
    <w:qFormat/>
    <w:rsid w:val="009a2fb8"/>
    <w:pPr>
      <w:widowControl/>
      <w:spacing w:lineRule="auto" w:line="240" w:before="0" w:after="0"/>
      <w:ind w:firstLine="720"/>
      <w:jc w:val="both"/>
    </w:pPr>
    <w:rPr>
      <w:rFonts w:ascii="Tahoma" w:hAnsi="Tahoma" w:eastAsia="Times New Roman"/>
      <w:sz w:val="16"/>
      <w:szCs w:val="16"/>
      <w:lang w:val="x-none"/>
    </w:rPr>
  </w:style>
  <w:style w:type="paragraph" w:styleId="annotationsubject">
    <w:name w:val="annotation subject"/>
    <w:basedOn w:val="CommentText"/>
    <w:next w:val="CommentText"/>
    <w:link w:val="CommentSubjectChar"/>
    <w:uiPriority w:val="99"/>
    <w:semiHidden/>
    <w:unhideWhenUsed/>
    <w:qFormat/>
    <w:rsid w:val="009a2fb8"/>
    <w:pPr/>
    <w:rPr>
      <w:b/>
      <w:bCs/>
    </w:rPr>
  </w:style>
  <w:style w:type="paragraph" w:styleId="Revision">
    <w:name w:val="Revision"/>
    <w:uiPriority w:val="99"/>
    <w:semiHidden/>
    <w:qFormat/>
    <w:rsid w:val="009a2fb8"/>
    <w:pPr>
      <w:widowControl/>
      <w:suppressAutoHyphens w:val="true"/>
      <w:bidi w:val="0"/>
      <w:spacing w:lineRule="auto" w:line="240" w:before="0" w:after="0"/>
      <w:jc w:val="start"/>
    </w:pPr>
    <w:rPr>
      <w:rFonts w:ascii="Times New Roman" w:hAnsi="Times New Roman" w:eastAsia="Times New Roman" w:cs="Times New Roman"/>
      <w:color w:val="auto"/>
      <w:kern w:val="0"/>
      <w:sz w:val="28"/>
      <w:szCs w:val="20"/>
      <w:lang w:val="lv-LV" w:eastAsia="en-US" w:bidi="ar-SA"/>
      <w14:ligatures w14:val="none"/>
    </w:rPr>
  </w:style>
  <w:style w:type="paragraph" w:styleId="1" w:customStyle="1">
    <w:name w:val="1"/>
    <w:basedOn w:val="Normal"/>
    <w:qFormat/>
    <w:rsid w:val="009a2fb8"/>
    <w:pPr>
      <w:widowControl/>
      <w:spacing w:lineRule="exact" w:line="240" w:before="0" w:after="160"/>
    </w:pPr>
    <w:rPr>
      <w:rFonts w:ascii="Tahoma" w:hAnsi="Tahoma" w:eastAsia="Times New Roman"/>
      <w:sz w:val="20"/>
      <w:szCs w:val="20"/>
    </w:rPr>
  </w:style>
  <w:style w:type="paragraph" w:styleId="naisf" w:customStyle="1">
    <w:name w:val="naisf"/>
    <w:basedOn w:val="Normal"/>
    <w:qFormat/>
    <w:rsid w:val="009a2fb8"/>
    <w:pPr>
      <w:widowControl/>
      <w:spacing w:lineRule="auto" w:line="240" w:beforeAutospacing="1" w:afterAutospacing="1"/>
      <w:jc w:val="both"/>
    </w:pPr>
    <w:rPr>
      <w:rFonts w:ascii="Times New Roman" w:hAnsi="Times New Roman" w:eastAsia="Times New Roman"/>
      <w:sz w:val="24"/>
      <w:szCs w:val="24"/>
      <w:lang w:val="en-GB"/>
    </w:rPr>
  </w:style>
  <w:style w:type="paragraph" w:styleId="Apakpunkts" w:customStyle="1">
    <w:name w:val="Apakšpunkts"/>
    <w:basedOn w:val="Heading3"/>
    <w:next w:val="1"/>
    <w:link w:val="ApakpunktsChar"/>
    <w:qFormat/>
    <w:rsid w:val="009a2fb8"/>
    <w:pPr>
      <w:keepNext w:val="false"/>
      <w:widowControl w:val="false"/>
      <w:tabs>
        <w:tab w:val="clear" w:pos="720"/>
        <w:tab w:val="left" w:pos="2160" w:leader="none"/>
      </w:tabs>
      <w:spacing w:before="120" w:after="60"/>
      <w:ind w:hanging="720" w:start="2160"/>
    </w:pPr>
    <w:rPr>
      <w:rFonts w:ascii="Calibri" w:hAnsi="Calibri" w:eastAsia="Calibri" w:cs="" w:asciiTheme="minorHAnsi" w:cstheme="minorBidi" w:eastAsiaTheme="minorHAnsi" w:hAnsiTheme="minorHAnsi"/>
      <w:b w:val="false"/>
      <w:bCs w:val="false"/>
      <w:iCs/>
      <w:color w:val="000000"/>
      <w:kern w:val="2"/>
      <w:sz w:val="24"/>
      <w:szCs w:val="28"/>
      <w14:ligatures w14:val="standardContextual"/>
    </w:rPr>
  </w:style>
  <w:style w:type="paragraph" w:styleId="Default" w:customStyle="1">
    <w:name w:val="Default"/>
    <w:qFormat/>
    <w:rsid w:val="009a2fb8"/>
    <w:pPr>
      <w:widowControl/>
      <w:suppressAutoHyphens w:val="true"/>
      <w:bidi w:val="0"/>
      <w:spacing w:lineRule="auto" w:line="240" w:before="0" w:after="0"/>
      <w:jc w:val="start"/>
    </w:pPr>
    <w:rPr>
      <w:rFonts w:ascii="Lucida Sans Unicode" w:hAnsi="Lucida Sans Unicode" w:eastAsia="Times New Roman" w:cs="Lucida Sans Unicode"/>
      <w:color w:val="000000"/>
      <w:kern w:val="0"/>
      <w:sz w:val="24"/>
      <w:szCs w:val="24"/>
      <w:lang w:val="en-GB" w:eastAsia="en-GB" w:bidi="ar-SA"/>
      <w14:ligatures w14:val="none"/>
    </w:rPr>
  </w:style>
  <w:style w:type="paragraph" w:styleId="BodyTextcenter" w:customStyle="1">
    <w:name w:val="Body Text center"/>
    <w:basedOn w:val="BodyText"/>
    <w:autoRedefine/>
    <w:uiPriority w:val="99"/>
    <w:qFormat/>
    <w:rsid w:val="009a2fb8"/>
    <w:pPr>
      <w:widowControl/>
      <w:spacing w:lineRule="auto" w:line="240"/>
      <w:jc w:val="center"/>
    </w:pPr>
    <w:rPr>
      <w:rFonts w:ascii="Times New Roman" w:hAnsi="Times New Roman" w:eastAsia="Times New Roman"/>
      <w:sz w:val="28"/>
      <w:szCs w:val="24"/>
      <w:lang w:val="ru-RU" w:eastAsia="ru-RU"/>
    </w:rPr>
  </w:style>
  <w:style w:type="paragraph" w:styleId="BodyTextcenterbold" w:customStyle="1">
    <w:name w:val="Body Text center bold"/>
    <w:basedOn w:val="BodyTextcenter"/>
    <w:autoRedefine/>
    <w:uiPriority w:val="99"/>
    <w:qFormat/>
    <w:rsid w:val="009a2fb8"/>
    <w:pPr/>
    <w:rPr>
      <w:b/>
    </w:rPr>
  </w:style>
  <w:style w:type="paragraph" w:styleId="Textbody" w:customStyle="1">
    <w:name w:val="Text body"/>
    <w:basedOn w:val="Default"/>
    <w:uiPriority w:val="99"/>
    <w:qFormat/>
    <w:rsid w:val="009a2fb8"/>
    <w:pPr>
      <w:tabs>
        <w:tab w:val="clear" w:pos="720"/>
        <w:tab w:val="left" w:pos="709" w:leader="none"/>
      </w:tabs>
      <w:suppressAutoHyphens w:val="true"/>
      <w:spacing w:lineRule="atLeast" w:line="200" w:before="0" w:after="120"/>
    </w:pPr>
    <w:rPr>
      <w:rFonts w:ascii="Times New Roman" w:hAnsi="Times New Roman" w:cs="DejaVu Sans"/>
      <w:color w:val="00000A"/>
      <w:lang w:val="en-US" w:eastAsia="en-US"/>
    </w:rPr>
  </w:style>
  <w:style w:type="paragraph" w:styleId="naislab" w:customStyle="1">
    <w:name w:val="naislab"/>
    <w:basedOn w:val="Normal"/>
    <w:qFormat/>
    <w:rsid w:val="009a2fb8"/>
    <w:pPr>
      <w:widowControl/>
      <w:spacing w:lineRule="auto" w:line="240" w:beforeAutospacing="1" w:afterAutospacing="1"/>
    </w:pPr>
    <w:rPr>
      <w:rFonts w:ascii="Times New Roman" w:hAnsi="Times New Roman" w:eastAsia="Times New Roman"/>
      <w:sz w:val="24"/>
      <w:szCs w:val="24"/>
      <w:lang w:val="lv-LV" w:eastAsia="lv-LV"/>
    </w:rPr>
  </w:style>
  <w:style w:type="paragraph" w:styleId="tvhtml" w:customStyle="1">
    <w:name w:val="tv_html"/>
    <w:basedOn w:val="Normal"/>
    <w:qFormat/>
    <w:rsid w:val="009a2fb8"/>
    <w:pPr>
      <w:widowControl/>
      <w:spacing w:lineRule="auto" w:line="240" w:beforeAutospacing="1" w:afterAutospacing="1"/>
    </w:pPr>
    <w:rPr>
      <w:rFonts w:ascii="Times New Roman" w:hAnsi="Times New Roman" w:eastAsia="Times New Roman"/>
      <w:sz w:val="24"/>
      <w:szCs w:val="24"/>
      <w:lang w:val="lv-LV" w:eastAsia="lv-LV"/>
    </w:rPr>
  </w:style>
  <w:style w:type="paragraph" w:styleId="Pamatteksts1" w:customStyle="1">
    <w:name w:val="Pamatteksts1"/>
    <w:basedOn w:val="Normal"/>
    <w:qFormat/>
    <w:rsid w:val="009a2fb8"/>
    <w:pPr>
      <w:widowControl/>
      <w:spacing w:lineRule="auto" w:line="240" w:before="0" w:after="0"/>
      <w:ind w:hanging="357" w:start="714"/>
      <w:jc w:val="both"/>
    </w:pPr>
    <w:rPr>
      <w:rFonts w:ascii="Times New Roman" w:hAnsi="Times New Roman"/>
      <w:color w:val="000000"/>
      <w:lang w:val="lv-LV"/>
    </w:rPr>
  </w:style>
  <w:style w:type="paragraph" w:styleId="paragraph" w:customStyle="1">
    <w:name w:val="paragraph"/>
    <w:basedOn w:val="Normal"/>
    <w:qFormat/>
    <w:rsid w:val="00e60a85"/>
    <w:pPr>
      <w:widowControl/>
      <w:spacing w:lineRule="auto" w:line="240" w:beforeAutospacing="1" w:afterAutospacing="1"/>
    </w:pPr>
    <w:rPr>
      <w:rFonts w:ascii="Times New Roman" w:hAnsi="Times New Roman" w:eastAsia="Times New Roman"/>
      <w:sz w:val="24"/>
      <w:szCs w:val="24"/>
    </w:rPr>
  </w:style>
  <w:style w:type="paragraph" w:styleId="CharCharCharChar" w:customStyle="1">
    <w:name w:val="Char Char Char Char"/>
    <w:basedOn w:val="Normal"/>
    <w:next w:val="Normal"/>
    <w:link w:val="FootnoteCharacters"/>
    <w:uiPriority w:val="99"/>
    <w:qFormat/>
    <w:rsid w:val="008f2704"/>
    <w:pPr>
      <w:widowControl/>
      <w:spacing w:lineRule="exact" w:line="240" w:before="120" w:after="160"/>
      <w:jc w:val="both"/>
      <w:textAlignment w:val="baseline"/>
    </w:pPr>
    <w:rPr>
      <w:rFonts w:ascii="Calibri" w:hAnsi="Calibri" w:eastAsia="Calibri" w:cs="" w:asciiTheme="minorHAnsi" w:cstheme="minorBidi" w:eastAsiaTheme="minorHAnsi" w:hAnsiTheme="minorHAnsi"/>
      <w:kern w:val="2"/>
      <w:vertAlign w:val="superscript"/>
      <w:lang w:val="lv-LV"/>
      <w14:ligatures w14:val="standardContextual"/>
    </w:rPr>
  </w:style>
  <w:style w:type="paragraph" w:styleId="1111Tabulaiiiii" w:customStyle="1">
    <w:name w:val="1.1.1.1.Tabulaiiiii"/>
    <w:basedOn w:val="Normal"/>
    <w:link w:val="1111TabulaiiiiiChar"/>
    <w:qFormat/>
    <w:rsid w:val="00c93564"/>
    <w:pPr>
      <w:widowControl/>
      <w:spacing w:lineRule="auto" w:line="240" w:before="0" w:after="0"/>
      <w:jc w:val="both"/>
    </w:pPr>
    <w:rPr>
      <w:rFonts w:ascii="Times New Roman" w:hAnsi="Times New Roman" w:eastAsia="Times New Roman"/>
      <w:color w:val="000000"/>
      <w:sz w:val="24"/>
      <w:lang w:val="x-none" w:eastAsia="x-none"/>
    </w:rPr>
  </w:style>
  <w:style w:type="paragraph" w:styleId="111Tabulaiiiiii" w:customStyle="1">
    <w:name w:val="1.1.1. Tabulaiiiiii"/>
    <w:basedOn w:val="Normal"/>
    <w:link w:val="111TabulaiiiiiiChar"/>
    <w:qFormat/>
    <w:rsid w:val="000a3a7a"/>
    <w:pPr>
      <w:widowControl/>
      <w:numPr>
        <w:ilvl w:val="2"/>
        <w:numId w:val="6"/>
      </w:numPr>
      <w:spacing w:lineRule="auto" w:line="240" w:before="0" w:after="0"/>
      <w:ind w:hanging="0" w:start="626"/>
      <w:jc w:val="both"/>
    </w:pPr>
    <w:rPr>
      <w:rFonts w:ascii="Times New Roman" w:hAnsi="Times New Roman" w:eastAsia="Times New Roman"/>
      <w:color w:val="000000"/>
      <w:lang w:val="x-none" w:eastAsia="x-none"/>
    </w:rPr>
  </w:style>
  <w:style w:type="paragraph" w:styleId="Nodala1" w:customStyle="1">
    <w:name w:val="Nodala 1"/>
    <w:basedOn w:val="Normal"/>
    <w:qFormat/>
    <w:rsid w:val="000a3a7a"/>
    <w:pPr>
      <w:widowControl/>
      <w:numPr>
        <w:ilvl w:val="0"/>
        <w:numId w:val="6"/>
      </w:numPr>
      <w:shd w:val="clear" w:color="auto" w:fill="D9D9D9" w:themeFill="background1" w:themeFillShade="d9"/>
      <w:suppressAutoHyphens w:val="true"/>
      <w:spacing w:lineRule="auto" w:line="240" w:before="120" w:after="120"/>
      <w:jc w:val="center"/>
    </w:pPr>
    <w:rPr>
      <w:rFonts w:ascii="Times New Roman" w:hAnsi="Times New Roman"/>
      <w:b/>
      <w:sz w:val="24"/>
      <w:szCs w:val="24"/>
      <w:lang w:val="lv-LV" w:eastAsia="ar-SA"/>
    </w:rPr>
  </w:style>
  <w:style w:type="paragraph" w:styleId="Nodala11" w:customStyle="1">
    <w:name w:val="Nodala 1.1"/>
    <w:basedOn w:val="Normal"/>
    <w:qFormat/>
    <w:rsid w:val="000a3a7a"/>
    <w:pPr>
      <w:widowControl/>
      <w:numPr>
        <w:ilvl w:val="1"/>
        <w:numId w:val="6"/>
      </w:numPr>
      <w:suppressAutoHyphens w:val="true"/>
      <w:spacing w:lineRule="auto" w:line="240" w:before="60" w:after="60"/>
      <w:ind w:hanging="720" w:start="720"/>
      <w:jc w:val="both"/>
    </w:pPr>
    <w:rPr>
      <w:rFonts w:ascii="Times New Roman" w:hAnsi="Times New Roman" w:eastAsia="Times New Roman"/>
      <w:bCs/>
      <w:sz w:val="24"/>
      <w:szCs w:val="24"/>
      <w:lang w:val="lv-LV" w:eastAsia="ar-SA"/>
    </w:rPr>
  </w:style>
  <w:style w:type="paragraph" w:styleId="EYNormal" w:customStyle="1">
    <w:name w:val="EY Normal"/>
    <w:link w:val="EYNormalChar"/>
    <w:qFormat/>
    <w:rsid w:val="00265a0e"/>
    <w:pPr>
      <w:widowControl/>
      <w:suppressAutoHyphens w:val="true"/>
      <w:bidi w:val="0"/>
      <w:spacing w:lineRule="auto" w:line="276" w:before="60" w:after="60"/>
      <w:jc w:val="both"/>
    </w:pPr>
    <w:rPr>
      <w:rFonts w:ascii="EYInterstate Light" w:hAnsi="EYInterstate Light" w:eastAsia="Calibri" w:cs="" w:cstheme="minorBidi" w:eastAsiaTheme="minorHAnsi"/>
      <w:color w:val="auto"/>
      <w:kern w:val="2"/>
      <w:sz w:val="22"/>
      <w:szCs w:val="24"/>
      <w:lang w:val="lv-LV" w:eastAsia="en-GB" w:bidi="ar-SA"/>
      <w14:ligatures w14:val="standardContextual"/>
    </w:rPr>
  </w:style>
  <w:style w:type="paragraph" w:styleId="BodyText2">
    <w:name w:val="Body Text 2"/>
    <w:basedOn w:val="Normal"/>
    <w:link w:val="BodyText2Char"/>
    <w:uiPriority w:val="99"/>
    <w:semiHidden/>
    <w:unhideWhenUsed/>
    <w:qFormat/>
    <w:rsid w:val="00dc392a"/>
    <w:pPr>
      <w:spacing w:lineRule="auto" w:line="480" w:before="0" w:after="12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9a2fb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59"/>
    <w:rsid w:val="009a2fb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
    <w:name w:val="Grid Table 1 Light"/>
    <w:basedOn w:val="TableNormal"/>
    <w:uiPriority w:val="46"/>
    <w:rsid w:val="00265a0e"/>
    <w:pPr>
      <w:spacing w:after="0" w:line="240" w:lineRule="auto"/>
    </w:pPr>
    <w:rPr>
      <w:sz w:val="20"/>
      <w:szCs w:val="20"/>
      <w:lang w:eastAsia="lv-LV"/>
    </w:rPr>
    <w:tblPr>
      <w:tblStyleRowBandSize w:val="1"/>
      <w:tblStyleColBandSize w:val="1"/>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blPr/>
      <w:tcPr>
        <w:tcBorders>
          <w:bottom w:val="single" w:color="666666" w:sz="12" w:space="0"/>
        </w:tcBorders>
      </w:tcPr>
    </w:tblStylePr>
    <w:tblStylePr w:type="lastRow">
      <w:rPr>
        <w:b/>
        <w:bCs/>
      </w:rPr>
      <w:tblPr/>
      <w:tcPr>
        <w:tcBorders>
          <w:top w:val="double" w:color="666666"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agile.lv"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Relationship Id="rId13"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9707973-ec27-4cc5-b596-4a3905c9ed14" xsi:nil="true"/>
    <lcf76f155ced4ddcb4097134ff3c332f xmlns="7601858e-a0b9-4744-a7f3-4ef33f580013">
      <Terms xmlns="http://schemas.microsoft.com/office/infopath/2007/PartnerControls"/>
    </lcf76f155ced4ddcb4097134ff3c332f>
    <N_x002e_p_x002e_k_x002e_ xmlns="7601858e-a0b9-4744-a7f3-4ef33f580013">0</N_x002e_p_x002e_k_x002e_>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2760B7F4A3154DA0367FC73571EC94" ma:contentTypeVersion="18" ma:contentTypeDescription="Create a new document." ma:contentTypeScope="" ma:versionID="a3c1a02c5d55df4be70bf489fe7968fa">
  <xsd:schema xmlns:xsd="http://www.w3.org/2001/XMLSchema" xmlns:xs="http://www.w3.org/2001/XMLSchema" xmlns:p="http://schemas.microsoft.com/office/2006/metadata/properties" xmlns:ns2="7601858e-a0b9-4744-a7f3-4ef33f580013" xmlns:ns3="09707973-ec27-4cc5-b596-4a3905c9ed14" targetNamespace="http://schemas.microsoft.com/office/2006/metadata/properties" ma:root="true" ma:fieldsID="e6b1fcefbd130381390596514d58aab0" ns2:_="" ns3:_="">
    <xsd:import namespace="7601858e-a0b9-4744-a7f3-4ef33f580013"/>
    <xsd:import namespace="09707973-ec27-4cc5-b596-4a3905c9e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N_x002e_p_x002e_k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1858e-a0b9-4744-a7f3-4ef33f580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c26a82-2b24-45e5-89b7-c1f884b4c0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_x002e_p_x002e_k_x002e_" ma:index="24" nillable="true" ma:displayName="N.p.k." ma:format="Dropdown" ma:internalName="N_x002e_p_x002e_k_x002e_"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707973-ec27-4cc5-b596-4a3905c9ed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3c5e057-dda9-44dc-8fc9-d76e1617c5b5}" ma:internalName="TaxCatchAll" ma:showField="CatchAllData" ma:web="09707973-ec27-4cc5-b596-4a3905c9e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794200-BA50-4B7B-B1EC-62867101DC45}">
  <ds:schemaRefs>
    <ds:schemaRef ds:uri="http://schemas.microsoft.com/sharepoint/v3/contenttype/forms"/>
  </ds:schemaRefs>
</ds:datastoreItem>
</file>

<file path=customXml/itemProps2.xml><?xml version="1.0" encoding="utf-8"?>
<ds:datastoreItem xmlns:ds="http://schemas.openxmlformats.org/officeDocument/2006/customXml" ds:itemID="{86F76F2C-CAAE-4558-91B9-4865567E5F22}">
  <ds:schemaRefs>
    <ds:schemaRef ds:uri="http://schemas.openxmlformats.org/officeDocument/2006/bibliography"/>
  </ds:schemaRefs>
</ds:datastoreItem>
</file>

<file path=customXml/itemProps3.xml><?xml version="1.0" encoding="utf-8"?>
<ds:datastoreItem xmlns:ds="http://schemas.openxmlformats.org/officeDocument/2006/customXml" ds:itemID="{E39A6E8C-070D-4068-94E2-1BEAAC1193AD}">
  <ds:schemaRefs>
    <ds:schemaRef ds:uri="http://schemas.microsoft.com/office/2006/metadata/properties"/>
    <ds:schemaRef ds:uri="http://schemas.microsoft.com/office/infopath/2007/PartnerControls"/>
    <ds:schemaRef ds:uri="09707973-ec27-4cc5-b596-4a3905c9ed14"/>
    <ds:schemaRef ds:uri="7601858e-a0b9-4744-a7f3-4ef33f580013"/>
  </ds:schemaRefs>
</ds:datastoreItem>
</file>

<file path=customXml/itemProps4.xml><?xml version="1.0" encoding="utf-8"?>
<ds:datastoreItem xmlns:ds="http://schemas.openxmlformats.org/officeDocument/2006/customXml" ds:itemID="{145115F6-3BF6-4436-9F63-6B08A7757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1858e-a0b9-4744-a7f3-4ef33f580013"/>
    <ds:schemaRef ds:uri="09707973-ec27-4cc5-b596-4a3905c9e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113</TotalTime>
  <Application>LibreOffice/26.2.5.2$Windows_X86_64 LibreOffice_project/cd7284b4cbbfeb507e630c1aac019f4157393acb</Application>
  <AppVersion>15.0000</AppVersion>
  <Pages>12</Pages>
  <Words>3118</Words>
  <Characters>23004</Characters>
  <CharactersWithSpaces>25959</CharactersWithSpaces>
  <Paragraphs>193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2025-10-15T14:04:00Z</dcterms:created>
  <dc:creator>Valsts kanceleja</dc:creator>
  <dc:description/>
  <dc:language>en-GB</dc:language>
  <cp:lastModifiedBy/>
  <dcterms:modified xsi:type="dcterms:W3CDTF">2026-08-11T20:16:16Z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0x010100212760B7F4A3154DA0367FC73571EC94</vt:lpwstr>
  </property>
  <property fmtid="{D5CDD505-2E9C-101B-9397-08002B2CF9AE}" pid="3" name="MediaServiceImageTags">
    <vt:lpwstr/>
  </property>
</Properties>
</file>