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4EF34">
      <w:pPr>
        <w:spacing w:after="60"/>
        <w:rPr>
          <w:rFonts w:hint="default" w:ascii="Calibri" w:hAnsi="Calibri" w:eastAsia="Calibri" w:cs="Calibri"/>
          <w:b/>
          <w:bCs/>
          <w:sz w:val="26"/>
          <w:szCs w:val="26"/>
          <w:lang w:val="lv-LV"/>
        </w:rPr>
      </w:pPr>
      <w:r>
        <w:rPr>
          <w:rFonts w:hint="default" w:ascii="Calibri" w:hAnsi="Calibri" w:eastAsia="Calibri" w:cs="Calibri"/>
          <w:b/>
          <w:bCs/>
          <w:sz w:val="26"/>
          <w:szCs w:val="26"/>
        </w:rPr>
        <w:t>Komponentes mobilo robotu mākoņmalas rūpniecisk</w:t>
      </w:r>
      <w:r>
        <w:rPr>
          <w:rFonts w:hint="default" w:ascii="Calibri" w:hAnsi="Calibri" w:eastAsia="Calibri" w:cs="Calibri"/>
          <w:b/>
          <w:bCs/>
          <w:sz w:val="26"/>
          <w:szCs w:val="26"/>
          <w:lang w:val="lv-LV"/>
        </w:rPr>
        <w:t>ajam</w:t>
      </w:r>
      <w:r>
        <w:rPr>
          <w:rFonts w:hint="default" w:ascii="Calibri" w:hAnsi="Calibri" w:eastAsia="Calibri" w:cs="Calibri"/>
          <w:b/>
          <w:bCs/>
          <w:sz w:val="26"/>
          <w:szCs w:val="26"/>
        </w:rPr>
        <w:t xml:space="preserve"> pētījuma</w:t>
      </w:r>
      <w:r>
        <w:rPr>
          <w:rFonts w:hint="default" w:ascii="Calibri" w:hAnsi="Calibri" w:eastAsia="Calibri" w:cs="Calibri"/>
          <w:b/>
          <w:bCs/>
          <w:sz w:val="26"/>
          <w:szCs w:val="26"/>
          <w:lang w:val="lv-LV"/>
        </w:rPr>
        <w:t>m/</w:t>
      </w:r>
    </w:p>
    <w:p w14:paraId="6C198D10">
      <w:pPr>
        <w:keepNext w:val="0"/>
        <w:keepLines w:val="0"/>
        <w:widowControl/>
        <w:suppressLineNumbers w:val="0"/>
        <w:jc w:val="left"/>
        <w:rPr>
          <w:rFonts w:hint="default" w:ascii="Helvetica Bold" w:hAnsi="Helvetica Bold" w:cs="Helvetica Bold"/>
          <w:b/>
          <w:bCs/>
        </w:rPr>
      </w:pPr>
      <w:r>
        <w:rPr>
          <w:rFonts w:hint="default" w:ascii="Helvetica Bold" w:hAnsi="Helvetica Bold" w:eastAsia="Helvetica" w:cs="Helvetica Bold"/>
          <w:b/>
          <w:bCs/>
          <w:i w:val="0"/>
          <w:iCs w:val="0"/>
          <w:caps w:val="0"/>
          <w:color w:val="0B0B0B"/>
          <w:spacing w:val="0"/>
          <w:kern w:val="0"/>
          <w:sz w:val="22"/>
          <w:szCs w:val="22"/>
          <w:shd w:val="clear" w:fill="FFFFFF"/>
          <w:lang w:val="en-US" w:eastAsia="zh-CN" w:bidi="ar"/>
        </w:rPr>
        <w:t>Components for mobile robot cloud-edge industrial research</w:t>
      </w:r>
    </w:p>
    <w:p w14:paraId="0F1D4323">
      <w:pPr>
        <w:spacing w:after="60"/>
        <w:rPr>
          <w:rFonts w:hint="default" w:ascii="Calibri" w:hAnsi="Calibri" w:eastAsia="Calibri" w:cs="Calibri"/>
          <w:b/>
          <w:bCs/>
          <w:sz w:val="26"/>
          <w:szCs w:val="26"/>
          <w:lang w:val="lv-LV"/>
        </w:rPr>
      </w:pPr>
    </w:p>
    <w:p w14:paraId="554E3BE6">
      <w:pPr>
        <w:pStyle w:val="23"/>
        <w:rPr>
          <w:rFonts w:hint="default" w:ascii="Calibri" w:hAnsi="Calibri" w:eastAsia="Calibri" w:cs="Calibri"/>
          <w:b/>
          <w:bCs/>
          <w:sz w:val="21"/>
          <w:szCs w:val="21"/>
          <w:lang w:val="lv-LV"/>
        </w:rPr>
      </w:pPr>
      <w:r>
        <w:rPr>
          <w:rFonts w:hint="default" w:ascii="Calibri" w:hAnsi="Calibri" w:eastAsia="Calibri" w:cs="Calibri"/>
          <w:b/>
          <w:bCs/>
          <w:sz w:val="21"/>
          <w:szCs w:val="21"/>
        </w:rPr>
        <w:t xml:space="preserve">Iepirkuma identifikācijas Nr. / Tender ID no. </w:t>
      </w:r>
      <w:r>
        <w:rPr>
          <w:rFonts w:hint="default" w:ascii="Calibri" w:hAnsi="Calibri" w:eastAsia="Calibri" w:cs="Calibri"/>
          <w:b/>
          <w:bCs/>
          <w:sz w:val="21"/>
          <w:szCs w:val="21"/>
          <w:lang w:val="lv-LV"/>
        </w:rPr>
        <w:t xml:space="preserve"> </w:t>
      </w:r>
      <w:r>
        <w:rPr>
          <w:rFonts w:hint="default" w:ascii="Calibri" w:hAnsi="Calibri" w:eastAsia="Calibri" w:cs="Calibri"/>
          <w:b/>
          <w:bCs/>
          <w:sz w:val="21"/>
          <w:szCs w:val="21"/>
          <w:lang w:val="en-US" w:eastAsia="zh-CN"/>
        </w:rPr>
        <w:t>K/202</w:t>
      </w:r>
      <w:r>
        <w:rPr>
          <w:rFonts w:hint="default" w:ascii="Calibri" w:hAnsi="Calibri" w:eastAsia="Calibri" w:cs="Calibri"/>
          <w:b/>
          <w:bCs/>
          <w:sz w:val="21"/>
          <w:szCs w:val="21"/>
          <w:lang w:val="lv-LV" w:eastAsia="zh-CN"/>
        </w:rPr>
        <w:t>6</w:t>
      </w:r>
      <w:r>
        <w:rPr>
          <w:rFonts w:hint="default" w:ascii="Calibri" w:hAnsi="Calibri" w:eastAsia="Calibri" w:cs="Calibri"/>
          <w:b/>
          <w:bCs/>
          <w:sz w:val="21"/>
          <w:szCs w:val="21"/>
          <w:lang w:val="en-US" w:eastAsia="zh-CN"/>
        </w:rPr>
        <w:t>/1</w:t>
      </w:r>
      <w:r>
        <w:rPr>
          <w:rFonts w:hint="default" w:ascii="Calibri" w:hAnsi="Calibri" w:eastAsia="Calibri" w:cs="Calibri"/>
          <w:b/>
          <w:bCs/>
          <w:sz w:val="21"/>
          <w:szCs w:val="21"/>
          <w:lang w:val="lv-LV" w:eastAsia="zh-CN"/>
        </w:rPr>
        <w:t>609</w:t>
      </w:r>
      <w:r>
        <w:rPr>
          <w:rFonts w:hint="default" w:ascii="Calibri" w:hAnsi="Calibri" w:eastAsia="Calibri" w:cs="Calibri"/>
          <w:b/>
          <w:bCs/>
          <w:sz w:val="21"/>
          <w:szCs w:val="21"/>
          <w:lang w:val="en-US" w:eastAsia="zh-CN"/>
        </w:rPr>
        <w:t>2</w:t>
      </w:r>
      <w:r>
        <w:rPr>
          <w:rFonts w:hint="default" w:ascii="Calibri" w:hAnsi="Calibri" w:eastAsia="Calibri" w:cs="Calibri"/>
          <w:b/>
          <w:bCs/>
          <w:sz w:val="21"/>
          <w:szCs w:val="21"/>
          <w:lang w:val="lv-LV" w:eastAsia="zh-CN"/>
        </w:rPr>
        <w:t>6</w:t>
      </w:r>
      <w:r>
        <w:rPr>
          <w:rFonts w:hint="default" w:ascii="Calibri" w:hAnsi="Calibri" w:eastAsia="Calibri" w:cs="Calibri"/>
          <w:b/>
          <w:bCs/>
          <w:sz w:val="21"/>
          <w:szCs w:val="21"/>
          <w:lang w:val="en-US" w:eastAsia="zh-CN"/>
        </w:rPr>
        <w:t>/</w:t>
      </w:r>
      <w:r>
        <w:rPr>
          <w:rFonts w:hint="default" w:ascii="Calibri" w:hAnsi="Calibri" w:eastAsia="Calibri" w:cs="Calibri"/>
          <w:b/>
          <w:bCs/>
          <w:sz w:val="21"/>
          <w:szCs w:val="21"/>
          <w:lang w:val="lv-LV" w:eastAsia="zh-CN"/>
        </w:rPr>
        <w:t>2</w:t>
      </w:r>
    </w:p>
    <w:p w14:paraId="0C81C54F">
      <w:pPr>
        <w:spacing w:after="30"/>
        <w:jc w:val="left"/>
        <w:rPr>
          <w:rFonts w:hint="default" w:ascii="Calibri" w:hAnsi="Calibri" w:eastAsia="Calibri" w:cs="Calibri"/>
          <w:b w:val="0"/>
          <w:bCs w:val="0"/>
          <w:sz w:val="21"/>
          <w:szCs w:val="21"/>
        </w:rPr>
      </w:pPr>
      <w:r>
        <w:rPr>
          <w:rFonts w:hint="default" w:ascii="Calibri" w:hAnsi="Calibri" w:eastAsia="Calibri" w:cs="Calibri"/>
          <w:b w:val="0"/>
          <w:bCs w:val="0"/>
          <w:sz w:val="21"/>
          <w:szCs w:val="21"/>
        </w:rPr>
        <w:t>“Nākamās paaudzes mikroražotnes” / “NextGen Microfactories”, Nr. / no. 5.1.1.2.i.0/4/24/A/CFLA/003</w:t>
      </w:r>
    </w:p>
    <w:p w14:paraId="495D0A00">
      <w:pPr>
        <w:spacing w:after="30"/>
        <w:jc w:val="left"/>
        <w:rPr>
          <w:rFonts w:hint="default" w:ascii="Calibri" w:hAnsi="Calibri" w:eastAsia="Calibri" w:cs="Calibri"/>
          <w:b w:val="0"/>
          <w:bCs w:val="0"/>
          <w:sz w:val="21"/>
          <w:szCs w:val="21"/>
        </w:rPr>
      </w:pPr>
    </w:p>
    <w:p w14:paraId="593F670C">
      <w:pPr>
        <w:spacing w:after="30"/>
        <w:jc w:val="left"/>
        <w:rPr>
          <w:rFonts w:hint="default" w:ascii="Calibri" w:hAnsi="Calibri" w:eastAsia="Calibri" w:cs="Calibri"/>
          <w:b w:val="0"/>
          <w:bCs w:val="0"/>
          <w:sz w:val="21"/>
          <w:szCs w:val="21"/>
        </w:rPr>
      </w:pPr>
      <w:r>
        <w:rPr>
          <w:rFonts w:hint="default" w:ascii="Calibri" w:hAnsi="Calibri" w:eastAsia="Calibri" w:cs="Calibri"/>
          <w:b w:val="0"/>
          <w:bCs w:val="0"/>
          <w:sz w:val="21"/>
          <w:szCs w:val="21"/>
        </w:rPr>
        <w:t>Iepirkums tiek veikts saskaņā ar Ministru kabineta 2017. gada 28. februāra noteikumiem Nr. 104 “Noteikumi par iepirkuma procedūru un tās piemērošanas kārtību pasūtītāja finansētiem projektiem”.</w:t>
      </w:r>
    </w:p>
    <w:p w14:paraId="6532A1E4">
      <w:pPr>
        <w:spacing w:after="0"/>
        <w:jc w:val="left"/>
        <w:rPr>
          <w:rFonts w:hint="default" w:ascii="Calibri" w:hAnsi="Calibri" w:eastAsia="Calibri" w:cs="Calibri"/>
          <w:i/>
          <w:iCs/>
          <w:color w:val="595959"/>
          <w:sz w:val="19"/>
          <w:szCs w:val="19"/>
          <w:lang w:val="lv-LV" w:eastAsia="zh-CN"/>
        </w:rPr>
      </w:pPr>
      <w:r>
        <w:rPr>
          <w:rFonts w:hint="default" w:ascii="Calibri" w:hAnsi="Calibri" w:eastAsia="Calibri" w:cs="Calibri"/>
          <w:i/>
          <w:iCs/>
          <w:color w:val="595959"/>
          <w:sz w:val="19"/>
          <w:szCs w:val="19"/>
          <w:lang w:val="lv-LV" w:eastAsia="zh-CN"/>
        </w:rPr>
        <w:t>The procurement is carried out under Cabinet Regulation No. 104 of 28 February 2017 “Regulations on the procurement procedure and its application to projects financed by a contracting authority”.</w:t>
      </w:r>
    </w:p>
    <w:p w14:paraId="27DEF136">
      <w:pPr>
        <w:spacing w:after="0"/>
        <w:jc w:val="left"/>
        <w:rPr>
          <w:rFonts w:hint="default" w:ascii="Calibri" w:hAnsi="Calibri" w:eastAsia="Calibri" w:cs="Calibri"/>
          <w:i/>
          <w:iCs/>
          <w:color w:val="595959"/>
          <w:sz w:val="19"/>
          <w:szCs w:val="19"/>
          <w:lang w:val="lv-LV" w:eastAsia="zh-CN"/>
        </w:rPr>
      </w:pPr>
    </w:p>
    <w:p w14:paraId="0DCE7C58">
      <w:pPr>
        <w:pStyle w:val="3"/>
        <w:numPr>
          <w:ilvl w:val="0"/>
          <w:numId w:val="0"/>
        </w:numPr>
        <w:outlineLvl w:val="1"/>
        <w:rPr>
          <w:color w:val="auto"/>
        </w:rPr>
      </w:pPr>
      <w:bookmarkStart w:id="0" w:name="Xa3a4c7eaf174e51a4271b3099e6432549dfeb94"/>
      <w:r>
        <w:rPr>
          <w:rFonts w:hint="default" w:ascii="Calibri" w:hAnsi="Calibri" w:eastAsia="Calibri" w:cs="Calibri"/>
          <w:b/>
          <w:bCs/>
          <w:color w:val="auto"/>
          <w:sz w:val="23"/>
          <w:szCs w:val="23"/>
          <w:lang w:val="lv-LV"/>
        </w:rPr>
        <w:t>1.</w:t>
      </w:r>
      <w:r>
        <w:rPr>
          <w:rFonts w:ascii="Calibri" w:hAnsi="Calibri" w:eastAsia="Calibri" w:cs="Calibri"/>
          <w:b/>
          <w:bCs/>
          <w:color w:val="auto"/>
          <w:sz w:val="23"/>
          <w:szCs w:val="23"/>
        </w:rPr>
        <w:t>Finansējuma saņēmējs — Pasūtītājs</w:t>
      </w:r>
      <w:r>
        <w:rPr>
          <w:color w:val="auto"/>
        </w:rPr>
        <w:t xml:space="preserve"> </w:t>
      </w:r>
    </w:p>
    <w:p w14:paraId="49BC4F8C">
      <w:pPr>
        <w:spacing w:after="150"/>
        <w:rPr>
          <w:color w:val="auto"/>
        </w:rPr>
      </w:pPr>
      <w:r>
        <w:rPr>
          <w:rFonts w:hint="default" w:ascii="Calibri" w:hAnsi="Calibri" w:eastAsia="Calibri" w:cs="Calibri"/>
          <w:b/>
          <w:bCs/>
          <w:i/>
          <w:iCs/>
          <w:color w:val="595959"/>
          <w:sz w:val="21"/>
          <w:szCs w:val="21"/>
          <w:lang w:val="lv-LV"/>
        </w:rPr>
        <w:t>1.</w:t>
      </w:r>
      <w:r>
        <w:rPr>
          <w:rFonts w:ascii="Calibri" w:hAnsi="Calibri" w:eastAsia="Calibri" w:cs="Calibri"/>
          <w:b/>
          <w:bCs/>
          <w:i/>
          <w:iCs/>
          <w:color w:val="595959"/>
          <w:sz w:val="21"/>
          <w:szCs w:val="21"/>
        </w:rPr>
        <w:t>Beneficiary of financing — Contracting Authority</w:t>
      </w:r>
    </w:p>
    <w:tbl>
      <w:tblPr>
        <w:tblStyle w:val="25"/>
        <w:tblW w:w="937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2767"/>
        <w:gridCol w:w="6603"/>
      </w:tblGrid>
      <w:tr w14:paraId="146F17B0">
        <w:trPr>
          <w:tblHeader/>
        </w:trPr>
        <w:tc>
          <w:tcPr>
            <w:tcW w:w="2767" w:type="dxa"/>
          </w:tcPr>
          <w:p w14:paraId="34A2BE56">
            <w:pPr>
              <w:pStyle w:val="24"/>
              <w:jc w:val="left"/>
              <w:rPr>
                <w:rFonts w:hint="default" w:ascii="Calibri" w:hAnsi="Calibri" w:eastAsia="Calibri" w:cs="Calibri"/>
                <w:b w:val="0"/>
                <w:bCs w:val="0"/>
                <w:sz w:val="21"/>
                <w:szCs w:val="21"/>
              </w:rPr>
            </w:pPr>
            <w:r>
              <w:rPr>
                <w:rFonts w:hint="default" w:ascii="Calibri" w:hAnsi="Calibri" w:eastAsia="Calibri" w:cs="Calibri"/>
                <w:b w:val="0"/>
                <w:bCs w:val="0"/>
                <w:sz w:val="21"/>
                <w:szCs w:val="21"/>
              </w:rPr>
              <w:t>Nosaukums / Name</w:t>
            </w:r>
          </w:p>
        </w:tc>
        <w:tc>
          <w:tcPr>
            <w:tcW w:w="6603" w:type="dxa"/>
          </w:tcPr>
          <w:p w14:paraId="52165E6A">
            <w:pPr>
              <w:pStyle w:val="24"/>
              <w:jc w:val="left"/>
              <w:rPr>
                <w:rFonts w:hint="default" w:ascii="Calibri" w:hAnsi="Calibri" w:eastAsia="Calibri" w:cs="Calibri"/>
                <w:b w:val="0"/>
                <w:bCs w:val="0"/>
                <w:sz w:val="21"/>
                <w:szCs w:val="21"/>
              </w:rPr>
            </w:pPr>
            <w:r>
              <w:rPr>
                <w:rFonts w:hint="default" w:ascii="Calibri" w:hAnsi="Calibri" w:eastAsia="Calibri" w:cs="Calibri"/>
                <w:b w:val="0"/>
                <w:bCs w:val="0"/>
                <w:sz w:val="21"/>
                <w:szCs w:val="21"/>
              </w:rPr>
              <w:t>SIA “Aspired”</w:t>
            </w:r>
          </w:p>
        </w:tc>
      </w:tr>
      <w:tr w14:paraId="74111A1D">
        <w:tc>
          <w:tcPr>
            <w:tcW w:w="2767" w:type="dxa"/>
          </w:tcPr>
          <w:p w14:paraId="01112113">
            <w:pPr>
              <w:pStyle w:val="24"/>
              <w:jc w:val="left"/>
              <w:rPr>
                <w:rFonts w:hint="default" w:ascii="Calibri" w:hAnsi="Calibri" w:eastAsia="Calibri" w:cs="Calibri"/>
                <w:b w:val="0"/>
                <w:bCs w:val="0"/>
                <w:sz w:val="21"/>
                <w:szCs w:val="21"/>
              </w:rPr>
            </w:pPr>
            <w:r>
              <w:rPr>
                <w:rFonts w:hint="default" w:ascii="Calibri" w:hAnsi="Calibri" w:eastAsia="Calibri" w:cs="Calibri"/>
                <w:b w:val="0"/>
                <w:bCs w:val="0"/>
                <w:sz w:val="21"/>
                <w:szCs w:val="21"/>
              </w:rPr>
              <w:t>Vienotais reģistrācijas Nr. / Registration number</w:t>
            </w:r>
          </w:p>
        </w:tc>
        <w:tc>
          <w:tcPr>
            <w:tcW w:w="6603" w:type="dxa"/>
          </w:tcPr>
          <w:p w14:paraId="77D2D754">
            <w:pPr>
              <w:pStyle w:val="24"/>
              <w:jc w:val="left"/>
              <w:rPr>
                <w:rFonts w:hint="default" w:ascii="Calibri" w:hAnsi="Calibri" w:eastAsia="Calibri" w:cs="Calibri"/>
                <w:b w:val="0"/>
                <w:bCs w:val="0"/>
                <w:sz w:val="21"/>
                <w:szCs w:val="21"/>
              </w:rPr>
            </w:pPr>
            <w:r>
              <w:rPr>
                <w:rFonts w:hint="default" w:ascii="Calibri" w:hAnsi="Calibri" w:eastAsia="Calibri" w:cs="Calibri"/>
                <w:b w:val="0"/>
                <w:bCs w:val="0"/>
                <w:sz w:val="21"/>
                <w:szCs w:val="21"/>
              </w:rPr>
              <w:t>41203045860</w:t>
            </w:r>
          </w:p>
        </w:tc>
      </w:tr>
      <w:tr w14:paraId="172C7997">
        <w:tc>
          <w:tcPr>
            <w:tcW w:w="2767" w:type="dxa"/>
          </w:tcPr>
          <w:p w14:paraId="4F0993A5">
            <w:pPr>
              <w:pStyle w:val="24"/>
              <w:jc w:val="left"/>
              <w:rPr>
                <w:rFonts w:hint="default" w:ascii="Calibri" w:hAnsi="Calibri" w:eastAsia="Calibri" w:cs="Calibri"/>
                <w:b w:val="0"/>
                <w:bCs w:val="0"/>
                <w:sz w:val="21"/>
                <w:szCs w:val="21"/>
              </w:rPr>
            </w:pPr>
            <w:r>
              <w:rPr>
                <w:rFonts w:hint="default" w:ascii="Calibri" w:hAnsi="Calibri" w:eastAsia="Calibri" w:cs="Calibri"/>
                <w:b w:val="0"/>
                <w:bCs w:val="0"/>
                <w:sz w:val="21"/>
                <w:szCs w:val="21"/>
              </w:rPr>
              <w:t xml:space="preserve">Juridiskā adrese / </w:t>
            </w:r>
          </w:p>
          <w:p w14:paraId="25AE3418">
            <w:pPr>
              <w:pStyle w:val="24"/>
              <w:jc w:val="left"/>
              <w:rPr>
                <w:rFonts w:hint="default" w:ascii="Calibri" w:hAnsi="Calibri" w:eastAsia="Calibri" w:cs="Calibri"/>
                <w:b w:val="0"/>
                <w:bCs w:val="0"/>
                <w:sz w:val="21"/>
                <w:szCs w:val="21"/>
              </w:rPr>
            </w:pPr>
            <w:r>
              <w:rPr>
                <w:rFonts w:hint="default" w:ascii="Calibri" w:hAnsi="Calibri" w:eastAsia="Calibri" w:cs="Calibri"/>
                <w:b w:val="0"/>
                <w:bCs w:val="0"/>
                <w:sz w:val="21"/>
                <w:szCs w:val="21"/>
              </w:rPr>
              <w:t>Legal address</w:t>
            </w:r>
          </w:p>
        </w:tc>
        <w:tc>
          <w:tcPr>
            <w:tcW w:w="6603" w:type="dxa"/>
          </w:tcPr>
          <w:p w14:paraId="3BB15968">
            <w:pPr>
              <w:pStyle w:val="24"/>
              <w:jc w:val="left"/>
              <w:rPr>
                <w:rFonts w:hint="default" w:ascii="Calibri" w:hAnsi="Calibri" w:eastAsia="Calibri" w:cs="Calibri"/>
                <w:b w:val="0"/>
                <w:bCs w:val="0"/>
                <w:sz w:val="21"/>
                <w:szCs w:val="21"/>
              </w:rPr>
            </w:pPr>
            <w:r>
              <w:rPr>
                <w:rFonts w:hint="default" w:ascii="Calibri" w:hAnsi="Calibri" w:eastAsia="Calibri" w:cs="Calibri"/>
                <w:b w:val="0"/>
                <w:bCs w:val="0"/>
                <w:sz w:val="21"/>
                <w:szCs w:val="21"/>
              </w:rPr>
              <w:t>Ganību iela 99, Ventspils, Latvija, LV-3601 / Ganibu iela 99, Ventspils, Latvia, LV-3601</w:t>
            </w:r>
          </w:p>
        </w:tc>
      </w:tr>
      <w:tr w14:paraId="33823073">
        <w:tc>
          <w:tcPr>
            <w:tcW w:w="2767" w:type="dxa"/>
          </w:tcPr>
          <w:p w14:paraId="56E22564">
            <w:pPr>
              <w:pStyle w:val="24"/>
              <w:jc w:val="left"/>
              <w:rPr>
                <w:rFonts w:hint="default" w:ascii="Calibri" w:hAnsi="Calibri" w:eastAsia="Calibri" w:cs="Calibri"/>
                <w:b w:val="0"/>
                <w:bCs w:val="0"/>
                <w:sz w:val="21"/>
                <w:szCs w:val="21"/>
              </w:rPr>
            </w:pPr>
            <w:r>
              <w:rPr>
                <w:rFonts w:hint="default" w:ascii="Calibri" w:hAnsi="Calibri" w:eastAsia="Calibri" w:cs="Calibri"/>
                <w:b w:val="0"/>
                <w:bCs w:val="0"/>
                <w:sz w:val="21"/>
                <w:szCs w:val="21"/>
              </w:rPr>
              <w:t xml:space="preserve">Kontaktpersona / </w:t>
            </w:r>
          </w:p>
          <w:p w14:paraId="437C0555">
            <w:pPr>
              <w:pStyle w:val="24"/>
              <w:jc w:val="left"/>
              <w:rPr>
                <w:rFonts w:hint="default" w:ascii="Calibri" w:hAnsi="Calibri" w:eastAsia="Calibri" w:cs="Calibri"/>
                <w:b w:val="0"/>
                <w:bCs w:val="0"/>
                <w:sz w:val="21"/>
                <w:szCs w:val="21"/>
              </w:rPr>
            </w:pPr>
            <w:r>
              <w:rPr>
                <w:rFonts w:hint="default" w:ascii="Calibri" w:hAnsi="Calibri" w:eastAsia="Calibri" w:cs="Calibri"/>
                <w:b w:val="0"/>
                <w:bCs w:val="0"/>
                <w:sz w:val="21"/>
                <w:szCs w:val="21"/>
              </w:rPr>
              <w:t>Contact person</w:t>
            </w:r>
          </w:p>
        </w:tc>
        <w:tc>
          <w:tcPr>
            <w:tcW w:w="6603" w:type="dxa"/>
          </w:tcPr>
          <w:p w14:paraId="2716D8EC">
            <w:pPr>
              <w:pStyle w:val="24"/>
              <w:jc w:val="left"/>
              <w:rPr>
                <w:rFonts w:hint="default" w:ascii="Calibri" w:hAnsi="Calibri" w:eastAsia="Calibri" w:cs="Calibri"/>
                <w:b w:val="0"/>
                <w:bCs w:val="0"/>
                <w:sz w:val="21"/>
                <w:szCs w:val="21"/>
              </w:rPr>
            </w:pPr>
            <w:r>
              <w:rPr>
                <w:rFonts w:hint="default" w:ascii="Calibri" w:hAnsi="Calibri" w:eastAsia="Calibri" w:cs="Calibri"/>
                <w:b w:val="0"/>
                <w:bCs w:val="0"/>
                <w:sz w:val="21"/>
                <w:szCs w:val="21"/>
                <w:lang w:val="lv-LV"/>
              </w:rPr>
              <w:t>Jana Berka</w:t>
            </w:r>
            <w:r>
              <w:rPr>
                <w:rFonts w:hint="default" w:ascii="Calibri" w:hAnsi="Calibri" w:eastAsia="Calibri" w:cs="Calibri"/>
                <w:b w:val="0"/>
                <w:bCs w:val="0"/>
                <w:sz w:val="21"/>
                <w:szCs w:val="21"/>
              </w:rPr>
              <w:t xml:space="preserve">; tālrunis / phone: +371 29113076; e-pasts / e-mail: </w:t>
            </w:r>
            <w:r>
              <w:rPr>
                <w:rFonts w:hint="default" w:ascii="Calibri" w:hAnsi="Calibri" w:eastAsia="Calibri" w:cs="Calibri"/>
                <w:b w:val="0"/>
                <w:bCs w:val="0"/>
                <w:sz w:val="21"/>
                <w:szCs w:val="21"/>
                <w:lang w:val="lv-LV"/>
              </w:rPr>
              <w:t>jana.berka</w:t>
            </w:r>
            <w:r>
              <w:rPr>
                <w:rFonts w:hint="default" w:ascii="Calibri" w:hAnsi="Calibri" w:eastAsia="Calibri" w:cs="Calibri"/>
                <w:b w:val="0"/>
                <w:bCs w:val="0"/>
                <w:sz w:val="21"/>
                <w:szCs w:val="21"/>
              </w:rPr>
              <w:t>@aspired.lv</w:t>
            </w:r>
          </w:p>
        </w:tc>
      </w:tr>
      <w:bookmarkEnd w:id="0"/>
    </w:tbl>
    <w:p w14:paraId="2C95246F">
      <w:pPr>
        <w:spacing w:before="200" w:after="0"/>
      </w:pPr>
    </w:p>
    <w:p w14:paraId="0C8D9200">
      <w:pPr>
        <w:spacing w:after="30"/>
      </w:pPr>
      <w:r>
        <w:rPr>
          <w:rFonts w:ascii="Calibri" w:hAnsi="Calibri" w:eastAsia="Calibri" w:cs="Calibri"/>
          <w:b/>
          <w:bCs/>
          <w:sz w:val="23"/>
          <w:szCs w:val="23"/>
        </w:rPr>
        <w:t>2. Informācija par iepirkuma priekšmetu</w:t>
      </w:r>
    </w:p>
    <w:p w14:paraId="43D2D434">
      <w:pPr>
        <w:spacing w:after="150"/>
      </w:pPr>
      <w:r>
        <w:rPr>
          <w:rFonts w:ascii="Calibri" w:hAnsi="Calibri" w:eastAsia="Calibri" w:cs="Calibri"/>
          <w:b/>
          <w:bCs/>
          <w:i/>
          <w:iCs/>
          <w:color w:val="595959"/>
          <w:sz w:val="21"/>
          <w:szCs w:val="21"/>
        </w:rPr>
        <w:t>2. Information on the subject of the procurement</w:t>
      </w:r>
    </w:p>
    <w:tbl>
      <w:tblPr>
        <w:tblStyle w:val="10"/>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0"/>
        <w:gridCol w:w="6350"/>
      </w:tblGrid>
      <w:tr w14:paraId="08FDC79E">
        <w:tc>
          <w:tcPr>
            <w:tcW w:w="3000" w:type="dxa"/>
            <w:shd w:val="clear" w:color="auto" w:fill="F2F2F2"/>
            <w:tcMar>
              <w:top w:w="80" w:type="dxa"/>
              <w:left w:w="100" w:type="dxa"/>
              <w:bottom w:w="80" w:type="dxa"/>
              <w:right w:w="100" w:type="dxa"/>
            </w:tcMar>
            <w:vAlign w:val="center"/>
          </w:tcPr>
          <w:p w14:paraId="3F0A8A3B">
            <w:pPr>
              <w:spacing w:after="30"/>
              <w:jc w:val="left"/>
            </w:pPr>
            <w:r>
              <w:rPr>
                <w:rFonts w:ascii="Calibri" w:hAnsi="Calibri" w:eastAsia="Calibri" w:cs="Calibri"/>
                <w:b/>
                <w:bCs/>
                <w:sz w:val="21"/>
                <w:szCs w:val="21"/>
              </w:rPr>
              <w:t>Iepirkuma priekšmets</w:t>
            </w:r>
          </w:p>
          <w:p w14:paraId="3797F128">
            <w:pPr>
              <w:spacing w:after="0"/>
              <w:jc w:val="left"/>
            </w:pPr>
            <w:r>
              <w:rPr>
                <w:rFonts w:ascii="Calibri" w:hAnsi="Calibri" w:eastAsia="Calibri" w:cs="Calibri"/>
                <w:i/>
                <w:iCs/>
                <w:color w:val="595959"/>
                <w:sz w:val="19"/>
                <w:szCs w:val="19"/>
              </w:rPr>
              <w:t>Subject of procurement</w:t>
            </w:r>
          </w:p>
        </w:tc>
        <w:tc>
          <w:tcPr>
            <w:tcW w:w="6350" w:type="dxa"/>
            <w:tcMar>
              <w:top w:w="80" w:type="dxa"/>
              <w:left w:w="100" w:type="dxa"/>
              <w:bottom w:w="80" w:type="dxa"/>
              <w:right w:w="100" w:type="dxa"/>
            </w:tcMar>
            <w:vAlign w:val="center"/>
          </w:tcPr>
          <w:p w14:paraId="31984B77">
            <w:pPr>
              <w:spacing w:after="30"/>
              <w:jc w:val="left"/>
            </w:pPr>
            <w:r>
              <w:rPr>
                <w:rFonts w:hint="default" w:ascii="Calibri" w:hAnsi="Calibri" w:eastAsia="Calibri" w:cs="Calibri"/>
                <w:b w:val="0"/>
                <w:bCs w:val="0"/>
                <w:sz w:val="21"/>
                <w:szCs w:val="21"/>
              </w:rPr>
              <w:t>Komponen</w:t>
            </w:r>
            <w:r>
              <w:rPr>
                <w:rFonts w:hint="default" w:ascii="Calibri" w:hAnsi="Calibri" w:eastAsia="Calibri" w:cs="Calibri"/>
                <w:b w:val="0"/>
                <w:bCs w:val="0"/>
                <w:sz w:val="21"/>
                <w:szCs w:val="21"/>
                <w:lang w:val="lv-LV"/>
              </w:rPr>
              <w:t>šu piegāde</w:t>
            </w:r>
            <w:r>
              <w:rPr>
                <w:rFonts w:hint="default" w:ascii="Calibri" w:hAnsi="Calibri" w:eastAsia="Calibri" w:cs="Calibri"/>
                <w:b w:val="0"/>
                <w:bCs w:val="0"/>
                <w:sz w:val="21"/>
                <w:szCs w:val="21"/>
              </w:rPr>
              <w:t xml:space="preserve"> mobilo robotu mākoņmalas rūpniecisk</w:t>
            </w:r>
            <w:r>
              <w:rPr>
                <w:rFonts w:hint="default" w:ascii="Calibri" w:hAnsi="Calibri" w:eastAsia="Calibri" w:cs="Calibri"/>
                <w:b w:val="0"/>
                <w:bCs w:val="0"/>
                <w:sz w:val="21"/>
                <w:szCs w:val="21"/>
                <w:lang w:val="lv-LV"/>
              </w:rPr>
              <w:t>ajam</w:t>
            </w:r>
            <w:r>
              <w:rPr>
                <w:rFonts w:hint="default" w:ascii="Calibri" w:hAnsi="Calibri" w:eastAsia="Calibri" w:cs="Calibri"/>
                <w:b w:val="0"/>
                <w:bCs w:val="0"/>
                <w:sz w:val="21"/>
                <w:szCs w:val="21"/>
              </w:rPr>
              <w:t xml:space="preserve"> pētījuma</w:t>
            </w:r>
            <w:r>
              <w:rPr>
                <w:rFonts w:hint="default" w:ascii="Calibri" w:hAnsi="Calibri" w:eastAsia="Calibri" w:cs="Calibri"/>
                <w:b w:val="0"/>
                <w:bCs w:val="0"/>
                <w:sz w:val="21"/>
                <w:szCs w:val="21"/>
                <w:lang w:val="lv-LV"/>
              </w:rPr>
              <w:t>m</w:t>
            </w:r>
            <w:r>
              <w:rPr>
                <w:rFonts w:ascii="Calibri" w:hAnsi="Calibri" w:eastAsia="Calibri" w:cs="Calibri"/>
                <w:b w:val="0"/>
                <w:bCs w:val="0"/>
                <w:sz w:val="21"/>
                <w:szCs w:val="21"/>
              </w:rPr>
              <w:t xml:space="preserve">: robota roka (industriāla vai kolaboratīva) un autonoma mobilā platforma (AMR), kas atbilst zemāk </w:t>
            </w:r>
            <w:r>
              <w:rPr>
                <w:rFonts w:hint="default" w:ascii="Calibri" w:hAnsi="Calibri" w:eastAsia="Calibri" w:cs="Calibri"/>
                <w:b w:val="0"/>
                <w:bCs w:val="0"/>
                <w:sz w:val="21"/>
                <w:szCs w:val="21"/>
                <w:lang w:val="lv-LV"/>
              </w:rPr>
              <w:t>iepirkuma</w:t>
            </w:r>
            <w:r>
              <w:rPr>
                <w:rFonts w:ascii="Calibri" w:hAnsi="Calibri" w:eastAsia="Calibri" w:cs="Calibri"/>
                <w:b w:val="0"/>
                <w:bCs w:val="0"/>
                <w:sz w:val="21"/>
                <w:szCs w:val="21"/>
              </w:rPr>
              <w:t xml:space="preserve"> tehnisko parametru kopumam.</w:t>
            </w:r>
          </w:p>
          <w:p w14:paraId="701EBCFE">
            <w:pPr>
              <w:spacing w:after="0"/>
              <w:jc w:val="left"/>
            </w:pPr>
            <w:r>
              <w:rPr>
                <w:rFonts w:hint="default" w:ascii="Calibri" w:hAnsi="Calibri" w:eastAsia="Calibri" w:cs="Calibri"/>
                <w:i/>
                <w:iCs/>
                <w:color w:val="595959"/>
                <w:sz w:val="19"/>
                <w:szCs w:val="19"/>
                <w:lang w:val="lv-LV" w:eastAsia="zh-CN"/>
              </w:rPr>
              <w:t>Supply of c</w:t>
            </w:r>
            <w:r>
              <w:rPr>
                <w:rFonts w:hint="default" w:ascii="Calibri" w:hAnsi="Calibri" w:eastAsia="Calibri" w:cs="Calibri"/>
                <w:i/>
                <w:iCs/>
                <w:color w:val="595959"/>
                <w:sz w:val="19"/>
                <w:szCs w:val="19"/>
                <w:lang w:val="en-US" w:eastAsia="zh-CN"/>
              </w:rPr>
              <w:t xml:space="preserve">omponents for the mobile robot cloud-edge industrial research: a robot arm (industrial or collaborative) and an autonomous mobile platform (AMR) meeting the set of technical parameters specified </w:t>
            </w:r>
            <w:r>
              <w:rPr>
                <w:rFonts w:hint="default" w:ascii="Calibri" w:hAnsi="Calibri" w:eastAsia="Calibri" w:cs="Calibri"/>
                <w:i/>
                <w:iCs/>
                <w:color w:val="595959"/>
                <w:sz w:val="19"/>
                <w:szCs w:val="19"/>
                <w:lang w:val="lv-LV" w:eastAsia="zh-CN"/>
              </w:rPr>
              <w:t>in the tender</w:t>
            </w:r>
            <w:r>
              <w:rPr>
                <w:rFonts w:hint="default" w:ascii="Calibri" w:hAnsi="Calibri" w:eastAsia="Calibri" w:cs="Calibri"/>
                <w:i/>
                <w:iCs/>
                <w:color w:val="595959"/>
                <w:sz w:val="19"/>
                <w:szCs w:val="19"/>
                <w:lang w:val="en-US" w:eastAsia="zh-CN"/>
              </w:rPr>
              <w:t>.</w:t>
            </w:r>
          </w:p>
        </w:tc>
      </w:tr>
      <w:tr w14:paraId="446DD93C">
        <w:tc>
          <w:tcPr>
            <w:tcW w:w="3000" w:type="dxa"/>
            <w:shd w:val="clear" w:color="auto" w:fill="F2F2F2"/>
            <w:tcMar>
              <w:top w:w="80" w:type="dxa"/>
              <w:left w:w="100" w:type="dxa"/>
              <w:bottom w:w="80" w:type="dxa"/>
              <w:right w:w="100" w:type="dxa"/>
            </w:tcMar>
            <w:vAlign w:val="center"/>
          </w:tcPr>
          <w:p w14:paraId="45AF4081">
            <w:pPr>
              <w:spacing w:after="30"/>
              <w:jc w:val="left"/>
            </w:pPr>
            <w:r>
              <w:rPr>
                <w:rFonts w:ascii="Calibri" w:hAnsi="Calibri" w:eastAsia="Calibri" w:cs="Calibri"/>
                <w:b/>
                <w:bCs/>
                <w:sz w:val="21"/>
                <w:szCs w:val="21"/>
              </w:rPr>
              <w:t>Lietošanas mērķis</w:t>
            </w:r>
          </w:p>
          <w:p w14:paraId="7B1C8000">
            <w:pPr>
              <w:spacing w:after="0"/>
              <w:jc w:val="left"/>
            </w:pPr>
            <w:r>
              <w:rPr>
                <w:rFonts w:ascii="Calibri" w:hAnsi="Calibri" w:eastAsia="Calibri" w:cs="Calibri"/>
                <w:i/>
                <w:iCs/>
                <w:color w:val="595959"/>
                <w:sz w:val="19"/>
                <w:szCs w:val="19"/>
              </w:rPr>
              <w:t>Purpose of use</w:t>
            </w:r>
          </w:p>
        </w:tc>
        <w:tc>
          <w:tcPr>
            <w:tcW w:w="6350" w:type="dxa"/>
            <w:tcMar>
              <w:top w:w="80" w:type="dxa"/>
              <w:left w:w="100" w:type="dxa"/>
              <w:bottom w:w="80" w:type="dxa"/>
              <w:right w:w="100" w:type="dxa"/>
            </w:tcMar>
            <w:vAlign w:val="center"/>
          </w:tcPr>
          <w:p w14:paraId="318F7226">
            <w:pPr>
              <w:spacing w:after="30"/>
              <w:jc w:val="left"/>
            </w:pPr>
            <w:r>
              <w:rPr>
                <w:rFonts w:ascii="Calibri" w:hAnsi="Calibri" w:eastAsia="Calibri" w:cs="Calibri"/>
                <w:b w:val="0"/>
                <w:bCs w:val="0"/>
                <w:sz w:val="21"/>
                <w:szCs w:val="21"/>
              </w:rPr>
              <w:t>Iegādātās komponentes ir paredzētas prototipa izstrādei. Piedāvātajam risinājumam jābūt piemērotam pētniecības un attīstības (P&amp;A) videi, tai skaitā elastīgai pārkonfigurēšanai un integrācijai ar citām prototipa sastāvdaļām.</w:t>
            </w:r>
          </w:p>
          <w:p w14:paraId="54DD718F">
            <w:pPr>
              <w:spacing w:after="0"/>
              <w:jc w:val="left"/>
            </w:pPr>
            <w:r>
              <w:rPr>
                <w:rFonts w:ascii="Calibri" w:hAnsi="Calibri" w:eastAsia="Calibri" w:cs="Calibri"/>
                <w:i/>
                <w:iCs/>
                <w:color w:val="595959"/>
                <w:sz w:val="19"/>
                <w:szCs w:val="19"/>
              </w:rPr>
              <w:t>The procured components are intended for prototype development. The offered solution must be suitable for a research and development (R&amp;D) environment, including flexible reconfiguration and integration with other parts of the prototype.</w:t>
            </w:r>
          </w:p>
        </w:tc>
      </w:tr>
      <w:tr w14:paraId="668FBE4F">
        <w:tc>
          <w:tcPr>
            <w:tcW w:w="3000" w:type="dxa"/>
            <w:shd w:val="clear" w:color="auto" w:fill="F2F2F2"/>
            <w:tcMar>
              <w:top w:w="80" w:type="dxa"/>
              <w:left w:w="100" w:type="dxa"/>
              <w:bottom w:w="80" w:type="dxa"/>
              <w:right w:w="100" w:type="dxa"/>
            </w:tcMar>
            <w:vAlign w:val="center"/>
          </w:tcPr>
          <w:p w14:paraId="1BAE7130">
            <w:pPr>
              <w:spacing w:after="30"/>
              <w:jc w:val="left"/>
            </w:pPr>
            <w:r>
              <w:rPr>
                <w:rFonts w:ascii="Calibri" w:hAnsi="Calibri" w:eastAsia="Calibri" w:cs="Calibri"/>
                <w:b/>
                <w:bCs/>
                <w:sz w:val="21"/>
                <w:szCs w:val="21"/>
              </w:rPr>
              <w:t>Piegādes laiks</w:t>
            </w:r>
          </w:p>
          <w:p w14:paraId="20D02964">
            <w:pPr>
              <w:spacing w:after="0"/>
              <w:jc w:val="left"/>
            </w:pPr>
            <w:r>
              <w:rPr>
                <w:rFonts w:ascii="Calibri" w:hAnsi="Calibri" w:eastAsia="Calibri" w:cs="Calibri"/>
                <w:i/>
                <w:iCs/>
                <w:color w:val="595959"/>
                <w:sz w:val="19"/>
                <w:szCs w:val="19"/>
              </w:rPr>
              <w:t>Delivery time</w:t>
            </w:r>
          </w:p>
        </w:tc>
        <w:tc>
          <w:tcPr>
            <w:tcW w:w="6350" w:type="dxa"/>
            <w:tcMar>
              <w:top w:w="80" w:type="dxa"/>
              <w:left w:w="100" w:type="dxa"/>
              <w:bottom w:w="80" w:type="dxa"/>
              <w:right w:w="100" w:type="dxa"/>
            </w:tcMar>
            <w:vAlign w:val="center"/>
          </w:tcPr>
          <w:p w14:paraId="09DED80F">
            <w:pPr>
              <w:spacing w:after="30"/>
              <w:jc w:val="left"/>
            </w:pPr>
            <w:r>
              <w:rPr>
                <w:rFonts w:ascii="Calibri" w:hAnsi="Calibri" w:eastAsia="Calibri" w:cs="Calibri"/>
                <w:b w:val="0"/>
                <w:bCs w:val="0"/>
                <w:sz w:val="21"/>
                <w:szCs w:val="21"/>
              </w:rPr>
              <w:t xml:space="preserve">Ne vēlāk kā </w:t>
            </w:r>
            <w:r>
              <w:rPr>
                <w:rFonts w:hint="default" w:ascii="Calibri" w:hAnsi="Calibri" w:eastAsia="Calibri" w:cs="Calibri"/>
                <w:b w:val="0"/>
                <w:bCs w:val="0"/>
                <w:sz w:val="21"/>
                <w:szCs w:val="21"/>
                <w:lang w:val="lv-LV"/>
              </w:rPr>
              <w:t>10</w:t>
            </w:r>
            <w:r>
              <w:rPr>
                <w:rFonts w:ascii="Calibri" w:hAnsi="Calibri" w:eastAsia="Calibri" w:cs="Calibri"/>
                <w:b w:val="0"/>
                <w:bCs w:val="0"/>
                <w:sz w:val="21"/>
                <w:szCs w:val="21"/>
              </w:rPr>
              <w:t xml:space="preserve"> nedēļu laikā no līguma noslēgšanas brīža</w:t>
            </w:r>
            <w:r>
              <w:rPr>
                <w:rFonts w:hint="default" w:ascii="Calibri" w:hAnsi="Calibri" w:eastAsia="Calibri" w:cs="Calibri"/>
                <w:b w:val="0"/>
                <w:bCs w:val="0"/>
                <w:sz w:val="21"/>
                <w:szCs w:val="21"/>
                <w:lang w:val="lv-LV"/>
              </w:rPr>
              <w:t xml:space="preserve"> (atbilstoši piedāvājumam)</w:t>
            </w:r>
            <w:r>
              <w:rPr>
                <w:rFonts w:ascii="Calibri" w:hAnsi="Calibri" w:eastAsia="Calibri" w:cs="Calibri"/>
                <w:b w:val="0"/>
                <w:bCs w:val="0"/>
                <w:sz w:val="21"/>
                <w:szCs w:val="21"/>
              </w:rPr>
              <w:t>.</w:t>
            </w:r>
          </w:p>
          <w:p w14:paraId="3770819D">
            <w:pPr>
              <w:spacing w:after="0"/>
              <w:jc w:val="left"/>
            </w:pPr>
            <w:r>
              <w:rPr>
                <w:rFonts w:ascii="Calibri" w:hAnsi="Calibri" w:eastAsia="Calibri" w:cs="Calibri"/>
                <w:i/>
                <w:iCs/>
                <w:color w:val="595959"/>
                <w:sz w:val="19"/>
                <w:szCs w:val="19"/>
              </w:rPr>
              <w:t xml:space="preserve">No later than </w:t>
            </w:r>
            <w:r>
              <w:rPr>
                <w:rFonts w:hint="default" w:ascii="Calibri" w:hAnsi="Calibri" w:eastAsia="Calibri" w:cs="Calibri"/>
                <w:i/>
                <w:iCs/>
                <w:color w:val="595959"/>
                <w:sz w:val="19"/>
                <w:szCs w:val="19"/>
                <w:lang w:val="lv-LV"/>
              </w:rPr>
              <w:t>10</w:t>
            </w:r>
            <w:r>
              <w:rPr>
                <w:rFonts w:ascii="Calibri" w:hAnsi="Calibri" w:eastAsia="Calibri" w:cs="Calibri"/>
                <w:i/>
                <w:iCs/>
                <w:color w:val="595959"/>
                <w:sz w:val="19"/>
                <w:szCs w:val="19"/>
              </w:rPr>
              <w:t xml:space="preserve"> weeks from the date of contract signature</w:t>
            </w:r>
            <w:r>
              <w:rPr>
                <w:rFonts w:hint="default" w:ascii="Calibri" w:hAnsi="Calibri" w:eastAsia="Calibri" w:cs="Calibri"/>
                <w:i/>
                <w:iCs/>
                <w:color w:val="595959"/>
                <w:sz w:val="19"/>
                <w:szCs w:val="19"/>
                <w:lang w:val="lv-LV"/>
              </w:rPr>
              <w:t xml:space="preserve"> (according to the offer)</w:t>
            </w:r>
            <w:r>
              <w:rPr>
                <w:rFonts w:ascii="Calibri" w:hAnsi="Calibri" w:eastAsia="Calibri" w:cs="Calibri"/>
                <w:i/>
                <w:iCs/>
                <w:color w:val="595959"/>
                <w:sz w:val="19"/>
                <w:szCs w:val="19"/>
              </w:rPr>
              <w:t>.</w:t>
            </w:r>
          </w:p>
        </w:tc>
      </w:tr>
    </w:tbl>
    <w:p w14:paraId="6DCC93D3">
      <w:pPr>
        <w:spacing w:before="200" w:after="0"/>
      </w:pPr>
    </w:p>
    <w:p w14:paraId="299C325D">
      <w:pPr>
        <w:spacing w:after="30"/>
      </w:pPr>
      <w:r>
        <w:rPr>
          <w:rFonts w:ascii="Calibri" w:hAnsi="Calibri" w:eastAsia="Calibri" w:cs="Calibri"/>
          <w:b/>
          <w:bCs/>
          <w:sz w:val="23"/>
          <w:szCs w:val="23"/>
        </w:rPr>
        <w:t>3. Piedāvājuma iesniegšana</w:t>
      </w:r>
    </w:p>
    <w:p w14:paraId="0478C05A">
      <w:pPr>
        <w:spacing w:after="150"/>
      </w:pPr>
      <w:r>
        <w:rPr>
          <w:rFonts w:ascii="Calibri" w:hAnsi="Calibri" w:eastAsia="Calibri" w:cs="Calibri"/>
          <w:b/>
          <w:bCs/>
          <w:i/>
          <w:iCs/>
          <w:color w:val="595959"/>
          <w:sz w:val="21"/>
          <w:szCs w:val="21"/>
        </w:rPr>
        <w:t>3. Submission of tenders</w:t>
      </w:r>
    </w:p>
    <w:tbl>
      <w:tblPr>
        <w:tblStyle w:val="10"/>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00"/>
        <w:gridCol w:w="8450"/>
      </w:tblGrid>
      <w:tr w14:paraId="14EBB1C8">
        <w:tc>
          <w:tcPr>
            <w:tcW w:w="900" w:type="dxa"/>
            <w:tcMar>
              <w:top w:w="80" w:type="dxa"/>
              <w:left w:w="100" w:type="dxa"/>
              <w:bottom w:w="80" w:type="dxa"/>
              <w:right w:w="100" w:type="dxa"/>
            </w:tcMar>
            <w:vAlign w:val="center"/>
          </w:tcPr>
          <w:p w14:paraId="7D5D518C">
            <w:pPr>
              <w:spacing w:after="100"/>
              <w:jc w:val="left"/>
            </w:pPr>
            <w:r>
              <w:rPr>
                <w:rFonts w:ascii="Calibri" w:hAnsi="Calibri" w:eastAsia="Calibri" w:cs="Calibri"/>
                <w:b/>
                <w:bCs/>
                <w:i w:val="0"/>
                <w:iCs w:val="0"/>
                <w:sz w:val="21"/>
                <w:szCs w:val="21"/>
              </w:rPr>
              <w:t>3.1.</w:t>
            </w:r>
          </w:p>
        </w:tc>
        <w:tc>
          <w:tcPr>
            <w:tcW w:w="8450" w:type="dxa"/>
            <w:tcMar>
              <w:top w:w="80" w:type="dxa"/>
              <w:left w:w="100" w:type="dxa"/>
              <w:bottom w:w="80" w:type="dxa"/>
              <w:right w:w="100" w:type="dxa"/>
            </w:tcMar>
            <w:vAlign w:val="center"/>
          </w:tcPr>
          <w:p w14:paraId="0636D14F">
            <w:pPr>
              <w:spacing w:after="30"/>
              <w:jc w:val="left"/>
              <w:rPr>
                <w:rFonts w:hint="default"/>
                <w:lang w:val="lv-LV"/>
              </w:rPr>
            </w:pPr>
            <w:r>
              <w:rPr>
                <w:rFonts w:ascii="Calibri" w:hAnsi="Calibri" w:eastAsia="Calibri" w:cs="Calibri"/>
                <w:b w:val="0"/>
                <w:bCs w:val="0"/>
                <w:sz w:val="21"/>
                <w:szCs w:val="21"/>
              </w:rPr>
              <w:t xml:space="preserve">Piedāvājumi kopā ar aizpildītu tehnisko un finanšu piedāvājuma veidlapu, kā norādīts šajā dokumentā, iesniedzami elektroniski uz e-pastu </w:t>
            </w:r>
            <w:r>
              <w:rPr>
                <w:rFonts w:ascii="Calibri" w:hAnsi="Calibri" w:eastAsia="Calibri" w:cs="Calibri"/>
                <w:b w:val="0"/>
                <w:bCs w:val="0"/>
                <w:sz w:val="21"/>
                <w:szCs w:val="21"/>
              </w:rPr>
              <w:fldChar w:fldCharType="begin"/>
            </w:r>
            <w:r>
              <w:rPr>
                <w:rFonts w:ascii="Calibri" w:hAnsi="Calibri" w:eastAsia="Calibri" w:cs="Calibri"/>
                <w:b w:val="0"/>
                <w:bCs w:val="0"/>
                <w:sz w:val="21"/>
                <w:szCs w:val="21"/>
              </w:rPr>
              <w:instrText xml:space="preserve"> HYPERLINK "mailto:info@aspired.lv" </w:instrText>
            </w:r>
            <w:r>
              <w:rPr>
                <w:rFonts w:ascii="Calibri" w:hAnsi="Calibri" w:eastAsia="Calibri" w:cs="Calibri"/>
                <w:b w:val="0"/>
                <w:bCs w:val="0"/>
                <w:sz w:val="21"/>
                <w:szCs w:val="21"/>
              </w:rPr>
              <w:fldChar w:fldCharType="separate"/>
            </w:r>
            <w:r>
              <w:rPr>
                <w:rStyle w:val="16"/>
                <w:rFonts w:ascii="Calibri" w:hAnsi="Calibri" w:eastAsia="Calibri" w:cs="Calibri"/>
                <w:b w:val="0"/>
                <w:bCs w:val="0"/>
                <w:sz w:val="21"/>
                <w:szCs w:val="21"/>
              </w:rPr>
              <w:t>info@aspired.lv</w:t>
            </w:r>
            <w:r>
              <w:rPr>
                <w:rFonts w:ascii="Calibri" w:hAnsi="Calibri" w:eastAsia="Calibri" w:cs="Calibri"/>
                <w:b w:val="0"/>
                <w:bCs w:val="0"/>
                <w:sz w:val="21"/>
                <w:szCs w:val="21"/>
              </w:rPr>
              <w:fldChar w:fldCharType="end"/>
            </w:r>
            <w:r>
              <w:rPr>
                <w:rFonts w:hint="default" w:ascii="Calibri" w:hAnsi="Calibri" w:eastAsia="Calibri" w:cs="Calibri"/>
                <w:b w:val="0"/>
                <w:bCs w:val="0"/>
                <w:sz w:val="21"/>
                <w:szCs w:val="21"/>
                <w:lang w:val="lv-LV"/>
              </w:rPr>
              <w:t xml:space="preserve"> ne vēlāk kā līdz 2026.gada 1.oktobrim 12:00 pēc Latvijas laika.</w:t>
            </w:r>
          </w:p>
          <w:p w14:paraId="72E7EC04">
            <w:pPr>
              <w:keepNext w:val="0"/>
              <w:keepLines w:val="0"/>
              <w:widowControl/>
              <w:suppressLineNumbers w:val="0"/>
              <w:jc w:val="left"/>
              <w:rPr>
                <w:rFonts w:hint="default"/>
                <w:lang w:val="lv-LV"/>
              </w:rPr>
            </w:pPr>
            <w:r>
              <w:rPr>
                <w:rFonts w:ascii="Calibri" w:hAnsi="Calibri" w:eastAsia="Calibri" w:cs="Calibri"/>
                <w:i/>
                <w:iCs/>
                <w:color w:val="595959"/>
                <w:sz w:val="19"/>
                <w:szCs w:val="19"/>
              </w:rPr>
              <w:t>Tenders, together with the completed technical and financial offer form as specified in this document, shall be submitted electronicall</w:t>
            </w:r>
            <w:r>
              <w:rPr>
                <w:rFonts w:ascii="Calibri" w:hAnsi="Calibri" w:eastAsia="Calibri" w:cs="Calibri"/>
                <w:i/>
                <w:iCs/>
                <w:color w:val="595959"/>
                <w:sz w:val="19"/>
                <w:szCs w:val="19"/>
              </w:rPr>
              <w:t xml:space="preserve">y to </w:t>
            </w:r>
            <w:r>
              <w:rPr>
                <w:rFonts w:ascii="Calibri" w:hAnsi="Calibri" w:eastAsia="Calibri" w:cs="Calibri"/>
                <w:i/>
                <w:iCs/>
                <w:color w:val="595959"/>
                <w:sz w:val="19"/>
                <w:szCs w:val="19"/>
              </w:rPr>
              <w:fldChar w:fldCharType="begin"/>
            </w:r>
            <w:r>
              <w:rPr>
                <w:rFonts w:ascii="Calibri" w:hAnsi="Calibri" w:eastAsia="Calibri" w:cs="Calibri"/>
                <w:i/>
                <w:iCs/>
                <w:color w:val="595959"/>
                <w:sz w:val="19"/>
                <w:szCs w:val="19"/>
              </w:rPr>
              <w:instrText xml:space="preserve"> HYPERLINK "mailto:info@aspired.lv" </w:instrText>
            </w:r>
            <w:r>
              <w:rPr>
                <w:rFonts w:ascii="Calibri" w:hAnsi="Calibri" w:eastAsia="Calibri" w:cs="Calibri"/>
                <w:i/>
                <w:iCs/>
                <w:color w:val="595959"/>
                <w:sz w:val="19"/>
                <w:szCs w:val="19"/>
              </w:rPr>
              <w:fldChar w:fldCharType="separate"/>
            </w:r>
            <w:r>
              <w:rPr>
                <w:rFonts w:ascii="Calibri" w:hAnsi="Calibri" w:eastAsia="Calibri" w:cs="Calibri"/>
                <w:i/>
                <w:iCs/>
                <w:color w:val="595959"/>
                <w:sz w:val="19"/>
                <w:szCs w:val="19"/>
              </w:rPr>
              <w:t>info@aspired.lv</w:t>
            </w:r>
            <w:r>
              <w:rPr>
                <w:rFonts w:ascii="Calibri" w:hAnsi="Calibri" w:eastAsia="Calibri" w:cs="Calibri"/>
                <w:i/>
                <w:iCs/>
                <w:color w:val="595959"/>
                <w:sz w:val="19"/>
                <w:szCs w:val="19"/>
              </w:rPr>
              <w:fldChar w:fldCharType="end"/>
            </w:r>
            <w:r>
              <w:rPr>
                <w:rFonts w:hint="default" w:ascii="Calibri" w:hAnsi="Calibri" w:eastAsia="Calibri" w:cs="Calibri"/>
                <w:i/>
                <w:iCs/>
                <w:color w:val="595959"/>
                <w:sz w:val="19"/>
                <w:szCs w:val="19"/>
                <w:lang w:val="lv-LV"/>
              </w:rPr>
              <w:t xml:space="preserve"> </w:t>
            </w:r>
            <w:r>
              <w:rPr>
                <w:rFonts w:ascii="Calibri" w:hAnsi="Calibri" w:eastAsia="Calibri" w:cs="Calibri"/>
                <w:i/>
                <w:iCs/>
                <w:color w:val="595959"/>
                <w:sz w:val="19"/>
                <w:szCs w:val="19"/>
                <w:lang w:val="en-US" w:eastAsia="zh-CN"/>
              </w:rPr>
              <w:t>no later than 1</w:t>
            </w:r>
            <w:r>
              <w:rPr>
                <w:rFonts w:hint="default" w:ascii="Calibri" w:hAnsi="Calibri" w:eastAsia="Calibri" w:cs="Calibri"/>
                <w:i/>
                <w:iCs/>
                <w:color w:val="595959"/>
                <w:sz w:val="19"/>
                <w:szCs w:val="19"/>
                <w:vertAlign w:val="superscript"/>
                <w:lang w:val="lv-LV" w:eastAsia="zh-CN"/>
              </w:rPr>
              <w:t>st</w:t>
            </w:r>
            <w:r>
              <w:rPr>
                <w:rFonts w:hint="default" w:ascii="Calibri" w:hAnsi="Calibri" w:eastAsia="Calibri" w:cs="Calibri"/>
                <w:i/>
                <w:iCs/>
                <w:color w:val="595959"/>
                <w:sz w:val="19"/>
                <w:szCs w:val="19"/>
                <w:lang w:val="lv-LV" w:eastAsia="zh-CN"/>
              </w:rPr>
              <w:t xml:space="preserve"> of</w:t>
            </w:r>
            <w:r>
              <w:rPr>
                <w:rFonts w:ascii="Calibri" w:hAnsi="Calibri" w:eastAsia="Calibri" w:cs="Calibri"/>
                <w:i/>
                <w:iCs/>
                <w:color w:val="595959"/>
                <w:sz w:val="19"/>
                <w:szCs w:val="19"/>
                <w:lang w:val="en-US" w:eastAsia="zh-CN"/>
              </w:rPr>
              <w:t xml:space="preserve"> October 2026, 12:00 (Latvia time).</w:t>
            </w:r>
            <w:bookmarkStart w:id="1" w:name="_GoBack"/>
            <w:bookmarkEnd w:id="1"/>
          </w:p>
        </w:tc>
      </w:tr>
      <w:tr w14:paraId="0F678B69">
        <w:tc>
          <w:tcPr>
            <w:tcW w:w="900" w:type="dxa"/>
            <w:tcMar>
              <w:top w:w="80" w:type="dxa"/>
              <w:left w:w="100" w:type="dxa"/>
              <w:bottom w:w="80" w:type="dxa"/>
              <w:right w:w="100" w:type="dxa"/>
            </w:tcMar>
            <w:vAlign w:val="center"/>
          </w:tcPr>
          <w:p w14:paraId="0A0B6E1F">
            <w:pPr>
              <w:spacing w:after="100"/>
              <w:jc w:val="left"/>
            </w:pPr>
            <w:r>
              <w:rPr>
                <w:rFonts w:ascii="Calibri" w:hAnsi="Calibri" w:eastAsia="Calibri" w:cs="Calibri"/>
                <w:b/>
                <w:bCs/>
                <w:i w:val="0"/>
                <w:iCs w:val="0"/>
                <w:sz w:val="21"/>
                <w:szCs w:val="21"/>
              </w:rPr>
              <w:t>3.2.</w:t>
            </w:r>
          </w:p>
        </w:tc>
        <w:tc>
          <w:tcPr>
            <w:tcW w:w="8450" w:type="dxa"/>
            <w:tcMar>
              <w:top w:w="80" w:type="dxa"/>
              <w:left w:w="100" w:type="dxa"/>
              <w:bottom w:w="80" w:type="dxa"/>
              <w:right w:w="100" w:type="dxa"/>
            </w:tcMar>
            <w:vAlign w:val="center"/>
          </w:tcPr>
          <w:p w14:paraId="772D34CB">
            <w:pPr>
              <w:spacing w:after="30"/>
              <w:jc w:val="left"/>
            </w:pPr>
            <w:r>
              <w:rPr>
                <w:rFonts w:ascii="Calibri" w:hAnsi="Calibri" w:eastAsia="Calibri" w:cs="Calibri"/>
                <w:b w:val="0"/>
                <w:bCs w:val="0"/>
                <w:sz w:val="21"/>
                <w:szCs w:val="21"/>
              </w:rPr>
              <w:t>Pretendentam jānorāda visas piemērojamās papildu pozīcijas un atlaides/atskaitījumus (skat. 4. sadaļu), t.sk. vai mobilā platforma tiek piedāvāta ar uzlādes staciju vai bez tās.</w:t>
            </w:r>
          </w:p>
          <w:p w14:paraId="110879DD">
            <w:pPr>
              <w:spacing w:after="0"/>
              <w:jc w:val="left"/>
            </w:pPr>
            <w:r>
              <w:rPr>
                <w:rFonts w:ascii="Calibri" w:hAnsi="Calibri" w:eastAsia="Calibri" w:cs="Calibri"/>
                <w:i/>
                <w:iCs/>
                <w:color w:val="595959"/>
                <w:sz w:val="19"/>
                <w:szCs w:val="19"/>
              </w:rPr>
              <w:t>The bidder must specify all applicable additional items and deductions (see Section 4), including whether the mobile platform is offered with or without a charging station.</w:t>
            </w:r>
          </w:p>
        </w:tc>
      </w:tr>
      <w:tr w14:paraId="564F8F98">
        <w:tc>
          <w:tcPr>
            <w:tcW w:w="900" w:type="dxa"/>
            <w:tcMar>
              <w:top w:w="80" w:type="dxa"/>
              <w:left w:w="100" w:type="dxa"/>
              <w:bottom w:w="80" w:type="dxa"/>
              <w:right w:w="100" w:type="dxa"/>
            </w:tcMar>
            <w:vAlign w:val="center"/>
          </w:tcPr>
          <w:p w14:paraId="17E2A40B">
            <w:pPr>
              <w:spacing w:after="100"/>
              <w:jc w:val="left"/>
            </w:pPr>
            <w:r>
              <w:rPr>
                <w:rFonts w:ascii="Calibri" w:hAnsi="Calibri" w:eastAsia="Calibri" w:cs="Calibri"/>
                <w:b/>
                <w:bCs/>
                <w:i w:val="0"/>
                <w:iCs w:val="0"/>
                <w:sz w:val="21"/>
                <w:szCs w:val="21"/>
              </w:rPr>
              <w:t>3.3.</w:t>
            </w:r>
          </w:p>
        </w:tc>
        <w:tc>
          <w:tcPr>
            <w:tcW w:w="8450" w:type="dxa"/>
            <w:tcMar>
              <w:top w:w="80" w:type="dxa"/>
              <w:left w:w="100" w:type="dxa"/>
              <w:bottom w:w="80" w:type="dxa"/>
              <w:right w:w="100" w:type="dxa"/>
            </w:tcMar>
            <w:vAlign w:val="center"/>
          </w:tcPr>
          <w:p w14:paraId="6E2EB00B">
            <w:pPr>
              <w:spacing w:after="30"/>
              <w:jc w:val="left"/>
            </w:pPr>
            <w:r>
              <w:rPr>
                <w:rFonts w:ascii="Calibri" w:hAnsi="Calibri" w:eastAsia="Calibri" w:cs="Calibri"/>
                <w:b w:val="0"/>
                <w:bCs w:val="0"/>
                <w:sz w:val="21"/>
                <w:szCs w:val="21"/>
              </w:rPr>
              <w:t>Pretendentam ir tiesības grozīt vai atsaukt savu piedāvājumu līdz piedāvājumu iesniegšanas termiņa beigām.</w:t>
            </w:r>
          </w:p>
          <w:p w14:paraId="430CA58B">
            <w:pPr>
              <w:spacing w:after="0"/>
              <w:jc w:val="left"/>
            </w:pPr>
            <w:r>
              <w:rPr>
                <w:rFonts w:ascii="Calibri" w:hAnsi="Calibri" w:eastAsia="Calibri" w:cs="Calibri"/>
                <w:i/>
                <w:iCs/>
                <w:color w:val="595959"/>
                <w:sz w:val="19"/>
                <w:szCs w:val="19"/>
              </w:rPr>
              <w:t>The bidder has the right to amend or withdraw its tender until the deadline for submission of tenders.</w:t>
            </w:r>
          </w:p>
        </w:tc>
      </w:tr>
    </w:tbl>
    <w:p w14:paraId="18E760B3">
      <w:pPr>
        <w:spacing w:before="200" w:after="0"/>
      </w:pPr>
    </w:p>
    <w:p w14:paraId="6BAAD2E6">
      <w:pPr>
        <w:spacing w:after="30"/>
      </w:pPr>
      <w:r>
        <w:rPr>
          <w:rFonts w:ascii="Calibri" w:hAnsi="Calibri" w:eastAsia="Calibri" w:cs="Calibri"/>
          <w:b/>
          <w:bCs/>
          <w:sz w:val="23"/>
          <w:szCs w:val="23"/>
        </w:rPr>
        <w:t>4. Tehniskās specifikācijas</w:t>
      </w:r>
    </w:p>
    <w:p w14:paraId="32E38816">
      <w:pPr>
        <w:spacing w:after="150"/>
        <w:rPr>
          <w:rFonts w:ascii="Calibri" w:hAnsi="Calibri" w:eastAsia="Calibri" w:cs="Calibri"/>
          <w:b/>
          <w:bCs/>
          <w:i/>
          <w:iCs/>
          <w:color w:val="595959"/>
          <w:sz w:val="21"/>
          <w:szCs w:val="21"/>
        </w:rPr>
      </w:pPr>
      <w:r>
        <w:rPr>
          <w:rFonts w:ascii="Calibri" w:hAnsi="Calibri" w:eastAsia="Calibri" w:cs="Calibri"/>
          <w:b/>
          <w:bCs/>
          <w:i/>
          <w:iCs/>
          <w:color w:val="595959"/>
          <w:sz w:val="21"/>
          <w:szCs w:val="21"/>
        </w:rPr>
        <w:t>4. Technical specifications</w:t>
      </w:r>
    </w:p>
    <w:p w14:paraId="32AAA001">
      <w:pPr>
        <w:pStyle w:val="23"/>
        <w:rPr>
          <w:rFonts w:ascii="Calibri" w:hAnsi="Calibri" w:eastAsia="Calibri" w:cs="Calibri"/>
          <w:b w:val="0"/>
          <w:bCs w:val="0"/>
          <w:sz w:val="21"/>
          <w:szCs w:val="21"/>
        </w:rPr>
      </w:pPr>
      <w:r>
        <w:rPr>
          <w:rFonts w:ascii="Calibri" w:hAnsi="Calibri" w:eastAsia="Calibri" w:cs="Calibri"/>
          <w:b w:val="0"/>
          <w:bCs w:val="0"/>
          <w:sz w:val="21"/>
          <w:szCs w:val="21"/>
        </w:rPr>
        <w:t>Tehniskā specifikācija vienlaikus ir tehniskā piedāvājuma veidlapa.</w:t>
      </w:r>
      <w:r>
        <w:rPr>
          <w:rFonts w:hint="default" w:ascii="Calibri" w:hAnsi="Calibri" w:eastAsia="Calibri" w:cs="Calibri"/>
          <w:b w:val="0"/>
          <w:bCs w:val="0"/>
          <w:sz w:val="21"/>
          <w:szCs w:val="21"/>
          <w:lang w:val="lv-LV"/>
        </w:rPr>
        <w:t xml:space="preserve"> </w:t>
      </w:r>
      <w:r>
        <w:rPr>
          <w:rFonts w:ascii="Calibri" w:hAnsi="Calibri" w:eastAsia="Calibri" w:cs="Calibri"/>
          <w:b w:val="0"/>
          <w:bCs w:val="0"/>
          <w:sz w:val="21"/>
          <w:szCs w:val="21"/>
        </w:rPr>
        <w:t>Tehniskā specifikācij</w:t>
      </w:r>
      <w:r>
        <w:rPr>
          <w:rFonts w:hint="default" w:ascii="Calibri" w:hAnsi="Calibri" w:eastAsia="Calibri" w:cs="Calibri"/>
          <w:b w:val="0"/>
          <w:bCs w:val="0"/>
          <w:sz w:val="21"/>
          <w:szCs w:val="21"/>
          <w:lang w:val="lv-LV"/>
        </w:rPr>
        <w:t>ā</w:t>
      </w:r>
      <w:r>
        <w:rPr>
          <w:rFonts w:ascii="Calibri" w:hAnsi="Calibri" w:eastAsia="Calibri" w:cs="Calibri"/>
          <w:b w:val="0"/>
          <w:bCs w:val="0"/>
          <w:sz w:val="21"/>
          <w:szCs w:val="21"/>
        </w:rPr>
        <w:t xml:space="preserve"> Pretendents aizpilda katras prasības atbilstības kolonnu, norādot “Atbilst” vai “Neatbilst” un īsu izpildes aprakstu</w:t>
      </w:r>
      <w:r>
        <w:rPr>
          <w:rFonts w:hint="default" w:ascii="Calibri" w:hAnsi="Calibri" w:eastAsia="Calibri" w:cs="Calibri"/>
          <w:b w:val="0"/>
          <w:bCs w:val="0"/>
          <w:sz w:val="21"/>
          <w:szCs w:val="21"/>
          <w:lang w:val="lv-LV"/>
        </w:rPr>
        <w:t xml:space="preserve"> (kur prasīts)</w:t>
      </w:r>
      <w:r>
        <w:rPr>
          <w:rFonts w:ascii="Calibri" w:hAnsi="Calibri" w:eastAsia="Calibri" w:cs="Calibri"/>
          <w:b w:val="0"/>
          <w:bCs w:val="0"/>
          <w:sz w:val="21"/>
          <w:szCs w:val="21"/>
        </w:rPr>
        <w:t xml:space="preserve">: ražotāju, modeli vai tipu un galvenos tehniskos parametrus ar skaitlisko vērtību, ja prasība noteikta skaitliski. </w:t>
      </w:r>
    </w:p>
    <w:p w14:paraId="36C856F3">
      <w:pPr>
        <w:pStyle w:val="4"/>
      </w:pPr>
      <w:r>
        <w:rPr>
          <w:rFonts w:hint="default" w:ascii="Calibri" w:hAnsi="Calibri" w:eastAsia="Calibri" w:cs="Calibri"/>
          <w:b w:val="0"/>
          <w:bCs w:val="0"/>
          <w:sz w:val="21"/>
          <w:szCs w:val="21"/>
          <w:lang w:val="lv-LV"/>
        </w:rPr>
        <w:t>Visām komponentēm jābūt jaunām un nelietotām.</w:t>
      </w:r>
    </w:p>
    <w:p w14:paraId="08619BFD">
      <w:pPr>
        <w:spacing w:after="150"/>
        <w:rPr>
          <w:rFonts w:ascii="Calibri" w:hAnsi="Calibri" w:eastAsia="Calibri" w:cs="Calibri"/>
          <w:i/>
          <w:iCs/>
          <w:color w:val="595959"/>
          <w:sz w:val="19"/>
          <w:szCs w:val="19"/>
          <w:lang w:val="en-US"/>
        </w:rPr>
      </w:pPr>
      <w:r>
        <w:rPr>
          <w:rFonts w:ascii="Calibri" w:hAnsi="Calibri" w:eastAsia="Calibri" w:cs="Calibri"/>
          <w:i/>
          <w:iCs/>
          <w:color w:val="595959"/>
          <w:sz w:val="19"/>
          <w:szCs w:val="19"/>
        </w:rPr>
        <w:t xml:space="preserve">The technical specification also serves as the technical tender form. </w:t>
      </w:r>
      <w:r>
        <w:rPr>
          <w:rFonts w:hint="default" w:ascii="Calibri" w:hAnsi="Calibri" w:eastAsia="Calibri" w:cs="Calibri"/>
          <w:i/>
          <w:iCs/>
          <w:color w:val="595959"/>
          <w:sz w:val="19"/>
          <w:szCs w:val="19"/>
          <w:lang w:val="lv-LV"/>
        </w:rPr>
        <w:t>In t</w:t>
      </w:r>
      <w:r>
        <w:rPr>
          <w:rFonts w:ascii="Calibri" w:hAnsi="Calibri" w:eastAsia="Calibri" w:cs="Calibri"/>
          <w:i/>
          <w:iCs/>
          <w:color w:val="595959"/>
          <w:sz w:val="19"/>
          <w:szCs w:val="19"/>
          <w:lang w:val="en-US"/>
        </w:rPr>
        <w:t xml:space="preserve">he technical specification </w:t>
      </w:r>
      <w:r>
        <w:rPr>
          <w:rFonts w:hint="default" w:ascii="Calibri" w:hAnsi="Calibri" w:eastAsia="Calibri" w:cs="Calibri"/>
          <w:i/>
          <w:iCs/>
          <w:color w:val="595959"/>
          <w:sz w:val="19"/>
          <w:szCs w:val="19"/>
          <w:lang w:val="lv-LV"/>
        </w:rPr>
        <w:t>t</w:t>
      </w:r>
      <w:r>
        <w:rPr>
          <w:rFonts w:ascii="Calibri" w:hAnsi="Calibri" w:eastAsia="Calibri" w:cs="Calibri"/>
          <w:i/>
          <w:iCs/>
          <w:color w:val="595959"/>
          <w:sz w:val="19"/>
          <w:szCs w:val="19"/>
          <w:lang w:val="en-US"/>
        </w:rPr>
        <w:t xml:space="preserve">he tenderer completes the compliance column for every requirement, stating “Complies” or “Does not comply” together with a short description </w:t>
      </w:r>
      <w:r>
        <w:rPr>
          <w:rFonts w:hint="default" w:ascii="Calibri" w:hAnsi="Calibri" w:eastAsia="Calibri" w:cs="Calibri"/>
          <w:i/>
          <w:iCs/>
          <w:color w:val="595959"/>
          <w:sz w:val="19"/>
          <w:szCs w:val="19"/>
          <w:lang w:val="lv-LV"/>
        </w:rPr>
        <w:t xml:space="preserve">(where applicable) </w:t>
      </w:r>
      <w:r>
        <w:rPr>
          <w:rFonts w:ascii="Calibri" w:hAnsi="Calibri" w:eastAsia="Calibri" w:cs="Calibri"/>
          <w:i/>
          <w:iCs/>
          <w:color w:val="595959"/>
          <w:sz w:val="19"/>
          <w:szCs w:val="19"/>
          <w:lang w:val="en-US"/>
        </w:rPr>
        <w:t xml:space="preserve">of how it is met: the manufacturer, model or type and the main technical parameters with numerical values where the requirement is expressed numerically. </w:t>
      </w:r>
    </w:p>
    <w:p w14:paraId="018CEDCF">
      <w:pPr>
        <w:spacing w:after="150"/>
        <w:rPr>
          <w:rFonts w:ascii="Calibri" w:hAnsi="Calibri" w:eastAsia="Calibri" w:cs="Calibri"/>
          <w:i/>
          <w:iCs/>
          <w:color w:val="595959"/>
          <w:sz w:val="19"/>
          <w:szCs w:val="19"/>
          <w:lang w:val="en-US"/>
        </w:rPr>
      </w:pPr>
      <w:r>
        <w:rPr>
          <w:rFonts w:ascii="Calibri" w:hAnsi="Calibri" w:eastAsia="Calibri" w:cs="Calibri"/>
          <w:i/>
          <w:iCs/>
          <w:color w:val="595959"/>
          <w:sz w:val="19"/>
          <w:szCs w:val="19"/>
          <w:lang w:val="en-US" w:eastAsia="zh-CN"/>
        </w:rPr>
        <w:t>All components must be new and unused.</w:t>
      </w:r>
    </w:p>
    <w:p w14:paraId="61BB40FF">
      <w:pPr>
        <w:spacing w:after="20"/>
      </w:pPr>
      <w:r>
        <w:rPr>
          <w:rFonts w:ascii="Calibri" w:hAnsi="Calibri" w:eastAsia="Calibri" w:cs="Calibri"/>
          <w:b/>
          <w:bCs/>
          <w:sz w:val="22"/>
          <w:szCs w:val="22"/>
        </w:rPr>
        <w:t>4.1. Robota roka (industriāla vai kolaboratīva)</w:t>
      </w:r>
    </w:p>
    <w:p w14:paraId="084C9AC9">
      <w:pPr>
        <w:spacing w:after="150"/>
      </w:pPr>
      <w:r>
        <w:rPr>
          <w:rFonts w:ascii="Calibri" w:hAnsi="Calibri" w:eastAsia="Calibri" w:cs="Calibri"/>
          <w:b/>
          <w:bCs/>
          <w:i/>
          <w:iCs/>
          <w:color w:val="595959"/>
          <w:sz w:val="20"/>
          <w:szCs w:val="20"/>
        </w:rPr>
        <w:t>4.1. Robot arm (industrial or collaborative)</w:t>
      </w:r>
    </w:p>
    <w:tbl>
      <w:tblPr>
        <w:tblStyle w:val="10"/>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00"/>
        <w:gridCol w:w="2300"/>
        <w:gridCol w:w="4500"/>
        <w:gridCol w:w="2050"/>
      </w:tblGrid>
      <w:tr w14:paraId="2E0D393A">
        <w:tc>
          <w:tcPr>
            <w:tcW w:w="500" w:type="dxa"/>
            <w:shd w:val="clear" w:color="auto" w:fill="BFBFBF"/>
            <w:tcMar>
              <w:top w:w="80" w:type="dxa"/>
              <w:left w:w="100" w:type="dxa"/>
              <w:bottom w:w="80" w:type="dxa"/>
              <w:right w:w="100" w:type="dxa"/>
            </w:tcMar>
            <w:vAlign w:val="center"/>
          </w:tcPr>
          <w:p w14:paraId="6ED24829">
            <w:pPr>
              <w:spacing w:after="100"/>
              <w:jc w:val="center"/>
            </w:pPr>
            <w:r>
              <w:rPr>
                <w:rFonts w:ascii="Calibri" w:hAnsi="Calibri" w:eastAsia="Calibri" w:cs="Calibri"/>
                <w:b/>
                <w:bCs/>
                <w:i w:val="0"/>
                <w:iCs w:val="0"/>
                <w:sz w:val="21"/>
                <w:szCs w:val="21"/>
              </w:rPr>
              <w:t>#</w:t>
            </w:r>
          </w:p>
        </w:tc>
        <w:tc>
          <w:tcPr>
            <w:tcW w:w="2300" w:type="dxa"/>
            <w:shd w:val="clear" w:color="auto" w:fill="BFBFBF"/>
            <w:tcMar>
              <w:top w:w="80" w:type="dxa"/>
              <w:left w:w="100" w:type="dxa"/>
              <w:bottom w:w="80" w:type="dxa"/>
              <w:right w:w="100" w:type="dxa"/>
            </w:tcMar>
            <w:vAlign w:val="center"/>
          </w:tcPr>
          <w:p w14:paraId="62A3150B">
            <w:pPr>
              <w:spacing w:after="30"/>
              <w:jc w:val="left"/>
            </w:pPr>
            <w:r>
              <w:rPr>
                <w:rFonts w:ascii="Calibri" w:hAnsi="Calibri" w:eastAsia="Calibri" w:cs="Calibri"/>
                <w:b/>
                <w:bCs/>
                <w:sz w:val="21"/>
                <w:szCs w:val="21"/>
              </w:rPr>
              <w:t>Raksturlielums</w:t>
            </w:r>
          </w:p>
          <w:p w14:paraId="0808A4BB">
            <w:pPr>
              <w:spacing w:after="0"/>
              <w:jc w:val="left"/>
            </w:pPr>
            <w:r>
              <w:rPr>
                <w:rFonts w:ascii="Calibri" w:hAnsi="Calibri" w:eastAsia="Calibri" w:cs="Calibri"/>
                <w:i/>
                <w:iCs/>
                <w:color w:val="595959"/>
                <w:sz w:val="19"/>
                <w:szCs w:val="19"/>
              </w:rPr>
              <w:t>Characteristic</w:t>
            </w:r>
          </w:p>
        </w:tc>
        <w:tc>
          <w:tcPr>
            <w:tcW w:w="4500" w:type="dxa"/>
            <w:shd w:val="clear" w:color="auto" w:fill="BFBFBF"/>
            <w:tcMar>
              <w:top w:w="80" w:type="dxa"/>
              <w:left w:w="100" w:type="dxa"/>
              <w:bottom w:w="80" w:type="dxa"/>
              <w:right w:w="100" w:type="dxa"/>
            </w:tcMar>
            <w:vAlign w:val="center"/>
          </w:tcPr>
          <w:p w14:paraId="566E578D">
            <w:pPr>
              <w:spacing w:after="30"/>
              <w:jc w:val="left"/>
            </w:pPr>
            <w:r>
              <w:rPr>
                <w:rFonts w:ascii="Calibri" w:hAnsi="Calibri" w:eastAsia="Calibri" w:cs="Calibri"/>
                <w:b/>
                <w:bCs/>
                <w:sz w:val="21"/>
                <w:szCs w:val="21"/>
              </w:rPr>
              <w:t>Prasība</w:t>
            </w:r>
          </w:p>
          <w:p w14:paraId="17521EF4">
            <w:pPr>
              <w:spacing w:after="0"/>
              <w:jc w:val="left"/>
            </w:pPr>
            <w:r>
              <w:rPr>
                <w:rFonts w:ascii="Calibri" w:hAnsi="Calibri" w:eastAsia="Calibri" w:cs="Calibri"/>
                <w:i/>
                <w:iCs/>
                <w:color w:val="595959"/>
                <w:sz w:val="19"/>
                <w:szCs w:val="19"/>
              </w:rPr>
              <w:t>Requirement</w:t>
            </w:r>
          </w:p>
        </w:tc>
        <w:tc>
          <w:tcPr>
            <w:tcW w:w="2050" w:type="dxa"/>
            <w:shd w:val="clear" w:color="auto" w:fill="BFBFBF"/>
            <w:tcMar>
              <w:top w:w="80" w:type="dxa"/>
              <w:left w:w="100" w:type="dxa"/>
              <w:bottom w:w="80" w:type="dxa"/>
              <w:right w:w="100" w:type="dxa"/>
            </w:tcMar>
            <w:vAlign w:val="center"/>
          </w:tcPr>
          <w:p w14:paraId="58F3420D">
            <w:pPr>
              <w:spacing w:after="30"/>
              <w:jc w:val="left"/>
            </w:pPr>
            <w:r>
              <w:rPr>
                <w:rFonts w:ascii="Calibri" w:hAnsi="Calibri" w:eastAsia="Calibri" w:cs="Calibri"/>
                <w:b/>
                <w:bCs/>
                <w:sz w:val="21"/>
                <w:szCs w:val="21"/>
              </w:rPr>
              <w:t>Tehniskais piedāvājums</w:t>
            </w:r>
          </w:p>
          <w:p w14:paraId="23B21575">
            <w:pPr>
              <w:spacing w:after="0"/>
              <w:jc w:val="left"/>
            </w:pPr>
            <w:r>
              <w:rPr>
                <w:rFonts w:ascii="Calibri" w:hAnsi="Calibri" w:eastAsia="Calibri" w:cs="Calibri"/>
                <w:i/>
                <w:iCs/>
                <w:color w:val="595959"/>
                <w:sz w:val="19"/>
                <w:szCs w:val="19"/>
              </w:rPr>
              <w:t>Technical offer</w:t>
            </w:r>
          </w:p>
        </w:tc>
      </w:tr>
      <w:tr w14:paraId="773C576C">
        <w:tc>
          <w:tcPr>
            <w:tcW w:w="500" w:type="dxa"/>
            <w:tcMar>
              <w:top w:w="80" w:type="dxa"/>
              <w:left w:w="100" w:type="dxa"/>
              <w:bottom w:w="80" w:type="dxa"/>
              <w:right w:w="100" w:type="dxa"/>
            </w:tcMar>
            <w:vAlign w:val="center"/>
          </w:tcPr>
          <w:p w14:paraId="671789CB">
            <w:pPr>
              <w:spacing w:after="100"/>
              <w:jc w:val="center"/>
            </w:pPr>
            <w:r>
              <w:rPr>
                <w:rFonts w:ascii="Calibri" w:hAnsi="Calibri" w:eastAsia="Calibri" w:cs="Calibri"/>
                <w:b w:val="0"/>
                <w:bCs w:val="0"/>
                <w:i w:val="0"/>
                <w:iCs w:val="0"/>
                <w:sz w:val="21"/>
                <w:szCs w:val="21"/>
              </w:rPr>
              <w:t>1</w:t>
            </w:r>
          </w:p>
        </w:tc>
        <w:tc>
          <w:tcPr>
            <w:tcW w:w="2300" w:type="dxa"/>
            <w:tcMar>
              <w:top w:w="80" w:type="dxa"/>
              <w:left w:w="100" w:type="dxa"/>
              <w:bottom w:w="80" w:type="dxa"/>
              <w:right w:w="100" w:type="dxa"/>
            </w:tcMar>
            <w:vAlign w:val="center"/>
          </w:tcPr>
          <w:p w14:paraId="216C56C7">
            <w:pPr>
              <w:spacing w:after="30"/>
              <w:jc w:val="left"/>
            </w:pPr>
            <w:r>
              <w:rPr>
                <w:rFonts w:ascii="Calibri" w:hAnsi="Calibri" w:eastAsia="Calibri" w:cs="Calibri"/>
                <w:b/>
                <w:bCs/>
                <w:sz w:val="21"/>
                <w:szCs w:val="21"/>
              </w:rPr>
              <w:t>Asu skaits</w:t>
            </w:r>
          </w:p>
          <w:p w14:paraId="0A7F2855">
            <w:pPr>
              <w:spacing w:after="0"/>
              <w:jc w:val="left"/>
            </w:pPr>
            <w:r>
              <w:rPr>
                <w:rFonts w:ascii="Calibri" w:hAnsi="Calibri" w:eastAsia="Calibri" w:cs="Calibri"/>
                <w:i/>
                <w:iCs/>
                <w:color w:val="595959"/>
                <w:sz w:val="19"/>
                <w:szCs w:val="19"/>
              </w:rPr>
              <w:t>Number of axes</w:t>
            </w:r>
          </w:p>
        </w:tc>
        <w:tc>
          <w:tcPr>
            <w:tcW w:w="4500" w:type="dxa"/>
            <w:tcMar>
              <w:top w:w="80" w:type="dxa"/>
              <w:left w:w="100" w:type="dxa"/>
              <w:bottom w:w="80" w:type="dxa"/>
              <w:right w:w="100" w:type="dxa"/>
            </w:tcMar>
            <w:vAlign w:val="center"/>
          </w:tcPr>
          <w:p w14:paraId="11733039">
            <w:pPr>
              <w:spacing w:after="30"/>
              <w:jc w:val="left"/>
            </w:pPr>
            <w:r>
              <w:rPr>
                <w:rFonts w:ascii="Calibri" w:hAnsi="Calibri" w:eastAsia="Calibri" w:cs="Calibri"/>
                <w:b w:val="0"/>
                <w:bCs w:val="0"/>
                <w:sz w:val="21"/>
                <w:szCs w:val="21"/>
              </w:rPr>
              <w:t>Ne mazāk kā 6</w:t>
            </w:r>
          </w:p>
          <w:p w14:paraId="440A1A7F">
            <w:pPr>
              <w:spacing w:after="0"/>
              <w:jc w:val="left"/>
            </w:pPr>
            <w:r>
              <w:rPr>
                <w:rFonts w:ascii="Calibri" w:hAnsi="Calibri" w:eastAsia="Calibri" w:cs="Calibri"/>
                <w:i/>
                <w:iCs/>
                <w:color w:val="595959"/>
                <w:sz w:val="19"/>
                <w:szCs w:val="19"/>
              </w:rPr>
              <w:t>Not less than 6</w:t>
            </w:r>
          </w:p>
        </w:tc>
        <w:tc>
          <w:tcPr>
            <w:tcW w:w="2050" w:type="dxa"/>
            <w:tcMar>
              <w:top w:w="80" w:type="dxa"/>
              <w:left w:w="100" w:type="dxa"/>
              <w:bottom w:w="80" w:type="dxa"/>
              <w:right w:w="100" w:type="dxa"/>
            </w:tcMar>
            <w:vAlign w:val="center"/>
          </w:tcPr>
          <w:p w14:paraId="725CEF4A">
            <w:pPr>
              <w:spacing w:after="100"/>
              <w:jc w:val="left"/>
            </w:pPr>
          </w:p>
        </w:tc>
      </w:tr>
      <w:tr w14:paraId="03637ACE">
        <w:tc>
          <w:tcPr>
            <w:tcW w:w="500" w:type="dxa"/>
            <w:tcMar>
              <w:top w:w="80" w:type="dxa"/>
              <w:left w:w="100" w:type="dxa"/>
              <w:bottom w:w="80" w:type="dxa"/>
              <w:right w:w="100" w:type="dxa"/>
            </w:tcMar>
            <w:vAlign w:val="center"/>
          </w:tcPr>
          <w:p w14:paraId="4F862DED">
            <w:pPr>
              <w:spacing w:after="100"/>
              <w:jc w:val="center"/>
            </w:pPr>
            <w:r>
              <w:rPr>
                <w:rFonts w:ascii="Calibri" w:hAnsi="Calibri" w:eastAsia="Calibri" w:cs="Calibri"/>
                <w:b w:val="0"/>
                <w:bCs w:val="0"/>
                <w:i w:val="0"/>
                <w:iCs w:val="0"/>
                <w:sz w:val="21"/>
                <w:szCs w:val="21"/>
              </w:rPr>
              <w:t>2</w:t>
            </w:r>
          </w:p>
        </w:tc>
        <w:tc>
          <w:tcPr>
            <w:tcW w:w="2300" w:type="dxa"/>
            <w:tcMar>
              <w:top w:w="80" w:type="dxa"/>
              <w:left w:w="100" w:type="dxa"/>
              <w:bottom w:w="80" w:type="dxa"/>
              <w:right w:w="100" w:type="dxa"/>
            </w:tcMar>
            <w:vAlign w:val="center"/>
          </w:tcPr>
          <w:p w14:paraId="57F49408">
            <w:pPr>
              <w:spacing w:after="30"/>
              <w:jc w:val="left"/>
            </w:pPr>
            <w:r>
              <w:rPr>
                <w:rFonts w:ascii="Calibri" w:hAnsi="Calibri" w:eastAsia="Calibri" w:cs="Calibri"/>
                <w:b/>
                <w:bCs/>
                <w:sz w:val="21"/>
                <w:szCs w:val="21"/>
              </w:rPr>
              <w:t>Nominālā celtspēja</w:t>
            </w:r>
          </w:p>
          <w:p w14:paraId="6B17147F">
            <w:pPr>
              <w:spacing w:after="0"/>
              <w:jc w:val="left"/>
            </w:pPr>
            <w:r>
              <w:rPr>
                <w:rFonts w:ascii="Calibri" w:hAnsi="Calibri" w:eastAsia="Calibri" w:cs="Calibri"/>
                <w:i/>
                <w:iCs/>
                <w:color w:val="595959"/>
                <w:sz w:val="19"/>
                <w:szCs w:val="19"/>
              </w:rPr>
              <w:t>Rated payload</w:t>
            </w:r>
          </w:p>
        </w:tc>
        <w:tc>
          <w:tcPr>
            <w:tcW w:w="4500" w:type="dxa"/>
            <w:tcMar>
              <w:top w:w="80" w:type="dxa"/>
              <w:left w:w="100" w:type="dxa"/>
              <w:bottom w:w="80" w:type="dxa"/>
              <w:right w:w="100" w:type="dxa"/>
            </w:tcMar>
            <w:vAlign w:val="center"/>
          </w:tcPr>
          <w:p w14:paraId="2A40D990">
            <w:pPr>
              <w:spacing w:after="30"/>
              <w:jc w:val="left"/>
            </w:pPr>
            <w:r>
              <w:rPr>
                <w:rFonts w:ascii="Calibri" w:hAnsi="Calibri" w:eastAsia="Calibri" w:cs="Calibri"/>
                <w:b w:val="0"/>
                <w:bCs w:val="0"/>
                <w:sz w:val="21"/>
                <w:szCs w:val="21"/>
              </w:rPr>
              <w:t>Ne mazāka kā 1</w:t>
            </w:r>
            <w:r>
              <w:rPr>
                <w:rFonts w:hint="default" w:ascii="Calibri" w:hAnsi="Calibri" w:eastAsia="Calibri" w:cs="Calibri"/>
                <w:b w:val="0"/>
                <w:bCs w:val="0"/>
                <w:sz w:val="21"/>
                <w:szCs w:val="21"/>
                <w:lang w:val="lv-LV"/>
              </w:rPr>
              <w:t>0</w:t>
            </w:r>
            <w:r>
              <w:rPr>
                <w:rFonts w:ascii="Calibri" w:hAnsi="Calibri" w:eastAsia="Calibri" w:cs="Calibri"/>
                <w:b w:val="0"/>
                <w:bCs w:val="0"/>
                <w:sz w:val="21"/>
                <w:szCs w:val="21"/>
              </w:rPr>
              <w:t xml:space="preserve"> kg</w:t>
            </w:r>
          </w:p>
          <w:p w14:paraId="7FA2F9E6">
            <w:pPr>
              <w:spacing w:after="0"/>
              <w:jc w:val="left"/>
            </w:pPr>
            <w:r>
              <w:rPr>
                <w:rFonts w:ascii="Calibri" w:hAnsi="Calibri" w:eastAsia="Calibri" w:cs="Calibri"/>
                <w:i/>
                <w:iCs/>
                <w:color w:val="595959"/>
                <w:sz w:val="19"/>
                <w:szCs w:val="19"/>
              </w:rPr>
              <w:t>Not less than 1</w:t>
            </w:r>
            <w:r>
              <w:rPr>
                <w:rFonts w:hint="default" w:ascii="Calibri" w:hAnsi="Calibri" w:eastAsia="Calibri" w:cs="Calibri"/>
                <w:i/>
                <w:iCs/>
                <w:color w:val="595959"/>
                <w:sz w:val="19"/>
                <w:szCs w:val="19"/>
                <w:lang w:val="lv-LV"/>
              </w:rPr>
              <w:t>0</w:t>
            </w:r>
            <w:r>
              <w:rPr>
                <w:rFonts w:ascii="Calibri" w:hAnsi="Calibri" w:eastAsia="Calibri" w:cs="Calibri"/>
                <w:i/>
                <w:iCs/>
                <w:color w:val="595959"/>
                <w:sz w:val="19"/>
                <w:szCs w:val="19"/>
              </w:rPr>
              <w:t xml:space="preserve"> kg</w:t>
            </w:r>
          </w:p>
        </w:tc>
        <w:tc>
          <w:tcPr>
            <w:tcW w:w="2050" w:type="dxa"/>
            <w:tcMar>
              <w:top w:w="80" w:type="dxa"/>
              <w:left w:w="100" w:type="dxa"/>
              <w:bottom w:w="80" w:type="dxa"/>
              <w:right w:w="100" w:type="dxa"/>
            </w:tcMar>
            <w:vAlign w:val="center"/>
          </w:tcPr>
          <w:p w14:paraId="43AC065D">
            <w:pPr>
              <w:spacing w:after="100"/>
              <w:jc w:val="left"/>
            </w:pPr>
          </w:p>
        </w:tc>
      </w:tr>
      <w:tr w14:paraId="59988AF8">
        <w:tc>
          <w:tcPr>
            <w:tcW w:w="500" w:type="dxa"/>
            <w:tcMar>
              <w:top w:w="80" w:type="dxa"/>
              <w:left w:w="100" w:type="dxa"/>
              <w:bottom w:w="80" w:type="dxa"/>
              <w:right w:w="100" w:type="dxa"/>
            </w:tcMar>
            <w:vAlign w:val="center"/>
          </w:tcPr>
          <w:p w14:paraId="0A31F864">
            <w:pPr>
              <w:spacing w:after="100"/>
              <w:jc w:val="center"/>
            </w:pPr>
            <w:r>
              <w:rPr>
                <w:rFonts w:ascii="Calibri" w:hAnsi="Calibri" w:eastAsia="Calibri" w:cs="Calibri"/>
                <w:b w:val="0"/>
                <w:bCs w:val="0"/>
                <w:i w:val="0"/>
                <w:iCs w:val="0"/>
                <w:sz w:val="21"/>
                <w:szCs w:val="21"/>
              </w:rPr>
              <w:t>3</w:t>
            </w:r>
          </w:p>
        </w:tc>
        <w:tc>
          <w:tcPr>
            <w:tcW w:w="2300" w:type="dxa"/>
            <w:tcMar>
              <w:top w:w="80" w:type="dxa"/>
              <w:left w:w="100" w:type="dxa"/>
              <w:bottom w:w="80" w:type="dxa"/>
              <w:right w:w="100" w:type="dxa"/>
            </w:tcMar>
            <w:vAlign w:val="center"/>
          </w:tcPr>
          <w:p w14:paraId="662087D7">
            <w:pPr>
              <w:spacing w:after="30"/>
              <w:jc w:val="left"/>
            </w:pPr>
            <w:r>
              <w:rPr>
                <w:rFonts w:ascii="Calibri" w:hAnsi="Calibri" w:eastAsia="Calibri" w:cs="Calibri"/>
                <w:b/>
                <w:bCs/>
                <w:sz w:val="21"/>
                <w:szCs w:val="21"/>
              </w:rPr>
              <w:t>Sniedzamības rādiuss</w:t>
            </w:r>
          </w:p>
          <w:p w14:paraId="54526750">
            <w:pPr>
              <w:spacing w:after="0"/>
              <w:jc w:val="left"/>
            </w:pPr>
            <w:r>
              <w:rPr>
                <w:rFonts w:ascii="Calibri" w:hAnsi="Calibri" w:eastAsia="Calibri" w:cs="Calibri"/>
                <w:i/>
                <w:iCs/>
                <w:color w:val="595959"/>
                <w:sz w:val="19"/>
                <w:szCs w:val="19"/>
              </w:rPr>
              <w:t>Reach</w:t>
            </w:r>
          </w:p>
        </w:tc>
        <w:tc>
          <w:tcPr>
            <w:tcW w:w="4500" w:type="dxa"/>
            <w:tcMar>
              <w:top w:w="80" w:type="dxa"/>
              <w:left w:w="100" w:type="dxa"/>
              <w:bottom w:w="80" w:type="dxa"/>
              <w:right w:w="100" w:type="dxa"/>
            </w:tcMar>
            <w:vAlign w:val="center"/>
          </w:tcPr>
          <w:p w14:paraId="41A6C486">
            <w:pPr>
              <w:spacing w:after="30"/>
              <w:jc w:val="left"/>
            </w:pPr>
            <w:r>
              <w:rPr>
                <w:rFonts w:ascii="Calibri" w:hAnsi="Calibri" w:eastAsia="Calibri" w:cs="Calibri"/>
                <w:b w:val="0"/>
                <w:bCs w:val="0"/>
                <w:sz w:val="21"/>
                <w:szCs w:val="21"/>
              </w:rPr>
              <w:t>Ne mazāks kā 1300 mm</w:t>
            </w:r>
          </w:p>
          <w:p w14:paraId="2C4F8A4A">
            <w:pPr>
              <w:spacing w:after="0"/>
              <w:jc w:val="left"/>
            </w:pPr>
            <w:r>
              <w:rPr>
                <w:rFonts w:ascii="Calibri" w:hAnsi="Calibri" w:eastAsia="Calibri" w:cs="Calibri"/>
                <w:i/>
                <w:iCs/>
                <w:color w:val="595959"/>
                <w:sz w:val="19"/>
                <w:szCs w:val="19"/>
              </w:rPr>
              <w:t>Not less than 1,300 mm</w:t>
            </w:r>
          </w:p>
        </w:tc>
        <w:tc>
          <w:tcPr>
            <w:tcW w:w="2050" w:type="dxa"/>
            <w:tcMar>
              <w:top w:w="80" w:type="dxa"/>
              <w:left w:w="100" w:type="dxa"/>
              <w:bottom w:w="80" w:type="dxa"/>
              <w:right w:w="100" w:type="dxa"/>
            </w:tcMar>
            <w:vAlign w:val="center"/>
          </w:tcPr>
          <w:p w14:paraId="42291FD4">
            <w:pPr>
              <w:spacing w:after="100"/>
              <w:jc w:val="left"/>
            </w:pPr>
          </w:p>
        </w:tc>
      </w:tr>
      <w:tr w14:paraId="132BB7C0">
        <w:tc>
          <w:tcPr>
            <w:tcW w:w="500" w:type="dxa"/>
            <w:tcMar>
              <w:top w:w="80" w:type="dxa"/>
              <w:left w:w="100" w:type="dxa"/>
              <w:bottom w:w="80" w:type="dxa"/>
              <w:right w:w="100" w:type="dxa"/>
            </w:tcMar>
            <w:vAlign w:val="center"/>
          </w:tcPr>
          <w:p w14:paraId="1280C488">
            <w:pPr>
              <w:spacing w:after="100"/>
              <w:jc w:val="center"/>
            </w:pPr>
            <w:r>
              <w:rPr>
                <w:rFonts w:ascii="Calibri" w:hAnsi="Calibri" w:eastAsia="Calibri" w:cs="Calibri"/>
                <w:b w:val="0"/>
                <w:bCs w:val="0"/>
                <w:i w:val="0"/>
                <w:iCs w:val="0"/>
                <w:sz w:val="21"/>
                <w:szCs w:val="21"/>
              </w:rPr>
              <w:t>4</w:t>
            </w:r>
          </w:p>
        </w:tc>
        <w:tc>
          <w:tcPr>
            <w:tcW w:w="2300" w:type="dxa"/>
            <w:tcMar>
              <w:top w:w="80" w:type="dxa"/>
              <w:left w:w="100" w:type="dxa"/>
              <w:bottom w:w="80" w:type="dxa"/>
              <w:right w:w="100" w:type="dxa"/>
            </w:tcMar>
            <w:vAlign w:val="center"/>
          </w:tcPr>
          <w:p w14:paraId="2F2B61C0">
            <w:pPr>
              <w:spacing w:after="30"/>
              <w:jc w:val="left"/>
            </w:pPr>
            <w:r>
              <w:rPr>
                <w:rFonts w:ascii="Calibri" w:hAnsi="Calibri" w:eastAsia="Calibri" w:cs="Calibri"/>
                <w:b/>
                <w:bCs/>
                <w:sz w:val="21"/>
                <w:szCs w:val="21"/>
              </w:rPr>
              <w:t>Atkārtošanās precizitāte</w:t>
            </w:r>
          </w:p>
          <w:p w14:paraId="07A299F8">
            <w:pPr>
              <w:spacing w:after="0"/>
              <w:jc w:val="left"/>
            </w:pPr>
            <w:r>
              <w:rPr>
                <w:rFonts w:ascii="Calibri" w:hAnsi="Calibri" w:eastAsia="Calibri" w:cs="Calibri"/>
                <w:i/>
                <w:iCs/>
                <w:color w:val="595959"/>
                <w:sz w:val="19"/>
                <w:szCs w:val="19"/>
              </w:rPr>
              <w:t>Pose repeatability</w:t>
            </w:r>
          </w:p>
        </w:tc>
        <w:tc>
          <w:tcPr>
            <w:tcW w:w="4500" w:type="dxa"/>
            <w:tcMar>
              <w:top w:w="80" w:type="dxa"/>
              <w:left w:w="100" w:type="dxa"/>
              <w:bottom w:w="80" w:type="dxa"/>
              <w:right w:w="100" w:type="dxa"/>
            </w:tcMar>
            <w:vAlign w:val="center"/>
          </w:tcPr>
          <w:p w14:paraId="611F6E0C">
            <w:pPr>
              <w:spacing w:after="30"/>
              <w:jc w:val="left"/>
            </w:pPr>
            <w:r>
              <w:rPr>
                <w:rFonts w:ascii="Calibri" w:hAnsi="Calibri" w:eastAsia="Calibri" w:cs="Calibri"/>
                <w:b w:val="0"/>
                <w:bCs w:val="0"/>
                <w:sz w:val="21"/>
                <w:szCs w:val="21"/>
              </w:rPr>
              <w:t>Ne sliktāka kā ± 0,05 mm</w:t>
            </w:r>
          </w:p>
          <w:p w14:paraId="098F75D0">
            <w:pPr>
              <w:spacing w:after="0"/>
              <w:jc w:val="left"/>
            </w:pPr>
            <w:r>
              <w:rPr>
                <w:rFonts w:ascii="Calibri" w:hAnsi="Calibri" w:eastAsia="Calibri" w:cs="Calibri"/>
                <w:i/>
                <w:iCs/>
                <w:color w:val="595959"/>
                <w:sz w:val="19"/>
                <w:szCs w:val="19"/>
              </w:rPr>
              <w:t>Not worse than ± 0.05 mm</w:t>
            </w:r>
          </w:p>
        </w:tc>
        <w:tc>
          <w:tcPr>
            <w:tcW w:w="2050" w:type="dxa"/>
            <w:tcMar>
              <w:top w:w="80" w:type="dxa"/>
              <w:left w:w="100" w:type="dxa"/>
              <w:bottom w:w="80" w:type="dxa"/>
              <w:right w:w="100" w:type="dxa"/>
            </w:tcMar>
            <w:vAlign w:val="center"/>
          </w:tcPr>
          <w:p w14:paraId="14DFFAD5">
            <w:pPr>
              <w:spacing w:after="100"/>
              <w:jc w:val="left"/>
            </w:pPr>
          </w:p>
        </w:tc>
      </w:tr>
      <w:tr w14:paraId="510CD87E">
        <w:tc>
          <w:tcPr>
            <w:tcW w:w="500" w:type="dxa"/>
            <w:tcMar>
              <w:top w:w="80" w:type="dxa"/>
              <w:left w:w="100" w:type="dxa"/>
              <w:bottom w:w="80" w:type="dxa"/>
              <w:right w:w="100" w:type="dxa"/>
            </w:tcMar>
            <w:vAlign w:val="center"/>
          </w:tcPr>
          <w:p w14:paraId="4F538EF4">
            <w:pPr>
              <w:spacing w:after="100"/>
              <w:jc w:val="center"/>
            </w:pPr>
            <w:r>
              <w:rPr>
                <w:rFonts w:ascii="Calibri" w:hAnsi="Calibri" w:eastAsia="Calibri" w:cs="Calibri"/>
                <w:b w:val="0"/>
                <w:bCs w:val="0"/>
                <w:i w:val="0"/>
                <w:iCs w:val="0"/>
                <w:sz w:val="21"/>
                <w:szCs w:val="21"/>
              </w:rPr>
              <w:t>5</w:t>
            </w:r>
          </w:p>
        </w:tc>
        <w:tc>
          <w:tcPr>
            <w:tcW w:w="2300" w:type="dxa"/>
            <w:tcMar>
              <w:top w:w="80" w:type="dxa"/>
              <w:left w:w="100" w:type="dxa"/>
              <w:bottom w:w="80" w:type="dxa"/>
              <w:right w:w="100" w:type="dxa"/>
            </w:tcMar>
            <w:vAlign w:val="center"/>
          </w:tcPr>
          <w:p w14:paraId="7A8EDCA3">
            <w:pPr>
              <w:spacing w:after="30"/>
              <w:jc w:val="left"/>
            </w:pPr>
            <w:r>
              <w:rPr>
                <w:rFonts w:ascii="Calibri" w:hAnsi="Calibri" w:eastAsia="Calibri" w:cs="Calibri"/>
                <w:b/>
                <w:bCs/>
                <w:sz w:val="21"/>
                <w:szCs w:val="21"/>
              </w:rPr>
              <w:t>Montāžas pozīcijas</w:t>
            </w:r>
          </w:p>
          <w:p w14:paraId="59466D86">
            <w:pPr>
              <w:spacing w:after="0"/>
              <w:jc w:val="left"/>
            </w:pPr>
            <w:r>
              <w:rPr>
                <w:rFonts w:ascii="Calibri" w:hAnsi="Calibri" w:eastAsia="Calibri" w:cs="Calibri"/>
                <w:i/>
                <w:iCs/>
                <w:color w:val="595959"/>
                <w:sz w:val="19"/>
                <w:szCs w:val="19"/>
              </w:rPr>
              <w:t>Installation position</w:t>
            </w:r>
          </w:p>
        </w:tc>
        <w:tc>
          <w:tcPr>
            <w:tcW w:w="4500" w:type="dxa"/>
            <w:tcMar>
              <w:top w:w="80" w:type="dxa"/>
              <w:left w:w="100" w:type="dxa"/>
              <w:bottom w:w="80" w:type="dxa"/>
              <w:right w:w="100" w:type="dxa"/>
            </w:tcMar>
            <w:vAlign w:val="center"/>
          </w:tcPr>
          <w:p w14:paraId="7B331206">
            <w:pPr>
              <w:spacing w:after="30"/>
              <w:jc w:val="left"/>
            </w:pPr>
            <w:r>
              <w:rPr>
                <w:rFonts w:ascii="Calibri" w:hAnsi="Calibri" w:eastAsia="Calibri" w:cs="Calibri"/>
                <w:b w:val="0"/>
                <w:bCs w:val="0"/>
                <w:sz w:val="21"/>
                <w:szCs w:val="21"/>
              </w:rPr>
              <w:t>Grīda, griesti, siena, patvaļīgs leņķis</w:t>
            </w:r>
          </w:p>
          <w:p w14:paraId="2723DEBC">
            <w:pPr>
              <w:spacing w:after="0"/>
              <w:jc w:val="left"/>
            </w:pPr>
            <w:r>
              <w:rPr>
                <w:rFonts w:ascii="Calibri" w:hAnsi="Calibri" w:eastAsia="Calibri" w:cs="Calibri"/>
                <w:i/>
                <w:iCs/>
                <w:color w:val="595959"/>
                <w:sz w:val="19"/>
                <w:szCs w:val="19"/>
              </w:rPr>
              <w:t>Floor, ceiling, wall, angle</w:t>
            </w:r>
          </w:p>
        </w:tc>
        <w:tc>
          <w:tcPr>
            <w:tcW w:w="2050" w:type="dxa"/>
            <w:tcMar>
              <w:top w:w="80" w:type="dxa"/>
              <w:left w:w="100" w:type="dxa"/>
              <w:bottom w:w="80" w:type="dxa"/>
              <w:right w:w="100" w:type="dxa"/>
            </w:tcMar>
            <w:vAlign w:val="center"/>
          </w:tcPr>
          <w:p w14:paraId="2528ECD8">
            <w:pPr>
              <w:spacing w:after="100"/>
              <w:jc w:val="left"/>
            </w:pPr>
          </w:p>
        </w:tc>
      </w:tr>
      <w:tr w14:paraId="31E41576">
        <w:tc>
          <w:tcPr>
            <w:tcW w:w="500" w:type="dxa"/>
            <w:tcMar>
              <w:top w:w="80" w:type="dxa"/>
              <w:left w:w="100" w:type="dxa"/>
              <w:bottom w:w="80" w:type="dxa"/>
              <w:right w:w="100" w:type="dxa"/>
            </w:tcMar>
            <w:vAlign w:val="center"/>
          </w:tcPr>
          <w:p w14:paraId="243EB879">
            <w:pPr>
              <w:spacing w:after="100"/>
              <w:jc w:val="center"/>
            </w:pPr>
            <w:r>
              <w:rPr>
                <w:rFonts w:ascii="Calibri" w:hAnsi="Calibri" w:eastAsia="Calibri" w:cs="Calibri"/>
                <w:b w:val="0"/>
                <w:bCs w:val="0"/>
                <w:i w:val="0"/>
                <w:iCs w:val="0"/>
                <w:sz w:val="21"/>
                <w:szCs w:val="21"/>
              </w:rPr>
              <w:t>6</w:t>
            </w:r>
          </w:p>
        </w:tc>
        <w:tc>
          <w:tcPr>
            <w:tcW w:w="2300" w:type="dxa"/>
            <w:tcMar>
              <w:top w:w="80" w:type="dxa"/>
              <w:left w:w="100" w:type="dxa"/>
              <w:bottom w:w="80" w:type="dxa"/>
              <w:right w:w="100" w:type="dxa"/>
            </w:tcMar>
            <w:vAlign w:val="center"/>
          </w:tcPr>
          <w:p w14:paraId="224CC876">
            <w:pPr>
              <w:spacing w:after="30"/>
              <w:jc w:val="left"/>
            </w:pPr>
            <w:r>
              <w:rPr>
                <w:rFonts w:ascii="Calibri" w:hAnsi="Calibri" w:eastAsia="Calibri" w:cs="Calibri"/>
                <w:b/>
                <w:bCs/>
                <w:sz w:val="21"/>
                <w:szCs w:val="21"/>
              </w:rPr>
              <w:t>Robota tips</w:t>
            </w:r>
          </w:p>
          <w:p w14:paraId="6095B466">
            <w:pPr>
              <w:spacing w:after="0"/>
              <w:jc w:val="left"/>
            </w:pPr>
            <w:r>
              <w:rPr>
                <w:rFonts w:ascii="Calibri" w:hAnsi="Calibri" w:eastAsia="Calibri" w:cs="Calibri"/>
                <w:i/>
                <w:iCs/>
                <w:color w:val="595959"/>
                <w:sz w:val="19"/>
                <w:szCs w:val="19"/>
              </w:rPr>
              <w:t>Robot type</w:t>
            </w:r>
          </w:p>
        </w:tc>
        <w:tc>
          <w:tcPr>
            <w:tcW w:w="4500" w:type="dxa"/>
            <w:tcMar>
              <w:top w:w="80" w:type="dxa"/>
              <w:left w:w="100" w:type="dxa"/>
              <w:bottom w:w="80" w:type="dxa"/>
              <w:right w:w="100" w:type="dxa"/>
            </w:tcMar>
            <w:vAlign w:val="center"/>
          </w:tcPr>
          <w:p w14:paraId="6F1D911D">
            <w:pPr>
              <w:spacing w:after="30"/>
              <w:jc w:val="left"/>
            </w:pPr>
            <w:r>
              <w:rPr>
                <w:rFonts w:ascii="Calibri" w:hAnsi="Calibri" w:eastAsia="Calibri" w:cs="Calibri"/>
                <w:b w:val="0"/>
                <w:bCs w:val="0"/>
                <w:sz w:val="21"/>
                <w:szCs w:val="21"/>
              </w:rPr>
              <w:t>Pieļaujama gan industriāla robota roka, gan kolaboratīvā robota roka (kobots)</w:t>
            </w:r>
          </w:p>
          <w:p w14:paraId="6FCD6D1D">
            <w:pPr>
              <w:spacing w:after="0"/>
              <w:jc w:val="left"/>
            </w:pPr>
            <w:r>
              <w:rPr>
                <w:rFonts w:ascii="Calibri" w:hAnsi="Calibri" w:eastAsia="Calibri" w:cs="Calibri"/>
                <w:i/>
                <w:iCs/>
                <w:color w:val="595959"/>
                <w:sz w:val="19"/>
                <w:szCs w:val="19"/>
              </w:rPr>
              <w:t>Both an industrial robot arm and a collaborative robot arm (cobot) are acceptable</w:t>
            </w:r>
          </w:p>
        </w:tc>
        <w:tc>
          <w:tcPr>
            <w:tcW w:w="2050" w:type="dxa"/>
            <w:tcMar>
              <w:top w:w="80" w:type="dxa"/>
              <w:left w:w="100" w:type="dxa"/>
              <w:bottom w:w="80" w:type="dxa"/>
              <w:right w:w="100" w:type="dxa"/>
            </w:tcMar>
            <w:vAlign w:val="center"/>
          </w:tcPr>
          <w:p w14:paraId="6B16242F">
            <w:pPr>
              <w:spacing w:after="100"/>
              <w:jc w:val="left"/>
            </w:pPr>
          </w:p>
        </w:tc>
      </w:tr>
      <w:tr w14:paraId="5E9BFF65">
        <w:tc>
          <w:tcPr>
            <w:tcW w:w="500" w:type="dxa"/>
            <w:tcMar>
              <w:top w:w="80" w:type="dxa"/>
              <w:left w:w="100" w:type="dxa"/>
              <w:bottom w:w="80" w:type="dxa"/>
              <w:right w:w="100" w:type="dxa"/>
            </w:tcMar>
            <w:vAlign w:val="center"/>
          </w:tcPr>
          <w:p w14:paraId="5F4C7D27">
            <w:pPr>
              <w:spacing w:after="100"/>
              <w:jc w:val="center"/>
            </w:pPr>
            <w:r>
              <w:rPr>
                <w:rFonts w:ascii="Calibri" w:hAnsi="Calibri" w:eastAsia="Calibri" w:cs="Calibri"/>
                <w:b w:val="0"/>
                <w:bCs w:val="0"/>
                <w:i w:val="0"/>
                <w:iCs w:val="0"/>
                <w:sz w:val="21"/>
                <w:szCs w:val="21"/>
              </w:rPr>
              <w:t>7</w:t>
            </w:r>
          </w:p>
        </w:tc>
        <w:tc>
          <w:tcPr>
            <w:tcW w:w="2300" w:type="dxa"/>
            <w:tcMar>
              <w:top w:w="80" w:type="dxa"/>
              <w:left w:w="100" w:type="dxa"/>
              <w:bottom w:w="80" w:type="dxa"/>
              <w:right w:w="100" w:type="dxa"/>
            </w:tcMar>
            <w:vAlign w:val="center"/>
          </w:tcPr>
          <w:p w14:paraId="4299F2C9">
            <w:pPr>
              <w:spacing w:after="30"/>
              <w:jc w:val="left"/>
            </w:pPr>
            <w:r>
              <w:rPr>
                <w:rFonts w:ascii="Calibri" w:hAnsi="Calibri" w:eastAsia="Calibri" w:cs="Calibri"/>
                <w:b/>
                <w:bCs/>
                <w:sz w:val="21"/>
                <w:szCs w:val="21"/>
              </w:rPr>
              <w:t>Svars un saderība ar AMR</w:t>
            </w:r>
          </w:p>
          <w:p w14:paraId="5FA57EA4">
            <w:pPr>
              <w:spacing w:after="0"/>
              <w:jc w:val="left"/>
            </w:pPr>
            <w:r>
              <w:rPr>
                <w:rFonts w:ascii="Calibri" w:hAnsi="Calibri" w:eastAsia="Calibri" w:cs="Calibri"/>
                <w:i/>
                <w:iCs/>
                <w:color w:val="595959"/>
                <w:sz w:val="19"/>
                <w:szCs w:val="19"/>
              </w:rPr>
              <w:t>Weight and AMR compatibility</w:t>
            </w:r>
          </w:p>
        </w:tc>
        <w:tc>
          <w:tcPr>
            <w:tcW w:w="4500" w:type="dxa"/>
            <w:tcMar>
              <w:top w:w="80" w:type="dxa"/>
              <w:left w:w="100" w:type="dxa"/>
              <w:bottom w:w="80" w:type="dxa"/>
              <w:right w:w="100" w:type="dxa"/>
            </w:tcMar>
            <w:vAlign w:val="center"/>
          </w:tcPr>
          <w:p w14:paraId="0B1BB3C8">
            <w:pPr>
              <w:spacing w:after="30"/>
              <w:jc w:val="left"/>
              <w:rPr>
                <w:rFonts w:ascii="Calibri" w:hAnsi="Calibri" w:eastAsia="Calibri" w:cs="Calibri"/>
                <w:b w:val="0"/>
                <w:bCs w:val="0"/>
                <w:sz w:val="21"/>
                <w:szCs w:val="21"/>
              </w:rPr>
            </w:pPr>
            <w:r>
              <w:rPr>
                <w:rFonts w:ascii="Calibri" w:hAnsi="Calibri" w:eastAsia="Calibri" w:cs="Calibri"/>
                <w:b w:val="0"/>
                <w:bCs w:val="0"/>
                <w:sz w:val="21"/>
                <w:szCs w:val="21"/>
              </w:rPr>
              <w:t>Robota rokas svars jāsaskaņo ar 4.2. sadaļā norādītās mobilās platformas nominālo celtspēju, lai nodrošinātu drošu un stabilu abu komponenšu kopīgu darbību (t.sk. gadījumā, ja robota roka tiek uzstādīta uz platformas). Pretendentam jāapliecina piedāvātās robota rokas un mobilās platformas savstarpējā saderība pēc svara.</w:t>
            </w:r>
          </w:p>
          <w:p w14:paraId="5DB9A7E0">
            <w:pPr>
              <w:spacing w:after="0"/>
              <w:jc w:val="left"/>
              <w:rPr>
                <w:rFonts w:hint="default"/>
                <w:lang w:val="lv-LV"/>
              </w:rPr>
            </w:pPr>
            <w:r>
              <w:rPr>
                <w:rFonts w:ascii="Calibri" w:hAnsi="Calibri" w:eastAsia="Calibri" w:cs="Calibri"/>
                <w:i/>
                <w:iCs/>
                <w:color w:val="595959"/>
                <w:sz w:val="19"/>
                <w:szCs w:val="19"/>
              </w:rPr>
              <w:t>The robot arm's weight must be matched to the rated payload of the mobile platform specified in clause 4.2, to ensure safe and stable joint operation of both components (including where the robot arm is mounted on the platform). The bidder must confirm the weight compatibility between the offered robot arm and the mobile platform.</w:t>
            </w:r>
            <w:r>
              <w:rPr>
                <w:rFonts w:hint="default" w:ascii="Calibri" w:hAnsi="Calibri" w:eastAsia="Calibri" w:cs="Calibri"/>
                <w:i/>
                <w:iCs/>
                <w:color w:val="595959"/>
                <w:sz w:val="19"/>
                <w:szCs w:val="19"/>
                <w:lang w:val="lv-LV"/>
              </w:rPr>
              <w:t xml:space="preserve"> </w:t>
            </w:r>
            <w:r>
              <w:rPr>
                <w:rFonts w:ascii="Calibri" w:hAnsi="Calibri" w:eastAsia="Calibri" w:cs="Calibri"/>
                <w:i/>
                <w:iCs/>
                <w:color w:val="595959"/>
                <w:sz w:val="19"/>
                <w:szCs w:val="19"/>
              </w:rPr>
              <w:t>The robot arm and the mobile platform are delivered as two separate devices.</w:t>
            </w:r>
          </w:p>
        </w:tc>
        <w:tc>
          <w:tcPr>
            <w:tcW w:w="2050" w:type="dxa"/>
            <w:tcMar>
              <w:top w:w="80" w:type="dxa"/>
              <w:left w:w="100" w:type="dxa"/>
              <w:bottom w:w="80" w:type="dxa"/>
              <w:right w:w="100" w:type="dxa"/>
            </w:tcMar>
            <w:vAlign w:val="center"/>
          </w:tcPr>
          <w:p w14:paraId="0FE7C2C5">
            <w:pPr>
              <w:spacing w:after="100"/>
              <w:jc w:val="left"/>
            </w:pPr>
          </w:p>
        </w:tc>
      </w:tr>
      <w:tr w14:paraId="37F6560A">
        <w:tc>
          <w:tcPr>
            <w:tcW w:w="500" w:type="dxa"/>
            <w:tcMar>
              <w:top w:w="80" w:type="dxa"/>
              <w:left w:w="100" w:type="dxa"/>
              <w:bottom w:w="80" w:type="dxa"/>
              <w:right w:w="100" w:type="dxa"/>
            </w:tcMar>
            <w:vAlign w:val="center"/>
          </w:tcPr>
          <w:p w14:paraId="31049E04">
            <w:pPr>
              <w:spacing w:after="100"/>
              <w:jc w:val="center"/>
            </w:pPr>
            <w:r>
              <w:rPr>
                <w:rFonts w:ascii="Calibri" w:hAnsi="Calibri" w:eastAsia="Calibri" w:cs="Calibri"/>
                <w:b w:val="0"/>
                <w:bCs w:val="0"/>
                <w:i w:val="0"/>
                <w:iCs w:val="0"/>
                <w:sz w:val="21"/>
                <w:szCs w:val="21"/>
              </w:rPr>
              <w:t>8</w:t>
            </w:r>
          </w:p>
        </w:tc>
        <w:tc>
          <w:tcPr>
            <w:tcW w:w="2300" w:type="dxa"/>
            <w:tcMar>
              <w:top w:w="80" w:type="dxa"/>
              <w:left w:w="100" w:type="dxa"/>
              <w:bottom w:w="80" w:type="dxa"/>
              <w:right w:w="100" w:type="dxa"/>
            </w:tcMar>
            <w:vAlign w:val="center"/>
          </w:tcPr>
          <w:p w14:paraId="1607D3D6">
            <w:pPr>
              <w:spacing w:after="30"/>
              <w:jc w:val="left"/>
            </w:pPr>
            <w:r>
              <w:rPr>
                <w:rFonts w:ascii="Calibri" w:hAnsi="Calibri" w:eastAsia="Calibri" w:cs="Calibri"/>
                <w:b/>
                <w:bCs/>
                <w:sz w:val="21"/>
                <w:szCs w:val="21"/>
              </w:rPr>
              <w:t>Pirmās ass mastering rīks</w:t>
            </w:r>
          </w:p>
          <w:p w14:paraId="7D83AF43">
            <w:pPr>
              <w:spacing w:after="0"/>
              <w:jc w:val="left"/>
            </w:pPr>
            <w:r>
              <w:rPr>
                <w:rFonts w:ascii="Calibri" w:hAnsi="Calibri" w:eastAsia="Calibri" w:cs="Calibri"/>
                <w:i/>
                <w:iCs/>
                <w:color w:val="595959"/>
                <w:sz w:val="19"/>
                <w:szCs w:val="19"/>
              </w:rPr>
              <w:t>First-axis mastering tool</w:t>
            </w:r>
          </w:p>
        </w:tc>
        <w:tc>
          <w:tcPr>
            <w:tcW w:w="4500" w:type="dxa"/>
            <w:tcMar>
              <w:top w:w="80" w:type="dxa"/>
              <w:left w:w="100" w:type="dxa"/>
              <w:bottom w:w="80" w:type="dxa"/>
              <w:right w:w="100" w:type="dxa"/>
            </w:tcMar>
            <w:vAlign w:val="center"/>
          </w:tcPr>
          <w:p w14:paraId="2899739D">
            <w:pPr>
              <w:spacing w:after="30"/>
              <w:jc w:val="left"/>
            </w:pPr>
            <w:r>
              <w:rPr>
                <w:rFonts w:ascii="Calibri" w:hAnsi="Calibri" w:eastAsia="Calibri" w:cs="Calibri"/>
                <w:b w:val="0"/>
                <w:bCs w:val="0"/>
                <w:sz w:val="21"/>
                <w:szCs w:val="21"/>
              </w:rPr>
              <w:t>Pretendentam jāpiedāvā nepieciešamais rīks/ierīce, kas ļauj noteikt un iestatīt robota rokas pirmās ass nulles (mastering) pozīciju pēc transportēšanas, apkopes vai ass nomaiņas — finanšu piedāvājumā norādāms kā atsevišķa pozīcija (skat. arī 4.4. un 5. punktu)</w:t>
            </w:r>
          </w:p>
          <w:p w14:paraId="6E2AE21C">
            <w:pPr>
              <w:spacing w:after="0"/>
              <w:jc w:val="left"/>
            </w:pPr>
            <w:r>
              <w:rPr>
                <w:rFonts w:ascii="Calibri" w:hAnsi="Calibri" w:eastAsia="Calibri" w:cs="Calibri"/>
                <w:i/>
                <w:iCs/>
                <w:color w:val="595959"/>
                <w:sz w:val="19"/>
                <w:szCs w:val="19"/>
              </w:rPr>
              <w:t>The bidder must offer the tool/device that enables determining and setting the robot arm's first-axis zero (mastering) position after transport, maintenance, or axis replacement — to be listed in the financial offer as a separate line item (see also clauses 4.4 and 5)</w:t>
            </w:r>
          </w:p>
        </w:tc>
        <w:tc>
          <w:tcPr>
            <w:tcW w:w="2050" w:type="dxa"/>
            <w:tcMar>
              <w:top w:w="80" w:type="dxa"/>
              <w:left w:w="100" w:type="dxa"/>
              <w:bottom w:w="80" w:type="dxa"/>
              <w:right w:w="100" w:type="dxa"/>
            </w:tcMar>
            <w:vAlign w:val="center"/>
          </w:tcPr>
          <w:p w14:paraId="45C59F18">
            <w:pPr>
              <w:spacing w:after="100"/>
              <w:jc w:val="left"/>
            </w:pPr>
          </w:p>
        </w:tc>
      </w:tr>
      <w:tr w14:paraId="45D80049">
        <w:tc>
          <w:tcPr>
            <w:tcW w:w="500" w:type="dxa"/>
            <w:shd w:val="clear" w:color="auto" w:fill="auto"/>
            <w:tcMar>
              <w:top w:w="80" w:type="dxa"/>
              <w:left w:w="100" w:type="dxa"/>
              <w:bottom w:w="80" w:type="dxa"/>
              <w:right w:w="100" w:type="dxa"/>
            </w:tcMar>
            <w:vAlign w:val="center"/>
          </w:tcPr>
          <w:p w14:paraId="2F65F9AE">
            <w:pPr>
              <w:spacing w:after="100"/>
            </w:pPr>
            <w:r>
              <w:rPr>
                <w:rFonts w:ascii="Calibri" w:hAnsi="Calibri" w:eastAsia="Calibri" w:cs="Calibri"/>
                <w:b w:val="0"/>
                <w:bCs w:val="0"/>
                <w:i w:val="0"/>
                <w:iCs w:val="0"/>
                <w:sz w:val="21"/>
                <w:szCs w:val="21"/>
              </w:rPr>
              <w:t>9</w:t>
            </w:r>
          </w:p>
        </w:tc>
        <w:tc>
          <w:tcPr>
            <w:tcW w:w="2300" w:type="dxa"/>
            <w:shd w:val="clear" w:color="auto" w:fill="auto"/>
            <w:tcMar>
              <w:top w:w="80" w:type="dxa"/>
              <w:left w:w="100" w:type="dxa"/>
              <w:bottom w:w="80" w:type="dxa"/>
              <w:right w:w="100" w:type="dxa"/>
            </w:tcMar>
            <w:vAlign w:val="center"/>
          </w:tcPr>
          <w:p w14:paraId="132E9B3E">
            <w:pPr>
              <w:spacing w:after="30"/>
            </w:pPr>
            <w:r>
              <w:rPr>
                <w:rFonts w:ascii="Calibri" w:hAnsi="Calibri" w:eastAsia="Calibri" w:cs="Calibri"/>
                <w:b/>
                <w:bCs/>
                <w:sz w:val="21"/>
                <w:szCs w:val="21"/>
              </w:rPr>
              <w:t>Aizsardzības klase (IEC 60529)</w:t>
            </w:r>
          </w:p>
          <w:p w14:paraId="45C821E5">
            <w:pPr>
              <w:spacing w:after="0"/>
            </w:pPr>
            <w:r>
              <w:rPr>
                <w:rFonts w:ascii="Calibri" w:hAnsi="Calibri" w:eastAsia="Calibri" w:cs="Calibri"/>
                <w:i/>
                <w:iCs/>
                <w:color w:val="595959"/>
                <w:sz w:val="19"/>
                <w:szCs w:val="19"/>
              </w:rPr>
              <w:t>Protection rating (IEC 60529)</w:t>
            </w:r>
          </w:p>
        </w:tc>
        <w:tc>
          <w:tcPr>
            <w:tcW w:w="4500" w:type="dxa"/>
            <w:shd w:val="clear" w:color="auto" w:fill="auto"/>
            <w:tcMar>
              <w:top w:w="80" w:type="dxa"/>
              <w:left w:w="100" w:type="dxa"/>
              <w:bottom w:w="80" w:type="dxa"/>
              <w:right w:w="100" w:type="dxa"/>
            </w:tcMar>
            <w:vAlign w:val="center"/>
          </w:tcPr>
          <w:p w14:paraId="7085C381">
            <w:pPr>
              <w:spacing w:after="30"/>
            </w:pPr>
            <w:r>
              <w:rPr>
                <w:rFonts w:ascii="Calibri" w:hAnsi="Calibri" w:eastAsia="Calibri" w:cs="Calibri"/>
                <w:b w:val="0"/>
                <w:bCs w:val="0"/>
                <w:sz w:val="21"/>
                <w:szCs w:val="21"/>
              </w:rPr>
              <w:t>Ne zemāka par IP54</w:t>
            </w:r>
          </w:p>
          <w:p w14:paraId="6E6987FC">
            <w:pPr>
              <w:spacing w:after="0"/>
            </w:pPr>
            <w:r>
              <w:rPr>
                <w:rFonts w:ascii="Calibri" w:hAnsi="Calibri" w:eastAsia="Calibri" w:cs="Calibri"/>
                <w:i/>
                <w:iCs/>
                <w:color w:val="595959"/>
                <w:sz w:val="19"/>
                <w:szCs w:val="19"/>
              </w:rPr>
              <w:t>Not lower than IP54</w:t>
            </w:r>
          </w:p>
        </w:tc>
        <w:tc>
          <w:tcPr>
            <w:tcW w:w="2050" w:type="dxa"/>
            <w:shd w:val="clear" w:color="auto" w:fill="auto"/>
            <w:tcMar>
              <w:top w:w="80" w:type="dxa"/>
              <w:left w:w="100" w:type="dxa"/>
              <w:bottom w:w="80" w:type="dxa"/>
              <w:right w:w="100" w:type="dxa"/>
            </w:tcMar>
            <w:vAlign w:val="center"/>
          </w:tcPr>
          <w:p w14:paraId="17E69AA7">
            <w:pPr>
              <w:spacing w:after="100"/>
            </w:pPr>
          </w:p>
        </w:tc>
      </w:tr>
    </w:tbl>
    <w:p w14:paraId="2B36A465">
      <w:pPr>
        <w:spacing w:after="20"/>
        <w:rPr>
          <w:rFonts w:ascii="Calibri" w:hAnsi="Calibri" w:eastAsia="Calibri" w:cs="Calibri"/>
          <w:b/>
          <w:bCs/>
          <w:sz w:val="22"/>
          <w:szCs w:val="22"/>
        </w:rPr>
      </w:pPr>
    </w:p>
    <w:p w14:paraId="1D9A78BF">
      <w:pPr>
        <w:spacing w:after="20"/>
      </w:pPr>
      <w:r>
        <w:rPr>
          <w:rFonts w:ascii="Calibri" w:hAnsi="Calibri" w:eastAsia="Calibri" w:cs="Calibri"/>
          <w:b/>
          <w:bCs/>
          <w:sz w:val="22"/>
          <w:szCs w:val="22"/>
        </w:rPr>
        <w:t>4.2. Autonomā mobilā platforma (AMR)</w:t>
      </w:r>
    </w:p>
    <w:p w14:paraId="6611DB9A">
      <w:pPr>
        <w:spacing w:after="150"/>
      </w:pPr>
      <w:r>
        <w:rPr>
          <w:rFonts w:ascii="Calibri" w:hAnsi="Calibri" w:eastAsia="Calibri" w:cs="Calibri"/>
          <w:b/>
          <w:bCs/>
          <w:i/>
          <w:iCs/>
          <w:color w:val="595959"/>
          <w:sz w:val="20"/>
          <w:szCs w:val="20"/>
        </w:rPr>
        <w:t>4.2. Autonomous mobile platform (AMR)</w:t>
      </w:r>
    </w:p>
    <w:tbl>
      <w:tblPr>
        <w:tblStyle w:val="10"/>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00"/>
        <w:gridCol w:w="2300"/>
        <w:gridCol w:w="4500"/>
        <w:gridCol w:w="2050"/>
      </w:tblGrid>
      <w:tr w14:paraId="3F2FAD93">
        <w:tc>
          <w:tcPr>
            <w:tcW w:w="500" w:type="dxa"/>
            <w:shd w:val="clear" w:color="auto" w:fill="BFBFBF"/>
            <w:tcMar>
              <w:top w:w="80" w:type="dxa"/>
              <w:left w:w="100" w:type="dxa"/>
              <w:bottom w:w="80" w:type="dxa"/>
              <w:right w:w="100" w:type="dxa"/>
            </w:tcMar>
            <w:vAlign w:val="center"/>
          </w:tcPr>
          <w:p w14:paraId="260D3AEE">
            <w:pPr>
              <w:spacing w:after="100"/>
              <w:jc w:val="center"/>
            </w:pPr>
            <w:r>
              <w:rPr>
                <w:rFonts w:ascii="Calibri" w:hAnsi="Calibri" w:eastAsia="Calibri" w:cs="Calibri"/>
                <w:b/>
                <w:bCs/>
                <w:i w:val="0"/>
                <w:iCs w:val="0"/>
                <w:sz w:val="21"/>
                <w:szCs w:val="21"/>
              </w:rPr>
              <w:t>#</w:t>
            </w:r>
          </w:p>
        </w:tc>
        <w:tc>
          <w:tcPr>
            <w:tcW w:w="2300" w:type="dxa"/>
            <w:shd w:val="clear" w:color="auto" w:fill="BFBFBF"/>
            <w:tcMar>
              <w:top w:w="80" w:type="dxa"/>
              <w:left w:w="100" w:type="dxa"/>
              <w:bottom w:w="80" w:type="dxa"/>
              <w:right w:w="100" w:type="dxa"/>
            </w:tcMar>
            <w:vAlign w:val="center"/>
          </w:tcPr>
          <w:p w14:paraId="199C0C9B">
            <w:pPr>
              <w:spacing w:after="30"/>
              <w:jc w:val="left"/>
            </w:pPr>
            <w:r>
              <w:rPr>
                <w:rFonts w:ascii="Calibri" w:hAnsi="Calibri" w:eastAsia="Calibri" w:cs="Calibri"/>
                <w:b/>
                <w:bCs/>
                <w:sz w:val="21"/>
                <w:szCs w:val="21"/>
              </w:rPr>
              <w:t>Raksturlielums</w:t>
            </w:r>
          </w:p>
          <w:p w14:paraId="3778FC78">
            <w:pPr>
              <w:spacing w:after="0"/>
              <w:jc w:val="left"/>
            </w:pPr>
            <w:r>
              <w:rPr>
                <w:rFonts w:ascii="Calibri" w:hAnsi="Calibri" w:eastAsia="Calibri" w:cs="Calibri"/>
                <w:i/>
                <w:iCs/>
                <w:color w:val="595959"/>
                <w:sz w:val="19"/>
                <w:szCs w:val="19"/>
              </w:rPr>
              <w:t>Characteristic</w:t>
            </w:r>
          </w:p>
        </w:tc>
        <w:tc>
          <w:tcPr>
            <w:tcW w:w="4500" w:type="dxa"/>
            <w:shd w:val="clear" w:color="auto" w:fill="BFBFBF"/>
            <w:tcMar>
              <w:top w:w="80" w:type="dxa"/>
              <w:left w:w="100" w:type="dxa"/>
              <w:bottom w:w="80" w:type="dxa"/>
              <w:right w:w="100" w:type="dxa"/>
            </w:tcMar>
            <w:vAlign w:val="center"/>
          </w:tcPr>
          <w:p w14:paraId="353D0B93">
            <w:pPr>
              <w:spacing w:after="30"/>
              <w:jc w:val="left"/>
            </w:pPr>
            <w:r>
              <w:rPr>
                <w:rFonts w:ascii="Calibri" w:hAnsi="Calibri" w:eastAsia="Calibri" w:cs="Calibri"/>
                <w:b/>
                <w:bCs/>
                <w:sz w:val="21"/>
                <w:szCs w:val="21"/>
              </w:rPr>
              <w:t>Prasība</w:t>
            </w:r>
          </w:p>
          <w:p w14:paraId="6397E767">
            <w:pPr>
              <w:spacing w:after="0"/>
              <w:jc w:val="left"/>
            </w:pPr>
            <w:r>
              <w:rPr>
                <w:rFonts w:ascii="Calibri" w:hAnsi="Calibri" w:eastAsia="Calibri" w:cs="Calibri"/>
                <w:i/>
                <w:iCs/>
                <w:color w:val="595959"/>
                <w:sz w:val="19"/>
                <w:szCs w:val="19"/>
              </w:rPr>
              <w:t>Requirement</w:t>
            </w:r>
          </w:p>
        </w:tc>
        <w:tc>
          <w:tcPr>
            <w:tcW w:w="2050" w:type="dxa"/>
            <w:shd w:val="clear" w:color="auto" w:fill="BFBFBF"/>
            <w:tcMar>
              <w:top w:w="80" w:type="dxa"/>
              <w:left w:w="100" w:type="dxa"/>
              <w:bottom w:w="80" w:type="dxa"/>
              <w:right w:w="100" w:type="dxa"/>
            </w:tcMar>
            <w:vAlign w:val="center"/>
          </w:tcPr>
          <w:p w14:paraId="4F89CA6D">
            <w:pPr>
              <w:spacing w:after="30"/>
              <w:jc w:val="left"/>
            </w:pPr>
            <w:r>
              <w:rPr>
                <w:rFonts w:ascii="Calibri" w:hAnsi="Calibri" w:eastAsia="Calibri" w:cs="Calibri"/>
                <w:b/>
                <w:bCs/>
                <w:sz w:val="21"/>
                <w:szCs w:val="21"/>
              </w:rPr>
              <w:t>Tehniskais piedāvājums</w:t>
            </w:r>
          </w:p>
          <w:p w14:paraId="001EE561">
            <w:pPr>
              <w:spacing w:after="0"/>
              <w:jc w:val="left"/>
            </w:pPr>
            <w:r>
              <w:rPr>
                <w:rFonts w:ascii="Calibri" w:hAnsi="Calibri" w:eastAsia="Calibri" w:cs="Calibri"/>
                <w:i/>
                <w:iCs/>
                <w:color w:val="595959"/>
                <w:sz w:val="19"/>
                <w:szCs w:val="19"/>
              </w:rPr>
              <w:t>Technical offer</w:t>
            </w:r>
          </w:p>
        </w:tc>
      </w:tr>
      <w:tr w14:paraId="77C206DF">
        <w:tc>
          <w:tcPr>
            <w:tcW w:w="500" w:type="dxa"/>
            <w:tcMar>
              <w:top w:w="80" w:type="dxa"/>
              <w:left w:w="100" w:type="dxa"/>
              <w:bottom w:w="80" w:type="dxa"/>
              <w:right w:w="100" w:type="dxa"/>
            </w:tcMar>
            <w:vAlign w:val="center"/>
          </w:tcPr>
          <w:p w14:paraId="581C385A">
            <w:pPr>
              <w:spacing w:after="100"/>
              <w:jc w:val="center"/>
            </w:pPr>
            <w:r>
              <w:rPr>
                <w:rFonts w:ascii="Calibri" w:hAnsi="Calibri" w:eastAsia="Calibri" w:cs="Calibri"/>
                <w:b w:val="0"/>
                <w:bCs w:val="0"/>
                <w:i w:val="0"/>
                <w:iCs w:val="0"/>
                <w:sz w:val="21"/>
                <w:szCs w:val="21"/>
              </w:rPr>
              <w:t>1</w:t>
            </w:r>
          </w:p>
        </w:tc>
        <w:tc>
          <w:tcPr>
            <w:tcW w:w="2300" w:type="dxa"/>
            <w:tcMar>
              <w:top w:w="80" w:type="dxa"/>
              <w:left w:w="100" w:type="dxa"/>
              <w:bottom w:w="80" w:type="dxa"/>
              <w:right w:w="100" w:type="dxa"/>
            </w:tcMar>
            <w:vAlign w:val="center"/>
          </w:tcPr>
          <w:p w14:paraId="2E532A9D">
            <w:pPr>
              <w:spacing w:after="30"/>
              <w:jc w:val="left"/>
            </w:pPr>
            <w:r>
              <w:rPr>
                <w:rFonts w:ascii="Calibri" w:hAnsi="Calibri" w:eastAsia="Calibri" w:cs="Calibri"/>
                <w:b/>
                <w:bCs/>
                <w:sz w:val="21"/>
                <w:szCs w:val="21"/>
              </w:rPr>
              <w:t>Gabarīti (G×P×A)</w:t>
            </w:r>
          </w:p>
          <w:p w14:paraId="67FD4AE7">
            <w:pPr>
              <w:spacing w:after="0"/>
              <w:jc w:val="left"/>
            </w:pPr>
            <w:r>
              <w:rPr>
                <w:rFonts w:ascii="Calibri" w:hAnsi="Calibri" w:eastAsia="Calibri" w:cs="Calibri"/>
                <w:i/>
                <w:iCs/>
                <w:color w:val="595959"/>
                <w:sz w:val="19"/>
                <w:szCs w:val="19"/>
              </w:rPr>
              <w:t>Dimensions (L×W×H)</w:t>
            </w:r>
          </w:p>
        </w:tc>
        <w:tc>
          <w:tcPr>
            <w:tcW w:w="4500" w:type="dxa"/>
            <w:tcMar>
              <w:top w:w="80" w:type="dxa"/>
              <w:left w:w="100" w:type="dxa"/>
              <w:bottom w:w="80" w:type="dxa"/>
              <w:right w:w="100" w:type="dxa"/>
            </w:tcMar>
            <w:vAlign w:val="center"/>
          </w:tcPr>
          <w:p w14:paraId="55956C1F">
            <w:pPr>
              <w:spacing w:after="30"/>
              <w:jc w:val="left"/>
            </w:pPr>
            <w:r>
              <w:rPr>
                <w:rFonts w:ascii="Calibri" w:hAnsi="Calibri" w:eastAsia="Calibri" w:cs="Calibri"/>
                <w:b w:val="0"/>
                <w:bCs w:val="0"/>
                <w:sz w:val="21"/>
                <w:szCs w:val="21"/>
              </w:rPr>
              <w:t>Aptuveni 800 × 520 × 300 mm</w:t>
            </w:r>
          </w:p>
          <w:p w14:paraId="00C1D2F2">
            <w:pPr>
              <w:spacing w:after="0"/>
              <w:jc w:val="left"/>
            </w:pPr>
            <w:r>
              <w:rPr>
                <w:rFonts w:ascii="Calibri" w:hAnsi="Calibri" w:eastAsia="Calibri" w:cs="Calibri"/>
                <w:i/>
                <w:iCs/>
                <w:color w:val="595959"/>
                <w:sz w:val="19"/>
                <w:szCs w:val="19"/>
              </w:rPr>
              <w:t>Approx. 800 × 520 × 300 mm</w:t>
            </w:r>
          </w:p>
        </w:tc>
        <w:tc>
          <w:tcPr>
            <w:tcW w:w="2050" w:type="dxa"/>
            <w:tcMar>
              <w:top w:w="80" w:type="dxa"/>
              <w:left w:w="100" w:type="dxa"/>
              <w:bottom w:w="80" w:type="dxa"/>
              <w:right w:w="100" w:type="dxa"/>
            </w:tcMar>
            <w:vAlign w:val="center"/>
          </w:tcPr>
          <w:p w14:paraId="6750DFE0">
            <w:pPr>
              <w:spacing w:after="100"/>
              <w:jc w:val="left"/>
            </w:pPr>
          </w:p>
        </w:tc>
      </w:tr>
      <w:tr w14:paraId="58813845">
        <w:tc>
          <w:tcPr>
            <w:tcW w:w="500" w:type="dxa"/>
            <w:tcMar>
              <w:top w:w="80" w:type="dxa"/>
              <w:left w:w="100" w:type="dxa"/>
              <w:bottom w:w="80" w:type="dxa"/>
              <w:right w:w="100" w:type="dxa"/>
            </w:tcMar>
            <w:vAlign w:val="center"/>
          </w:tcPr>
          <w:p w14:paraId="06336CC2">
            <w:pPr>
              <w:spacing w:after="100"/>
              <w:jc w:val="center"/>
            </w:pPr>
            <w:r>
              <w:rPr>
                <w:rFonts w:ascii="Calibri" w:hAnsi="Calibri" w:eastAsia="Calibri" w:cs="Calibri"/>
                <w:b w:val="0"/>
                <w:bCs w:val="0"/>
                <w:i w:val="0"/>
                <w:iCs w:val="0"/>
                <w:sz w:val="21"/>
                <w:szCs w:val="21"/>
              </w:rPr>
              <w:t>2</w:t>
            </w:r>
          </w:p>
        </w:tc>
        <w:tc>
          <w:tcPr>
            <w:tcW w:w="2300" w:type="dxa"/>
            <w:tcMar>
              <w:top w:w="80" w:type="dxa"/>
              <w:left w:w="100" w:type="dxa"/>
              <w:bottom w:w="80" w:type="dxa"/>
              <w:right w:w="100" w:type="dxa"/>
            </w:tcMar>
            <w:vAlign w:val="center"/>
          </w:tcPr>
          <w:p w14:paraId="6DAB0997">
            <w:pPr>
              <w:spacing w:after="30"/>
              <w:jc w:val="left"/>
            </w:pPr>
            <w:r>
              <w:rPr>
                <w:rFonts w:ascii="Calibri" w:hAnsi="Calibri" w:eastAsia="Calibri" w:cs="Calibri"/>
                <w:b/>
                <w:bCs/>
                <w:sz w:val="21"/>
                <w:szCs w:val="21"/>
              </w:rPr>
              <w:t>Svars</w:t>
            </w:r>
          </w:p>
          <w:p w14:paraId="16BB5549">
            <w:pPr>
              <w:spacing w:after="0"/>
              <w:jc w:val="left"/>
            </w:pPr>
            <w:r>
              <w:rPr>
                <w:rFonts w:ascii="Calibri" w:hAnsi="Calibri" w:eastAsia="Calibri" w:cs="Calibri"/>
                <w:i/>
                <w:iCs/>
                <w:color w:val="595959"/>
                <w:sz w:val="19"/>
                <w:szCs w:val="19"/>
              </w:rPr>
              <w:t>Weight</w:t>
            </w:r>
          </w:p>
        </w:tc>
        <w:tc>
          <w:tcPr>
            <w:tcW w:w="4500" w:type="dxa"/>
            <w:tcMar>
              <w:top w:w="80" w:type="dxa"/>
              <w:left w:w="100" w:type="dxa"/>
              <w:bottom w:w="80" w:type="dxa"/>
              <w:right w:w="100" w:type="dxa"/>
            </w:tcMar>
            <w:vAlign w:val="center"/>
          </w:tcPr>
          <w:p w14:paraId="08071448">
            <w:pPr>
              <w:spacing w:after="30"/>
              <w:jc w:val="left"/>
            </w:pPr>
            <w:r>
              <w:rPr>
                <w:rFonts w:ascii="Calibri" w:hAnsi="Calibri" w:eastAsia="Calibri" w:cs="Calibri"/>
                <w:b w:val="0"/>
                <w:bCs w:val="0"/>
                <w:sz w:val="21"/>
                <w:szCs w:val="21"/>
              </w:rPr>
              <w:t>Ne lielāks kā 130 kg</w:t>
            </w:r>
          </w:p>
          <w:p w14:paraId="2A0F8701">
            <w:pPr>
              <w:spacing w:after="0"/>
              <w:jc w:val="left"/>
            </w:pPr>
            <w:r>
              <w:rPr>
                <w:rFonts w:ascii="Calibri" w:hAnsi="Calibri" w:eastAsia="Calibri" w:cs="Calibri"/>
                <w:i/>
                <w:iCs/>
                <w:color w:val="595959"/>
                <w:sz w:val="19"/>
                <w:szCs w:val="19"/>
              </w:rPr>
              <w:t>Not more than 130 kg</w:t>
            </w:r>
          </w:p>
        </w:tc>
        <w:tc>
          <w:tcPr>
            <w:tcW w:w="2050" w:type="dxa"/>
            <w:tcMar>
              <w:top w:w="80" w:type="dxa"/>
              <w:left w:w="100" w:type="dxa"/>
              <w:bottom w:w="80" w:type="dxa"/>
              <w:right w:w="100" w:type="dxa"/>
            </w:tcMar>
            <w:vAlign w:val="center"/>
          </w:tcPr>
          <w:p w14:paraId="4975EF24">
            <w:pPr>
              <w:spacing w:after="100"/>
              <w:jc w:val="left"/>
            </w:pPr>
          </w:p>
        </w:tc>
      </w:tr>
      <w:tr w14:paraId="379723C9">
        <w:tc>
          <w:tcPr>
            <w:tcW w:w="500" w:type="dxa"/>
            <w:tcMar>
              <w:top w:w="80" w:type="dxa"/>
              <w:left w:w="100" w:type="dxa"/>
              <w:bottom w:w="80" w:type="dxa"/>
              <w:right w:w="100" w:type="dxa"/>
            </w:tcMar>
            <w:vAlign w:val="center"/>
          </w:tcPr>
          <w:p w14:paraId="574F096B">
            <w:pPr>
              <w:spacing w:after="100"/>
              <w:jc w:val="center"/>
            </w:pPr>
            <w:r>
              <w:rPr>
                <w:rFonts w:ascii="Calibri" w:hAnsi="Calibri" w:eastAsia="Calibri" w:cs="Calibri"/>
                <w:b w:val="0"/>
                <w:bCs w:val="0"/>
                <w:i w:val="0"/>
                <w:iCs w:val="0"/>
                <w:sz w:val="21"/>
                <w:szCs w:val="21"/>
              </w:rPr>
              <w:t>3</w:t>
            </w:r>
          </w:p>
        </w:tc>
        <w:tc>
          <w:tcPr>
            <w:tcW w:w="2300" w:type="dxa"/>
            <w:tcMar>
              <w:top w:w="80" w:type="dxa"/>
              <w:left w:w="100" w:type="dxa"/>
              <w:bottom w:w="80" w:type="dxa"/>
              <w:right w:w="100" w:type="dxa"/>
            </w:tcMar>
            <w:vAlign w:val="center"/>
          </w:tcPr>
          <w:p w14:paraId="03D677F6">
            <w:pPr>
              <w:spacing w:after="30"/>
              <w:jc w:val="left"/>
            </w:pPr>
            <w:r>
              <w:rPr>
                <w:rFonts w:ascii="Calibri" w:hAnsi="Calibri" w:eastAsia="Calibri" w:cs="Calibri"/>
                <w:b/>
                <w:bCs/>
                <w:sz w:val="21"/>
                <w:szCs w:val="21"/>
              </w:rPr>
              <w:t>Nominālā celtspēja</w:t>
            </w:r>
          </w:p>
          <w:p w14:paraId="32D08B90">
            <w:pPr>
              <w:spacing w:after="0"/>
              <w:jc w:val="left"/>
            </w:pPr>
            <w:r>
              <w:rPr>
                <w:rFonts w:ascii="Calibri" w:hAnsi="Calibri" w:eastAsia="Calibri" w:cs="Calibri"/>
                <w:i/>
                <w:iCs/>
                <w:color w:val="595959"/>
                <w:sz w:val="19"/>
                <w:szCs w:val="19"/>
              </w:rPr>
              <w:t>Rated payload</w:t>
            </w:r>
          </w:p>
        </w:tc>
        <w:tc>
          <w:tcPr>
            <w:tcW w:w="4500" w:type="dxa"/>
            <w:tcMar>
              <w:top w:w="80" w:type="dxa"/>
              <w:left w:w="100" w:type="dxa"/>
              <w:bottom w:w="80" w:type="dxa"/>
              <w:right w:w="100" w:type="dxa"/>
            </w:tcMar>
            <w:vAlign w:val="center"/>
          </w:tcPr>
          <w:p w14:paraId="6ED9EC39">
            <w:pPr>
              <w:spacing w:after="30"/>
              <w:jc w:val="left"/>
            </w:pPr>
            <w:r>
              <w:rPr>
                <w:rFonts w:ascii="Calibri" w:hAnsi="Calibri" w:eastAsia="Calibri" w:cs="Calibri"/>
                <w:b w:val="0"/>
                <w:bCs w:val="0"/>
                <w:sz w:val="21"/>
                <w:szCs w:val="21"/>
              </w:rPr>
              <w:t>Ne mazāka kā 250 kg (jāietver robota rokas svars, skat. 4.1.7. punktu)</w:t>
            </w:r>
          </w:p>
          <w:p w14:paraId="124B4F98">
            <w:pPr>
              <w:spacing w:after="0"/>
              <w:jc w:val="left"/>
            </w:pPr>
            <w:r>
              <w:rPr>
                <w:rFonts w:ascii="Calibri" w:hAnsi="Calibri" w:eastAsia="Calibri" w:cs="Calibri"/>
                <w:i/>
                <w:iCs/>
                <w:color w:val="595959"/>
                <w:sz w:val="19"/>
                <w:szCs w:val="19"/>
              </w:rPr>
              <w:t>Not less than 250 kg (must accommodate the robot arm's weight, see clause 4.1.7)</w:t>
            </w:r>
          </w:p>
        </w:tc>
        <w:tc>
          <w:tcPr>
            <w:tcW w:w="2050" w:type="dxa"/>
            <w:tcMar>
              <w:top w:w="80" w:type="dxa"/>
              <w:left w:w="100" w:type="dxa"/>
              <w:bottom w:w="80" w:type="dxa"/>
              <w:right w:w="100" w:type="dxa"/>
            </w:tcMar>
            <w:vAlign w:val="center"/>
          </w:tcPr>
          <w:p w14:paraId="08EAC15C">
            <w:pPr>
              <w:spacing w:after="100"/>
              <w:jc w:val="left"/>
            </w:pPr>
          </w:p>
        </w:tc>
      </w:tr>
      <w:tr w14:paraId="6774DCB1">
        <w:tc>
          <w:tcPr>
            <w:tcW w:w="500" w:type="dxa"/>
            <w:tcMar>
              <w:top w:w="80" w:type="dxa"/>
              <w:left w:w="100" w:type="dxa"/>
              <w:bottom w:w="80" w:type="dxa"/>
              <w:right w:w="100" w:type="dxa"/>
            </w:tcMar>
            <w:vAlign w:val="center"/>
          </w:tcPr>
          <w:p w14:paraId="16FA5E7A">
            <w:pPr>
              <w:spacing w:after="100"/>
              <w:jc w:val="center"/>
            </w:pPr>
            <w:r>
              <w:rPr>
                <w:rFonts w:ascii="Calibri" w:hAnsi="Calibri" w:eastAsia="Calibri" w:cs="Calibri"/>
                <w:b w:val="0"/>
                <w:bCs w:val="0"/>
                <w:i w:val="0"/>
                <w:iCs w:val="0"/>
                <w:sz w:val="21"/>
                <w:szCs w:val="21"/>
              </w:rPr>
              <w:t>4</w:t>
            </w:r>
          </w:p>
        </w:tc>
        <w:tc>
          <w:tcPr>
            <w:tcW w:w="2300" w:type="dxa"/>
            <w:tcMar>
              <w:top w:w="80" w:type="dxa"/>
              <w:left w:w="100" w:type="dxa"/>
              <w:bottom w:w="80" w:type="dxa"/>
              <w:right w:w="100" w:type="dxa"/>
            </w:tcMar>
            <w:vAlign w:val="center"/>
          </w:tcPr>
          <w:p w14:paraId="1DA2C964">
            <w:pPr>
              <w:spacing w:after="30"/>
              <w:jc w:val="left"/>
            </w:pPr>
            <w:r>
              <w:rPr>
                <w:rFonts w:ascii="Calibri" w:hAnsi="Calibri" w:eastAsia="Calibri" w:cs="Calibri"/>
                <w:b/>
                <w:bCs/>
                <w:sz w:val="21"/>
                <w:szCs w:val="21"/>
              </w:rPr>
              <w:t>Maksimālais ātrums</w:t>
            </w:r>
          </w:p>
          <w:p w14:paraId="58803C92">
            <w:pPr>
              <w:spacing w:after="0"/>
              <w:jc w:val="left"/>
            </w:pPr>
            <w:r>
              <w:rPr>
                <w:rFonts w:ascii="Calibri" w:hAnsi="Calibri" w:eastAsia="Calibri" w:cs="Calibri"/>
                <w:i/>
                <w:iCs/>
                <w:color w:val="595959"/>
                <w:sz w:val="19"/>
                <w:szCs w:val="19"/>
              </w:rPr>
              <w:t>Maximum speed</w:t>
            </w:r>
          </w:p>
        </w:tc>
        <w:tc>
          <w:tcPr>
            <w:tcW w:w="4500" w:type="dxa"/>
            <w:tcMar>
              <w:top w:w="80" w:type="dxa"/>
              <w:left w:w="100" w:type="dxa"/>
              <w:bottom w:w="80" w:type="dxa"/>
              <w:right w:w="100" w:type="dxa"/>
            </w:tcMar>
            <w:vAlign w:val="center"/>
          </w:tcPr>
          <w:p w14:paraId="51B9E085">
            <w:pPr>
              <w:spacing w:after="30"/>
              <w:jc w:val="left"/>
            </w:pPr>
            <w:r>
              <w:rPr>
                <w:rFonts w:ascii="Calibri" w:hAnsi="Calibri" w:eastAsia="Calibri" w:cs="Calibri"/>
                <w:b w:val="0"/>
                <w:bCs w:val="0"/>
                <w:sz w:val="21"/>
                <w:szCs w:val="21"/>
              </w:rPr>
              <w:t>Ne mazāks kā 2 m/s</w:t>
            </w:r>
          </w:p>
          <w:p w14:paraId="3A4967FD">
            <w:pPr>
              <w:spacing w:after="0"/>
              <w:jc w:val="left"/>
            </w:pPr>
            <w:r>
              <w:rPr>
                <w:rFonts w:ascii="Calibri" w:hAnsi="Calibri" w:eastAsia="Calibri" w:cs="Calibri"/>
                <w:i/>
                <w:iCs/>
                <w:color w:val="595959"/>
                <w:sz w:val="19"/>
                <w:szCs w:val="19"/>
              </w:rPr>
              <w:t>Not less than 2 m/s</w:t>
            </w:r>
          </w:p>
        </w:tc>
        <w:tc>
          <w:tcPr>
            <w:tcW w:w="2050" w:type="dxa"/>
            <w:tcMar>
              <w:top w:w="80" w:type="dxa"/>
              <w:left w:w="100" w:type="dxa"/>
              <w:bottom w:w="80" w:type="dxa"/>
              <w:right w:w="100" w:type="dxa"/>
            </w:tcMar>
            <w:vAlign w:val="center"/>
          </w:tcPr>
          <w:p w14:paraId="46C12501">
            <w:pPr>
              <w:spacing w:after="100"/>
              <w:jc w:val="left"/>
            </w:pPr>
          </w:p>
        </w:tc>
      </w:tr>
      <w:tr w14:paraId="56286304">
        <w:tc>
          <w:tcPr>
            <w:tcW w:w="500" w:type="dxa"/>
            <w:tcMar>
              <w:top w:w="80" w:type="dxa"/>
              <w:left w:w="100" w:type="dxa"/>
              <w:bottom w:w="80" w:type="dxa"/>
              <w:right w:w="100" w:type="dxa"/>
            </w:tcMar>
            <w:vAlign w:val="center"/>
          </w:tcPr>
          <w:p w14:paraId="4F6FA6A2">
            <w:pPr>
              <w:spacing w:after="100"/>
              <w:jc w:val="center"/>
            </w:pPr>
            <w:r>
              <w:rPr>
                <w:rFonts w:ascii="Calibri" w:hAnsi="Calibri" w:eastAsia="Calibri" w:cs="Calibri"/>
                <w:b w:val="0"/>
                <w:bCs w:val="0"/>
                <w:i w:val="0"/>
                <w:iCs w:val="0"/>
                <w:sz w:val="21"/>
                <w:szCs w:val="21"/>
              </w:rPr>
              <w:t>5</w:t>
            </w:r>
          </w:p>
        </w:tc>
        <w:tc>
          <w:tcPr>
            <w:tcW w:w="2300" w:type="dxa"/>
            <w:tcMar>
              <w:top w:w="80" w:type="dxa"/>
              <w:left w:w="100" w:type="dxa"/>
              <w:bottom w:w="80" w:type="dxa"/>
              <w:right w:w="100" w:type="dxa"/>
            </w:tcMar>
            <w:vAlign w:val="center"/>
          </w:tcPr>
          <w:p w14:paraId="59026C6C">
            <w:pPr>
              <w:spacing w:after="30"/>
              <w:jc w:val="left"/>
            </w:pPr>
            <w:r>
              <w:rPr>
                <w:rFonts w:ascii="Calibri" w:hAnsi="Calibri" w:eastAsia="Calibri" w:cs="Calibri"/>
                <w:b/>
                <w:bCs/>
                <w:sz w:val="21"/>
                <w:szCs w:val="21"/>
              </w:rPr>
              <w:t>Darbības laiks (viens uzlādes cikls)</w:t>
            </w:r>
          </w:p>
          <w:p w14:paraId="7E08A7D4">
            <w:pPr>
              <w:spacing w:after="0"/>
              <w:jc w:val="left"/>
            </w:pPr>
            <w:r>
              <w:rPr>
                <w:rFonts w:ascii="Calibri" w:hAnsi="Calibri" w:eastAsia="Calibri" w:cs="Calibri"/>
                <w:i/>
                <w:iCs/>
                <w:color w:val="595959"/>
                <w:sz w:val="19"/>
                <w:szCs w:val="19"/>
              </w:rPr>
              <w:t>Operating time (per charge)</w:t>
            </w:r>
          </w:p>
        </w:tc>
        <w:tc>
          <w:tcPr>
            <w:tcW w:w="4500" w:type="dxa"/>
            <w:tcMar>
              <w:top w:w="80" w:type="dxa"/>
              <w:left w:w="100" w:type="dxa"/>
              <w:bottom w:w="80" w:type="dxa"/>
              <w:right w:w="100" w:type="dxa"/>
            </w:tcMar>
            <w:vAlign w:val="center"/>
          </w:tcPr>
          <w:p w14:paraId="2EBC2101">
            <w:pPr>
              <w:spacing w:after="30"/>
              <w:jc w:val="left"/>
            </w:pPr>
            <w:r>
              <w:rPr>
                <w:rFonts w:ascii="Calibri" w:hAnsi="Calibri" w:eastAsia="Calibri" w:cs="Calibri"/>
                <w:b w:val="0"/>
                <w:bCs w:val="0"/>
                <w:sz w:val="21"/>
                <w:szCs w:val="21"/>
              </w:rPr>
              <w:t>Ne mazāks kā 8 h</w:t>
            </w:r>
          </w:p>
          <w:p w14:paraId="0337A8A0">
            <w:pPr>
              <w:spacing w:after="0"/>
              <w:jc w:val="left"/>
            </w:pPr>
            <w:r>
              <w:rPr>
                <w:rFonts w:ascii="Calibri" w:hAnsi="Calibri" w:eastAsia="Calibri" w:cs="Calibri"/>
                <w:i/>
                <w:iCs/>
                <w:color w:val="595959"/>
                <w:sz w:val="19"/>
                <w:szCs w:val="19"/>
              </w:rPr>
              <w:t>Not less than 8 h</w:t>
            </w:r>
          </w:p>
        </w:tc>
        <w:tc>
          <w:tcPr>
            <w:tcW w:w="2050" w:type="dxa"/>
            <w:tcMar>
              <w:top w:w="80" w:type="dxa"/>
              <w:left w:w="100" w:type="dxa"/>
              <w:bottom w:w="80" w:type="dxa"/>
              <w:right w:w="100" w:type="dxa"/>
            </w:tcMar>
            <w:vAlign w:val="center"/>
          </w:tcPr>
          <w:p w14:paraId="215C734D">
            <w:pPr>
              <w:spacing w:after="100"/>
              <w:jc w:val="left"/>
            </w:pPr>
          </w:p>
        </w:tc>
      </w:tr>
      <w:tr w14:paraId="66925090">
        <w:tc>
          <w:tcPr>
            <w:tcW w:w="500" w:type="dxa"/>
            <w:tcMar>
              <w:top w:w="80" w:type="dxa"/>
              <w:left w:w="100" w:type="dxa"/>
              <w:bottom w:w="80" w:type="dxa"/>
              <w:right w:w="100" w:type="dxa"/>
            </w:tcMar>
            <w:vAlign w:val="center"/>
          </w:tcPr>
          <w:p w14:paraId="6E801E12">
            <w:pPr>
              <w:spacing w:after="100"/>
              <w:jc w:val="center"/>
            </w:pPr>
            <w:r>
              <w:rPr>
                <w:rFonts w:ascii="Calibri" w:hAnsi="Calibri" w:eastAsia="Calibri" w:cs="Calibri"/>
                <w:b w:val="0"/>
                <w:bCs w:val="0"/>
                <w:i w:val="0"/>
                <w:iCs w:val="0"/>
                <w:sz w:val="21"/>
                <w:szCs w:val="21"/>
              </w:rPr>
              <w:t>6</w:t>
            </w:r>
          </w:p>
        </w:tc>
        <w:tc>
          <w:tcPr>
            <w:tcW w:w="2300" w:type="dxa"/>
            <w:tcMar>
              <w:top w:w="80" w:type="dxa"/>
              <w:left w:w="100" w:type="dxa"/>
              <w:bottom w:w="80" w:type="dxa"/>
              <w:right w:w="100" w:type="dxa"/>
            </w:tcMar>
            <w:vAlign w:val="center"/>
          </w:tcPr>
          <w:p w14:paraId="085FD17A">
            <w:pPr>
              <w:spacing w:after="30"/>
              <w:jc w:val="left"/>
            </w:pPr>
            <w:r>
              <w:rPr>
                <w:rFonts w:ascii="Calibri" w:hAnsi="Calibri" w:eastAsia="Calibri" w:cs="Calibri"/>
                <w:b/>
                <w:bCs/>
                <w:sz w:val="21"/>
                <w:szCs w:val="21"/>
              </w:rPr>
              <w:t>Uzlādes laiks</w:t>
            </w:r>
          </w:p>
          <w:p w14:paraId="2D754391">
            <w:pPr>
              <w:spacing w:after="0"/>
              <w:jc w:val="left"/>
            </w:pPr>
            <w:r>
              <w:rPr>
                <w:rFonts w:ascii="Calibri" w:hAnsi="Calibri" w:eastAsia="Calibri" w:cs="Calibri"/>
                <w:i/>
                <w:iCs/>
                <w:color w:val="595959"/>
                <w:sz w:val="19"/>
                <w:szCs w:val="19"/>
              </w:rPr>
              <w:t>Charging time</w:t>
            </w:r>
          </w:p>
        </w:tc>
        <w:tc>
          <w:tcPr>
            <w:tcW w:w="4500" w:type="dxa"/>
            <w:tcMar>
              <w:top w:w="80" w:type="dxa"/>
              <w:left w:w="100" w:type="dxa"/>
              <w:bottom w:w="80" w:type="dxa"/>
              <w:right w:w="100" w:type="dxa"/>
            </w:tcMar>
            <w:vAlign w:val="center"/>
          </w:tcPr>
          <w:p w14:paraId="3744ECC3">
            <w:pPr>
              <w:spacing w:after="30"/>
              <w:jc w:val="left"/>
            </w:pPr>
            <w:r>
              <w:rPr>
                <w:rFonts w:ascii="Calibri" w:hAnsi="Calibri" w:eastAsia="Calibri" w:cs="Calibri"/>
                <w:b w:val="0"/>
                <w:bCs w:val="0"/>
                <w:sz w:val="21"/>
                <w:szCs w:val="21"/>
              </w:rPr>
              <w:t>Ne ilgāks kā 2 h</w:t>
            </w:r>
          </w:p>
          <w:p w14:paraId="48BBB205">
            <w:pPr>
              <w:spacing w:after="0"/>
              <w:jc w:val="left"/>
            </w:pPr>
            <w:r>
              <w:rPr>
                <w:rFonts w:ascii="Calibri" w:hAnsi="Calibri" w:eastAsia="Calibri" w:cs="Calibri"/>
                <w:i/>
                <w:iCs/>
                <w:color w:val="595959"/>
                <w:sz w:val="19"/>
                <w:szCs w:val="19"/>
              </w:rPr>
              <w:t>Not more than 2 h</w:t>
            </w:r>
          </w:p>
        </w:tc>
        <w:tc>
          <w:tcPr>
            <w:tcW w:w="2050" w:type="dxa"/>
            <w:tcMar>
              <w:top w:w="80" w:type="dxa"/>
              <w:left w:w="100" w:type="dxa"/>
              <w:bottom w:w="80" w:type="dxa"/>
              <w:right w:w="100" w:type="dxa"/>
            </w:tcMar>
            <w:vAlign w:val="center"/>
          </w:tcPr>
          <w:p w14:paraId="57057CCD">
            <w:pPr>
              <w:spacing w:after="100"/>
              <w:jc w:val="left"/>
            </w:pPr>
          </w:p>
        </w:tc>
      </w:tr>
      <w:tr w14:paraId="782B7540">
        <w:tc>
          <w:tcPr>
            <w:tcW w:w="500" w:type="dxa"/>
            <w:tcMar>
              <w:top w:w="80" w:type="dxa"/>
              <w:left w:w="100" w:type="dxa"/>
              <w:bottom w:w="80" w:type="dxa"/>
              <w:right w:w="100" w:type="dxa"/>
            </w:tcMar>
            <w:vAlign w:val="center"/>
          </w:tcPr>
          <w:p w14:paraId="2048F753">
            <w:pPr>
              <w:spacing w:after="100"/>
              <w:jc w:val="center"/>
            </w:pPr>
            <w:r>
              <w:rPr>
                <w:rFonts w:ascii="Calibri" w:hAnsi="Calibri" w:eastAsia="Calibri" w:cs="Calibri"/>
                <w:b w:val="0"/>
                <w:bCs w:val="0"/>
                <w:i w:val="0"/>
                <w:iCs w:val="0"/>
                <w:sz w:val="21"/>
                <w:szCs w:val="21"/>
              </w:rPr>
              <w:t>7</w:t>
            </w:r>
          </w:p>
        </w:tc>
        <w:tc>
          <w:tcPr>
            <w:tcW w:w="2300" w:type="dxa"/>
            <w:tcMar>
              <w:top w:w="80" w:type="dxa"/>
              <w:left w:w="100" w:type="dxa"/>
              <w:bottom w:w="80" w:type="dxa"/>
              <w:right w:w="100" w:type="dxa"/>
            </w:tcMar>
            <w:vAlign w:val="center"/>
          </w:tcPr>
          <w:p w14:paraId="23598F0E">
            <w:pPr>
              <w:spacing w:after="30"/>
              <w:jc w:val="left"/>
            </w:pPr>
            <w:r>
              <w:rPr>
                <w:rFonts w:ascii="Calibri" w:hAnsi="Calibri" w:eastAsia="Calibri" w:cs="Calibri"/>
                <w:b/>
                <w:bCs/>
                <w:sz w:val="21"/>
                <w:szCs w:val="21"/>
              </w:rPr>
              <w:t>Pozicionēšanas precizitāte</w:t>
            </w:r>
          </w:p>
          <w:p w14:paraId="24632BA9">
            <w:pPr>
              <w:spacing w:after="0"/>
              <w:jc w:val="left"/>
            </w:pPr>
            <w:r>
              <w:rPr>
                <w:rFonts w:ascii="Calibri" w:hAnsi="Calibri" w:eastAsia="Calibri" w:cs="Calibri"/>
                <w:i/>
                <w:iCs/>
                <w:color w:val="595959"/>
                <w:sz w:val="19"/>
                <w:szCs w:val="19"/>
              </w:rPr>
              <w:t>Positioning accuracy</w:t>
            </w:r>
          </w:p>
        </w:tc>
        <w:tc>
          <w:tcPr>
            <w:tcW w:w="4500" w:type="dxa"/>
            <w:tcMar>
              <w:top w:w="80" w:type="dxa"/>
              <w:left w:w="100" w:type="dxa"/>
              <w:bottom w:w="80" w:type="dxa"/>
              <w:right w:w="100" w:type="dxa"/>
            </w:tcMar>
            <w:vAlign w:val="center"/>
          </w:tcPr>
          <w:p w14:paraId="4FE1394F">
            <w:pPr>
              <w:spacing w:after="30"/>
              <w:jc w:val="left"/>
            </w:pPr>
            <w:r>
              <w:rPr>
                <w:rFonts w:ascii="Calibri" w:hAnsi="Calibri" w:eastAsia="Calibri" w:cs="Calibri"/>
                <w:b w:val="0"/>
                <w:bCs w:val="0"/>
                <w:sz w:val="21"/>
                <w:szCs w:val="21"/>
              </w:rPr>
              <w:t>SLAM: ±10 mm, ±1°; QR: ±5 mm, ±0,5° (vai labāka)</w:t>
            </w:r>
          </w:p>
          <w:p w14:paraId="219DF234">
            <w:pPr>
              <w:spacing w:after="0"/>
              <w:jc w:val="left"/>
            </w:pPr>
            <w:r>
              <w:rPr>
                <w:rFonts w:ascii="Calibri" w:hAnsi="Calibri" w:eastAsia="Calibri" w:cs="Calibri"/>
                <w:i/>
                <w:iCs/>
                <w:color w:val="595959"/>
                <w:sz w:val="19"/>
                <w:szCs w:val="19"/>
              </w:rPr>
              <w:t>SLAM: ±10 mm, ±1°; QR: ±5 mm, ±0.5° (or better)</w:t>
            </w:r>
          </w:p>
        </w:tc>
        <w:tc>
          <w:tcPr>
            <w:tcW w:w="2050" w:type="dxa"/>
            <w:tcMar>
              <w:top w:w="80" w:type="dxa"/>
              <w:left w:w="100" w:type="dxa"/>
              <w:bottom w:w="80" w:type="dxa"/>
              <w:right w:w="100" w:type="dxa"/>
            </w:tcMar>
            <w:vAlign w:val="center"/>
          </w:tcPr>
          <w:p w14:paraId="47783B65">
            <w:pPr>
              <w:spacing w:after="100"/>
              <w:jc w:val="left"/>
            </w:pPr>
          </w:p>
        </w:tc>
      </w:tr>
      <w:tr w14:paraId="62C6D37E">
        <w:tc>
          <w:tcPr>
            <w:tcW w:w="500" w:type="dxa"/>
            <w:tcMar>
              <w:top w:w="80" w:type="dxa"/>
              <w:left w:w="100" w:type="dxa"/>
              <w:bottom w:w="80" w:type="dxa"/>
              <w:right w:w="100" w:type="dxa"/>
            </w:tcMar>
            <w:vAlign w:val="center"/>
          </w:tcPr>
          <w:p w14:paraId="0FD669A1">
            <w:pPr>
              <w:spacing w:after="100"/>
              <w:jc w:val="center"/>
            </w:pPr>
            <w:r>
              <w:rPr>
                <w:rFonts w:ascii="Calibri" w:hAnsi="Calibri" w:eastAsia="Calibri" w:cs="Calibri"/>
                <w:b w:val="0"/>
                <w:bCs w:val="0"/>
                <w:i w:val="0"/>
                <w:iCs w:val="0"/>
                <w:sz w:val="21"/>
                <w:szCs w:val="21"/>
              </w:rPr>
              <w:t>8</w:t>
            </w:r>
          </w:p>
        </w:tc>
        <w:tc>
          <w:tcPr>
            <w:tcW w:w="2300" w:type="dxa"/>
            <w:tcMar>
              <w:top w:w="80" w:type="dxa"/>
              <w:left w:w="100" w:type="dxa"/>
              <w:bottom w:w="80" w:type="dxa"/>
              <w:right w:w="100" w:type="dxa"/>
            </w:tcMar>
            <w:vAlign w:val="center"/>
          </w:tcPr>
          <w:p w14:paraId="7F6A77FB">
            <w:pPr>
              <w:spacing w:after="30"/>
              <w:jc w:val="left"/>
            </w:pPr>
            <w:r>
              <w:rPr>
                <w:rFonts w:ascii="Calibri" w:hAnsi="Calibri" w:eastAsia="Calibri" w:cs="Calibri"/>
                <w:b/>
                <w:bCs/>
                <w:sz w:val="21"/>
                <w:szCs w:val="21"/>
              </w:rPr>
              <w:t>Piedziņa un navigācija</w:t>
            </w:r>
          </w:p>
          <w:p w14:paraId="1455A41D">
            <w:pPr>
              <w:spacing w:after="0"/>
              <w:jc w:val="left"/>
            </w:pPr>
            <w:r>
              <w:rPr>
                <w:rFonts w:ascii="Calibri" w:hAnsi="Calibri" w:eastAsia="Calibri" w:cs="Calibri"/>
                <w:i/>
                <w:iCs/>
                <w:color w:val="595959"/>
                <w:sz w:val="19"/>
                <w:szCs w:val="19"/>
              </w:rPr>
              <w:t>Drive and navigation</w:t>
            </w:r>
          </w:p>
        </w:tc>
        <w:tc>
          <w:tcPr>
            <w:tcW w:w="4500" w:type="dxa"/>
            <w:tcMar>
              <w:top w:w="80" w:type="dxa"/>
              <w:left w:w="100" w:type="dxa"/>
              <w:bottom w:w="80" w:type="dxa"/>
              <w:right w:w="100" w:type="dxa"/>
            </w:tcMar>
            <w:vAlign w:val="center"/>
          </w:tcPr>
          <w:p w14:paraId="7FED1C05">
            <w:pPr>
              <w:spacing w:after="30"/>
              <w:jc w:val="left"/>
            </w:pPr>
            <w:r>
              <w:rPr>
                <w:rFonts w:ascii="Calibri" w:hAnsi="Calibri" w:eastAsia="Calibri" w:cs="Calibri"/>
                <w:b w:val="0"/>
                <w:bCs w:val="0"/>
                <w:sz w:val="21"/>
                <w:szCs w:val="21"/>
              </w:rPr>
              <w:t>Diferenciālā piedziņa; brīvā (SLAM) navigācija, QR koda navigācija kā alternatīva</w:t>
            </w:r>
          </w:p>
          <w:p w14:paraId="390D9A93">
            <w:pPr>
              <w:spacing w:after="0"/>
              <w:jc w:val="left"/>
            </w:pPr>
            <w:r>
              <w:rPr>
                <w:rFonts w:ascii="Calibri" w:hAnsi="Calibri" w:eastAsia="Calibri" w:cs="Calibri"/>
                <w:i/>
                <w:iCs/>
                <w:color w:val="595959"/>
                <w:sz w:val="19"/>
                <w:szCs w:val="19"/>
              </w:rPr>
              <w:t>Differential drive; free (SLAM) navigation, QR code navigation as an alternative</w:t>
            </w:r>
          </w:p>
        </w:tc>
        <w:tc>
          <w:tcPr>
            <w:tcW w:w="2050" w:type="dxa"/>
            <w:tcMar>
              <w:top w:w="80" w:type="dxa"/>
              <w:left w:w="100" w:type="dxa"/>
              <w:bottom w:w="80" w:type="dxa"/>
              <w:right w:w="100" w:type="dxa"/>
            </w:tcMar>
            <w:vAlign w:val="center"/>
          </w:tcPr>
          <w:p w14:paraId="23BAE303">
            <w:pPr>
              <w:spacing w:after="100"/>
              <w:jc w:val="left"/>
            </w:pPr>
          </w:p>
        </w:tc>
      </w:tr>
      <w:tr w14:paraId="160FCE38">
        <w:tc>
          <w:tcPr>
            <w:tcW w:w="500" w:type="dxa"/>
            <w:tcMar>
              <w:top w:w="80" w:type="dxa"/>
              <w:left w:w="100" w:type="dxa"/>
              <w:bottom w:w="80" w:type="dxa"/>
              <w:right w:w="100" w:type="dxa"/>
            </w:tcMar>
            <w:vAlign w:val="center"/>
          </w:tcPr>
          <w:p w14:paraId="24CF5F7F">
            <w:pPr>
              <w:spacing w:after="100"/>
              <w:jc w:val="center"/>
            </w:pPr>
            <w:r>
              <w:rPr>
                <w:rFonts w:ascii="Calibri" w:hAnsi="Calibri" w:eastAsia="Calibri" w:cs="Calibri"/>
                <w:b w:val="0"/>
                <w:bCs w:val="0"/>
                <w:i w:val="0"/>
                <w:iCs w:val="0"/>
                <w:sz w:val="21"/>
                <w:szCs w:val="21"/>
              </w:rPr>
              <w:t>9</w:t>
            </w:r>
          </w:p>
        </w:tc>
        <w:tc>
          <w:tcPr>
            <w:tcW w:w="2300" w:type="dxa"/>
            <w:tcMar>
              <w:top w:w="80" w:type="dxa"/>
              <w:left w:w="100" w:type="dxa"/>
              <w:bottom w:w="80" w:type="dxa"/>
              <w:right w:w="100" w:type="dxa"/>
            </w:tcMar>
            <w:vAlign w:val="center"/>
          </w:tcPr>
          <w:p w14:paraId="0C713F5B">
            <w:pPr>
              <w:spacing w:after="30"/>
              <w:jc w:val="left"/>
            </w:pPr>
            <w:r>
              <w:rPr>
                <w:rFonts w:ascii="Calibri" w:hAnsi="Calibri" w:eastAsia="Calibri" w:cs="Calibri"/>
                <w:b/>
                <w:bCs/>
                <w:sz w:val="21"/>
                <w:szCs w:val="21"/>
              </w:rPr>
              <w:t>Šķēršļu noteikšana</w:t>
            </w:r>
          </w:p>
          <w:p w14:paraId="0E22A00B">
            <w:pPr>
              <w:spacing w:after="0"/>
              <w:jc w:val="left"/>
            </w:pPr>
            <w:r>
              <w:rPr>
                <w:rFonts w:ascii="Calibri" w:hAnsi="Calibri" w:eastAsia="Calibri" w:cs="Calibri"/>
                <w:i/>
                <w:iCs/>
                <w:color w:val="595959"/>
                <w:sz w:val="19"/>
                <w:szCs w:val="19"/>
              </w:rPr>
              <w:t>Obstacle detection</w:t>
            </w:r>
          </w:p>
        </w:tc>
        <w:tc>
          <w:tcPr>
            <w:tcW w:w="4500" w:type="dxa"/>
            <w:tcMar>
              <w:top w:w="80" w:type="dxa"/>
              <w:left w:w="100" w:type="dxa"/>
              <w:bottom w:w="80" w:type="dxa"/>
              <w:right w:w="100" w:type="dxa"/>
            </w:tcMar>
            <w:vAlign w:val="center"/>
          </w:tcPr>
          <w:p w14:paraId="35F0500F">
            <w:pPr>
              <w:spacing w:after="30"/>
              <w:jc w:val="left"/>
            </w:pPr>
            <w:r>
              <w:rPr>
                <w:rFonts w:ascii="Calibri" w:hAnsi="Calibri" w:eastAsia="Calibri" w:cs="Calibri"/>
                <w:b w:val="0"/>
                <w:bCs w:val="0"/>
                <w:sz w:val="21"/>
                <w:szCs w:val="21"/>
              </w:rPr>
              <w:t>Ne mazāk kā 2 diagonāli novietoti lāzerskeneri + 3D kameras, 360° aizsardzība</w:t>
            </w:r>
          </w:p>
          <w:p w14:paraId="3342C69C">
            <w:pPr>
              <w:spacing w:after="0"/>
              <w:jc w:val="left"/>
            </w:pPr>
            <w:r>
              <w:rPr>
                <w:rFonts w:ascii="Calibri" w:hAnsi="Calibri" w:eastAsia="Calibri" w:cs="Calibri"/>
                <w:i/>
                <w:iCs/>
                <w:color w:val="595959"/>
                <w:sz w:val="19"/>
                <w:szCs w:val="19"/>
              </w:rPr>
              <w:t>At least 2 diagonally mounted laser scanners + 3D cameras, 360° protection</w:t>
            </w:r>
          </w:p>
        </w:tc>
        <w:tc>
          <w:tcPr>
            <w:tcW w:w="2050" w:type="dxa"/>
            <w:tcMar>
              <w:top w:w="80" w:type="dxa"/>
              <w:left w:w="100" w:type="dxa"/>
              <w:bottom w:w="80" w:type="dxa"/>
              <w:right w:w="100" w:type="dxa"/>
            </w:tcMar>
            <w:vAlign w:val="center"/>
          </w:tcPr>
          <w:p w14:paraId="50C6A378">
            <w:pPr>
              <w:spacing w:after="100"/>
              <w:jc w:val="left"/>
            </w:pPr>
          </w:p>
        </w:tc>
      </w:tr>
      <w:tr w14:paraId="6C4DB353">
        <w:tc>
          <w:tcPr>
            <w:tcW w:w="500" w:type="dxa"/>
            <w:tcMar>
              <w:top w:w="80" w:type="dxa"/>
              <w:left w:w="100" w:type="dxa"/>
              <w:bottom w:w="80" w:type="dxa"/>
              <w:right w:w="100" w:type="dxa"/>
            </w:tcMar>
            <w:vAlign w:val="center"/>
          </w:tcPr>
          <w:p w14:paraId="3CB93781">
            <w:pPr>
              <w:spacing w:after="100"/>
              <w:jc w:val="center"/>
            </w:pPr>
            <w:r>
              <w:rPr>
                <w:rFonts w:ascii="Calibri" w:hAnsi="Calibri" w:eastAsia="Calibri" w:cs="Calibri"/>
                <w:b w:val="0"/>
                <w:bCs w:val="0"/>
                <w:i w:val="0"/>
                <w:iCs w:val="0"/>
                <w:sz w:val="21"/>
                <w:szCs w:val="21"/>
              </w:rPr>
              <w:t>10</w:t>
            </w:r>
          </w:p>
        </w:tc>
        <w:tc>
          <w:tcPr>
            <w:tcW w:w="2300" w:type="dxa"/>
            <w:tcMar>
              <w:top w:w="80" w:type="dxa"/>
              <w:left w:w="100" w:type="dxa"/>
              <w:bottom w:w="80" w:type="dxa"/>
              <w:right w:w="100" w:type="dxa"/>
            </w:tcMar>
            <w:vAlign w:val="center"/>
          </w:tcPr>
          <w:p w14:paraId="2F956B39">
            <w:pPr>
              <w:spacing w:after="30"/>
              <w:jc w:val="left"/>
            </w:pPr>
            <w:r>
              <w:rPr>
                <w:rFonts w:ascii="Calibri" w:hAnsi="Calibri" w:eastAsia="Calibri" w:cs="Calibri"/>
                <w:b/>
                <w:bCs/>
                <w:sz w:val="21"/>
                <w:szCs w:val="21"/>
              </w:rPr>
              <w:t>Uzlāde</w:t>
            </w:r>
          </w:p>
          <w:p w14:paraId="381CB56A">
            <w:pPr>
              <w:spacing w:after="0"/>
              <w:jc w:val="left"/>
            </w:pPr>
            <w:r>
              <w:rPr>
                <w:rFonts w:ascii="Calibri" w:hAnsi="Calibri" w:eastAsia="Calibri" w:cs="Calibri"/>
                <w:i/>
                <w:iCs/>
                <w:color w:val="595959"/>
                <w:sz w:val="19"/>
                <w:szCs w:val="19"/>
              </w:rPr>
              <w:t>Charging</w:t>
            </w:r>
          </w:p>
        </w:tc>
        <w:tc>
          <w:tcPr>
            <w:tcW w:w="4500" w:type="dxa"/>
            <w:tcMar>
              <w:top w:w="80" w:type="dxa"/>
              <w:left w:w="100" w:type="dxa"/>
              <w:bottom w:w="80" w:type="dxa"/>
              <w:right w:w="100" w:type="dxa"/>
            </w:tcMar>
            <w:vAlign w:val="center"/>
          </w:tcPr>
          <w:p w14:paraId="78A04138">
            <w:pPr>
              <w:spacing w:after="30"/>
              <w:jc w:val="left"/>
            </w:pPr>
            <w:r>
              <w:rPr>
                <w:rFonts w:ascii="Calibri" w:hAnsi="Calibri" w:eastAsia="Calibri" w:cs="Calibri"/>
                <w:b w:val="0"/>
                <w:bCs w:val="0"/>
                <w:sz w:val="21"/>
                <w:szCs w:val="21"/>
              </w:rPr>
              <w:t>Kontaktuzlāde; induktīvā uzlāde kā opcija (skat. 4.3. punktu par konfigurācijas iespējām)</w:t>
            </w:r>
          </w:p>
          <w:p w14:paraId="1FBBB258">
            <w:pPr>
              <w:spacing w:after="0"/>
              <w:jc w:val="left"/>
            </w:pPr>
            <w:r>
              <w:rPr>
                <w:rFonts w:ascii="Calibri" w:hAnsi="Calibri" w:eastAsia="Calibri" w:cs="Calibri"/>
                <w:i/>
                <w:iCs/>
                <w:color w:val="595959"/>
                <w:sz w:val="19"/>
                <w:szCs w:val="19"/>
              </w:rPr>
              <w:t>Conductive charging; inductive charging as an option (see clause 4.3 on configuration options)</w:t>
            </w:r>
          </w:p>
        </w:tc>
        <w:tc>
          <w:tcPr>
            <w:tcW w:w="2050" w:type="dxa"/>
            <w:tcMar>
              <w:top w:w="80" w:type="dxa"/>
              <w:left w:w="100" w:type="dxa"/>
              <w:bottom w:w="80" w:type="dxa"/>
              <w:right w:w="100" w:type="dxa"/>
            </w:tcMar>
            <w:vAlign w:val="center"/>
          </w:tcPr>
          <w:p w14:paraId="72CD240A">
            <w:pPr>
              <w:spacing w:after="100"/>
              <w:jc w:val="left"/>
            </w:pPr>
          </w:p>
        </w:tc>
      </w:tr>
      <w:tr w14:paraId="5031AB30">
        <w:tc>
          <w:tcPr>
            <w:tcW w:w="500" w:type="dxa"/>
            <w:tcMar>
              <w:top w:w="80" w:type="dxa"/>
              <w:left w:w="100" w:type="dxa"/>
              <w:bottom w:w="80" w:type="dxa"/>
              <w:right w:w="100" w:type="dxa"/>
            </w:tcMar>
            <w:vAlign w:val="center"/>
          </w:tcPr>
          <w:p w14:paraId="4E97E29D">
            <w:pPr>
              <w:spacing w:after="100"/>
              <w:jc w:val="center"/>
            </w:pPr>
            <w:r>
              <w:rPr>
                <w:rFonts w:ascii="Calibri" w:hAnsi="Calibri" w:eastAsia="Calibri" w:cs="Calibri"/>
                <w:b w:val="0"/>
                <w:bCs w:val="0"/>
                <w:i w:val="0"/>
                <w:iCs w:val="0"/>
                <w:sz w:val="21"/>
                <w:szCs w:val="21"/>
              </w:rPr>
              <w:t>11</w:t>
            </w:r>
          </w:p>
        </w:tc>
        <w:tc>
          <w:tcPr>
            <w:tcW w:w="2300" w:type="dxa"/>
            <w:tcMar>
              <w:top w:w="80" w:type="dxa"/>
              <w:left w:w="100" w:type="dxa"/>
              <w:bottom w:w="80" w:type="dxa"/>
              <w:right w:w="100" w:type="dxa"/>
            </w:tcMar>
            <w:vAlign w:val="center"/>
          </w:tcPr>
          <w:p w14:paraId="5A2CD888">
            <w:pPr>
              <w:spacing w:after="30"/>
              <w:jc w:val="left"/>
            </w:pPr>
            <w:r>
              <w:rPr>
                <w:rFonts w:ascii="Calibri" w:hAnsi="Calibri" w:eastAsia="Calibri" w:cs="Calibri"/>
                <w:b/>
                <w:bCs/>
                <w:sz w:val="21"/>
                <w:szCs w:val="21"/>
              </w:rPr>
              <w:t>Flotes vadība</w:t>
            </w:r>
          </w:p>
          <w:p w14:paraId="0166A1F2">
            <w:pPr>
              <w:spacing w:after="0"/>
              <w:jc w:val="left"/>
            </w:pPr>
            <w:r>
              <w:rPr>
                <w:rFonts w:ascii="Calibri" w:hAnsi="Calibri" w:eastAsia="Calibri" w:cs="Calibri"/>
                <w:i/>
                <w:iCs/>
                <w:color w:val="595959"/>
                <w:sz w:val="19"/>
                <w:szCs w:val="19"/>
              </w:rPr>
              <w:t>Fleet management</w:t>
            </w:r>
          </w:p>
        </w:tc>
        <w:tc>
          <w:tcPr>
            <w:tcW w:w="4500" w:type="dxa"/>
            <w:tcMar>
              <w:top w:w="80" w:type="dxa"/>
              <w:left w:w="100" w:type="dxa"/>
              <w:bottom w:w="80" w:type="dxa"/>
              <w:right w:w="100" w:type="dxa"/>
            </w:tcMar>
            <w:vAlign w:val="center"/>
          </w:tcPr>
          <w:p w14:paraId="371FABEA">
            <w:pPr>
              <w:spacing w:after="30"/>
              <w:jc w:val="left"/>
            </w:pPr>
            <w:r>
              <w:rPr>
                <w:rFonts w:ascii="Calibri" w:hAnsi="Calibri" w:eastAsia="Calibri" w:cs="Calibri"/>
                <w:b w:val="0"/>
                <w:bCs w:val="0"/>
                <w:sz w:val="21"/>
                <w:szCs w:val="21"/>
              </w:rPr>
              <w:t>Savietojamība ar flotes pārvaldības programmatūru un VDA 5050 saskarni</w:t>
            </w:r>
          </w:p>
          <w:p w14:paraId="5DB5B55A">
            <w:pPr>
              <w:spacing w:after="0"/>
              <w:jc w:val="left"/>
            </w:pPr>
            <w:r>
              <w:rPr>
                <w:rFonts w:ascii="Calibri" w:hAnsi="Calibri" w:eastAsia="Calibri" w:cs="Calibri"/>
                <w:i/>
                <w:iCs/>
                <w:color w:val="595959"/>
                <w:sz w:val="19"/>
                <w:szCs w:val="19"/>
              </w:rPr>
              <w:t>Compatibility with fleet management software and a VDA 5050 interface</w:t>
            </w:r>
          </w:p>
        </w:tc>
        <w:tc>
          <w:tcPr>
            <w:tcW w:w="2050" w:type="dxa"/>
            <w:tcMar>
              <w:top w:w="80" w:type="dxa"/>
              <w:left w:w="100" w:type="dxa"/>
              <w:bottom w:w="80" w:type="dxa"/>
              <w:right w:w="100" w:type="dxa"/>
            </w:tcMar>
            <w:vAlign w:val="center"/>
          </w:tcPr>
          <w:p w14:paraId="4381B228">
            <w:pPr>
              <w:spacing w:after="100"/>
              <w:jc w:val="left"/>
            </w:pPr>
          </w:p>
        </w:tc>
      </w:tr>
      <w:tr w14:paraId="7C16989E">
        <w:tc>
          <w:tcPr>
            <w:tcW w:w="500" w:type="dxa"/>
            <w:shd w:val="clear" w:color="auto" w:fill="auto"/>
            <w:tcMar>
              <w:top w:w="80" w:type="dxa"/>
              <w:left w:w="100" w:type="dxa"/>
              <w:bottom w:w="80" w:type="dxa"/>
              <w:right w:w="100" w:type="dxa"/>
            </w:tcMar>
            <w:vAlign w:val="center"/>
          </w:tcPr>
          <w:p w14:paraId="7C56864A">
            <w:pPr>
              <w:spacing w:after="100"/>
            </w:pPr>
            <w:r>
              <w:rPr>
                <w:rFonts w:ascii="Calibri" w:hAnsi="Calibri" w:eastAsia="Calibri" w:cs="Calibri"/>
                <w:b w:val="0"/>
                <w:bCs w:val="0"/>
                <w:i w:val="0"/>
                <w:iCs w:val="0"/>
                <w:sz w:val="21"/>
                <w:szCs w:val="21"/>
              </w:rPr>
              <w:t>12</w:t>
            </w:r>
          </w:p>
        </w:tc>
        <w:tc>
          <w:tcPr>
            <w:tcW w:w="2300" w:type="dxa"/>
            <w:shd w:val="clear" w:color="auto" w:fill="auto"/>
            <w:tcMar>
              <w:top w:w="80" w:type="dxa"/>
              <w:left w:w="100" w:type="dxa"/>
              <w:bottom w:w="80" w:type="dxa"/>
              <w:right w:w="100" w:type="dxa"/>
            </w:tcMar>
            <w:vAlign w:val="center"/>
          </w:tcPr>
          <w:p w14:paraId="11155FBC">
            <w:pPr>
              <w:spacing w:after="30"/>
            </w:pPr>
            <w:r>
              <w:rPr>
                <w:rFonts w:ascii="Calibri" w:hAnsi="Calibri" w:eastAsia="Calibri" w:cs="Calibri"/>
                <w:b/>
                <w:bCs/>
                <w:sz w:val="21"/>
                <w:szCs w:val="21"/>
              </w:rPr>
              <w:t>Aizsardzības klase (IEC 60529)</w:t>
            </w:r>
          </w:p>
          <w:p w14:paraId="2B80288C">
            <w:pPr>
              <w:spacing w:after="0"/>
            </w:pPr>
            <w:r>
              <w:rPr>
                <w:rFonts w:ascii="Calibri" w:hAnsi="Calibri" w:eastAsia="Calibri" w:cs="Calibri"/>
                <w:i/>
                <w:iCs/>
                <w:color w:val="595959"/>
                <w:sz w:val="19"/>
                <w:szCs w:val="19"/>
              </w:rPr>
              <w:t>Protection rating (IEC 60529)</w:t>
            </w:r>
          </w:p>
        </w:tc>
        <w:tc>
          <w:tcPr>
            <w:tcW w:w="4500" w:type="dxa"/>
            <w:shd w:val="clear" w:color="auto" w:fill="auto"/>
            <w:tcMar>
              <w:top w:w="80" w:type="dxa"/>
              <w:left w:w="100" w:type="dxa"/>
              <w:bottom w:w="80" w:type="dxa"/>
              <w:right w:w="100" w:type="dxa"/>
            </w:tcMar>
            <w:vAlign w:val="center"/>
          </w:tcPr>
          <w:p w14:paraId="1B61BDDF">
            <w:pPr>
              <w:spacing w:after="30"/>
            </w:pPr>
            <w:r>
              <w:rPr>
                <w:rFonts w:ascii="Calibri" w:hAnsi="Calibri" w:eastAsia="Calibri" w:cs="Calibri"/>
                <w:b w:val="0"/>
                <w:bCs w:val="0"/>
                <w:sz w:val="21"/>
                <w:szCs w:val="21"/>
              </w:rPr>
              <w:t>Ne zemāka par IP24 (vēlams IP54)</w:t>
            </w:r>
          </w:p>
          <w:p w14:paraId="080BB611">
            <w:pPr>
              <w:spacing w:after="0"/>
            </w:pPr>
            <w:r>
              <w:rPr>
                <w:rFonts w:ascii="Calibri" w:hAnsi="Calibri" w:eastAsia="Calibri" w:cs="Calibri"/>
                <w:i/>
                <w:iCs/>
                <w:color w:val="595959"/>
                <w:sz w:val="19"/>
                <w:szCs w:val="19"/>
              </w:rPr>
              <w:t>Not lower than IP24 (IP54 preferred)</w:t>
            </w:r>
          </w:p>
        </w:tc>
        <w:tc>
          <w:tcPr>
            <w:tcW w:w="2050" w:type="dxa"/>
            <w:shd w:val="clear" w:color="auto" w:fill="auto"/>
            <w:tcMar>
              <w:top w:w="80" w:type="dxa"/>
              <w:left w:w="100" w:type="dxa"/>
              <w:bottom w:w="80" w:type="dxa"/>
              <w:right w:w="100" w:type="dxa"/>
            </w:tcMar>
            <w:vAlign w:val="center"/>
          </w:tcPr>
          <w:p w14:paraId="44739E7B">
            <w:pPr>
              <w:spacing w:after="100"/>
            </w:pPr>
          </w:p>
        </w:tc>
      </w:tr>
    </w:tbl>
    <w:p w14:paraId="0B9BBAE7">
      <w:pPr>
        <w:spacing w:before="250" w:after="0"/>
      </w:pPr>
    </w:p>
    <w:p w14:paraId="2EFBA7B4">
      <w:pPr>
        <w:spacing w:after="20"/>
      </w:pPr>
      <w:r>
        <w:rPr>
          <w:rFonts w:ascii="Calibri" w:hAnsi="Calibri" w:eastAsia="Calibri" w:cs="Calibri"/>
          <w:b/>
          <w:bCs/>
          <w:sz w:val="22"/>
          <w:szCs w:val="22"/>
        </w:rPr>
        <w:t>4.3. Konfigurācijas un iegādes iespējas</w:t>
      </w:r>
    </w:p>
    <w:p w14:paraId="155F41E2">
      <w:pPr>
        <w:spacing w:after="150"/>
      </w:pPr>
      <w:r>
        <w:rPr>
          <w:rFonts w:ascii="Calibri" w:hAnsi="Calibri" w:eastAsia="Calibri" w:cs="Calibri"/>
          <w:b/>
          <w:bCs/>
          <w:i/>
          <w:iCs/>
          <w:color w:val="595959"/>
          <w:sz w:val="20"/>
          <w:szCs w:val="20"/>
        </w:rPr>
        <w:t>4.3. Configuration and procurement options</w:t>
      </w:r>
    </w:p>
    <w:p w14:paraId="466CB098">
      <w:pPr>
        <w:spacing w:after="30"/>
        <w:jc w:val="left"/>
        <w:rPr>
          <w:b w:val="0"/>
          <w:bCs w:val="0"/>
        </w:rPr>
      </w:pPr>
      <w:r>
        <w:rPr>
          <w:rFonts w:ascii="Calibri" w:hAnsi="Calibri" w:eastAsia="Calibri" w:cs="Calibri"/>
          <w:b w:val="0"/>
          <w:bCs w:val="0"/>
          <w:sz w:val="21"/>
          <w:szCs w:val="21"/>
        </w:rPr>
        <w:t xml:space="preserve">Iepirkuma priekšmets tiek iegādāts kā divas atsevišķas, iepriekš neintegrētas </w:t>
      </w:r>
      <w:r>
        <w:rPr>
          <w:rFonts w:hint="default" w:ascii="Calibri" w:hAnsi="Calibri" w:eastAsia="Calibri" w:cs="Calibri"/>
          <w:b w:val="0"/>
          <w:bCs w:val="0"/>
          <w:sz w:val="21"/>
          <w:szCs w:val="21"/>
          <w:lang w:val="lv-LV"/>
        </w:rPr>
        <w:t>komponentes</w:t>
      </w:r>
      <w:r>
        <w:rPr>
          <w:rFonts w:ascii="Calibri" w:hAnsi="Calibri" w:eastAsia="Calibri" w:cs="Calibri"/>
          <w:b w:val="0"/>
          <w:bCs w:val="0"/>
          <w:sz w:val="21"/>
          <w:szCs w:val="21"/>
        </w:rPr>
        <w:t xml:space="preserve">: robota roka (industriāla vai kolaboratīva) un autonomā mobilā platforma (ar vai bez uzlādes stacijas — skat. 4.3.1.). </w:t>
      </w:r>
      <w:r>
        <w:rPr>
          <w:rFonts w:hint="default" w:ascii="Calibri" w:hAnsi="Calibri" w:eastAsia="Calibri" w:cs="Calibri"/>
          <w:b w:val="0"/>
          <w:bCs w:val="0"/>
          <w:sz w:val="21"/>
          <w:szCs w:val="21"/>
          <w:lang w:val="lv-LV"/>
        </w:rPr>
        <w:t>Komponentes</w:t>
      </w:r>
      <w:r>
        <w:rPr>
          <w:rFonts w:ascii="Calibri" w:hAnsi="Calibri" w:eastAsia="Calibri" w:cs="Calibri"/>
          <w:b w:val="0"/>
          <w:bCs w:val="0"/>
          <w:sz w:val="21"/>
          <w:szCs w:val="21"/>
        </w:rPr>
        <w:t xml:space="preserve"> tiks piegādātas kā divas atsevišķas </w:t>
      </w:r>
      <w:r>
        <w:rPr>
          <w:rFonts w:hint="default" w:ascii="Calibri" w:hAnsi="Calibri" w:eastAsia="Calibri" w:cs="Calibri"/>
          <w:b w:val="0"/>
          <w:bCs w:val="0"/>
          <w:sz w:val="21"/>
          <w:szCs w:val="21"/>
          <w:lang w:val="lv-LV"/>
        </w:rPr>
        <w:t>komponentes</w:t>
      </w:r>
      <w:r>
        <w:rPr>
          <w:rFonts w:ascii="Calibri" w:hAnsi="Calibri" w:eastAsia="Calibri" w:cs="Calibri"/>
          <w:b w:val="0"/>
          <w:bCs w:val="0"/>
          <w:sz w:val="21"/>
          <w:szCs w:val="21"/>
        </w:rPr>
        <w:t>; to savstarpējā mehāniskā un elektriskā savienošana ir Pasūtītāja atbildība.</w:t>
      </w:r>
    </w:p>
    <w:p w14:paraId="70986EDF">
      <w:pPr>
        <w:spacing w:after="0"/>
        <w:jc w:val="left"/>
      </w:pPr>
      <w:r>
        <w:rPr>
          <w:rFonts w:ascii="Calibri" w:hAnsi="Calibri" w:eastAsia="Calibri" w:cs="Calibri"/>
          <w:i/>
          <w:iCs/>
          <w:color w:val="595959"/>
          <w:sz w:val="19"/>
          <w:szCs w:val="19"/>
        </w:rPr>
        <w:t xml:space="preserve">The subject of procurement is purchased as two separate, not pre-integrated units: a robot arm (industrial or collaborative) and an autonomous mobile platform (with or without a charging station — see 4.3.1). The units will be delivered as two separate </w:t>
      </w:r>
      <w:r>
        <w:rPr>
          <w:rFonts w:hint="default" w:ascii="Calibri" w:hAnsi="Calibri" w:eastAsia="Calibri" w:cs="Calibri"/>
          <w:i/>
          <w:iCs/>
          <w:color w:val="595959"/>
          <w:sz w:val="19"/>
          <w:szCs w:val="19"/>
          <w:lang w:val="lv-LV"/>
        </w:rPr>
        <w:t>units</w:t>
      </w:r>
      <w:r>
        <w:rPr>
          <w:rFonts w:ascii="Calibri" w:hAnsi="Calibri" w:eastAsia="Calibri" w:cs="Calibri"/>
          <w:i/>
          <w:iCs/>
          <w:color w:val="595959"/>
          <w:sz w:val="19"/>
          <w:szCs w:val="19"/>
        </w:rPr>
        <w:t>; mechanical and electrical connection between them is the responsibility of the Contracting Authority.</w:t>
      </w:r>
    </w:p>
    <w:p w14:paraId="7C78C877">
      <w:pPr>
        <w:spacing w:before="150" w:after="0"/>
      </w:pPr>
    </w:p>
    <w:p w14:paraId="712721D6">
      <w:pPr>
        <w:spacing w:after="10"/>
      </w:pPr>
      <w:r>
        <w:rPr>
          <w:rFonts w:ascii="Calibri" w:hAnsi="Calibri" w:eastAsia="Calibri" w:cs="Calibri"/>
          <w:b/>
          <w:bCs/>
          <w:sz w:val="21"/>
          <w:szCs w:val="21"/>
        </w:rPr>
        <w:t>4.3.1. Uzlādes stacija (mobilajai platformai)</w:t>
      </w:r>
    </w:p>
    <w:p w14:paraId="7DE357A2">
      <w:pPr>
        <w:spacing w:after="100"/>
      </w:pPr>
      <w:r>
        <w:rPr>
          <w:rFonts w:ascii="Calibri" w:hAnsi="Calibri" w:eastAsia="Calibri" w:cs="Calibri"/>
          <w:b/>
          <w:bCs/>
          <w:i/>
          <w:iCs/>
          <w:color w:val="595959"/>
          <w:sz w:val="19"/>
          <w:szCs w:val="19"/>
        </w:rPr>
        <w:t>4.3.1. Charging station (for the mobile platform)</w:t>
      </w:r>
    </w:p>
    <w:p w14:paraId="63E369D9">
      <w:pPr>
        <w:spacing w:after="30"/>
        <w:jc w:val="left"/>
      </w:pPr>
      <w:r>
        <w:rPr>
          <w:rFonts w:ascii="Calibri" w:hAnsi="Calibri" w:eastAsia="Calibri" w:cs="Calibri"/>
          <w:b w:val="0"/>
          <w:bCs w:val="0"/>
          <w:sz w:val="21"/>
          <w:szCs w:val="21"/>
        </w:rPr>
        <w:t>Mobilo platformu pieļaujams piedāvāt bez uzlādes stacijas. Pretendentam jānorāda uzlādes stacijas cena atsevišķi</w:t>
      </w:r>
      <w:r>
        <w:rPr>
          <w:rFonts w:hint="default" w:ascii="Calibri" w:hAnsi="Calibri" w:eastAsia="Calibri" w:cs="Calibri"/>
          <w:b w:val="0"/>
          <w:bCs w:val="0"/>
          <w:sz w:val="21"/>
          <w:szCs w:val="21"/>
          <w:lang w:val="lv-LV"/>
        </w:rPr>
        <w:t xml:space="preserve"> finanšu piedāvājumā</w:t>
      </w:r>
      <w:r>
        <w:rPr>
          <w:rFonts w:ascii="Calibri" w:hAnsi="Calibri" w:eastAsia="Calibri" w:cs="Calibri"/>
          <w:b w:val="0"/>
          <w:bCs w:val="0"/>
          <w:sz w:val="21"/>
          <w:szCs w:val="21"/>
        </w:rPr>
        <w:t>.</w:t>
      </w:r>
    </w:p>
    <w:p w14:paraId="734CFAEC">
      <w:pPr>
        <w:spacing w:after="0"/>
        <w:jc w:val="left"/>
      </w:pPr>
      <w:r>
        <w:rPr>
          <w:rFonts w:ascii="Calibri" w:hAnsi="Calibri" w:eastAsia="Calibri" w:cs="Calibri"/>
          <w:i/>
          <w:iCs/>
          <w:color w:val="595959"/>
          <w:sz w:val="19"/>
          <w:szCs w:val="19"/>
        </w:rPr>
        <w:t xml:space="preserve">The mobile platform may be offered without a charging station. </w:t>
      </w:r>
      <w:r>
        <w:rPr>
          <w:rFonts w:hint="default" w:ascii="Calibri" w:hAnsi="Calibri" w:eastAsia="Calibri" w:cs="Calibri"/>
          <w:i/>
          <w:iCs/>
          <w:color w:val="595959"/>
          <w:sz w:val="19"/>
          <w:szCs w:val="19"/>
          <w:lang w:val="lv-LV"/>
        </w:rPr>
        <w:t>T</w:t>
      </w:r>
      <w:r>
        <w:rPr>
          <w:rFonts w:ascii="Calibri" w:hAnsi="Calibri" w:eastAsia="Calibri" w:cs="Calibri"/>
          <w:i/>
          <w:iCs/>
          <w:color w:val="595959"/>
          <w:sz w:val="19"/>
          <w:szCs w:val="19"/>
        </w:rPr>
        <w:t xml:space="preserve">he bidder must state the charging station price separately </w:t>
      </w:r>
      <w:r>
        <w:rPr>
          <w:rFonts w:hint="default" w:ascii="Calibri" w:hAnsi="Calibri" w:eastAsia="Calibri" w:cs="Calibri"/>
          <w:i/>
          <w:iCs/>
          <w:color w:val="595959"/>
          <w:sz w:val="19"/>
          <w:szCs w:val="19"/>
          <w:lang w:val="lv-LV"/>
        </w:rPr>
        <w:t>in the financial offer</w:t>
      </w:r>
      <w:r>
        <w:rPr>
          <w:rFonts w:ascii="Calibri" w:hAnsi="Calibri" w:eastAsia="Calibri" w:cs="Calibri"/>
          <w:i/>
          <w:iCs/>
          <w:color w:val="595959"/>
          <w:sz w:val="19"/>
          <w:szCs w:val="19"/>
        </w:rPr>
        <w:t>.</w:t>
      </w:r>
    </w:p>
    <w:p w14:paraId="63A216E1">
      <w:pPr>
        <w:spacing w:before="250" w:after="0"/>
      </w:pPr>
    </w:p>
    <w:p w14:paraId="75B97A0B">
      <w:pPr>
        <w:spacing w:after="20"/>
      </w:pPr>
      <w:r>
        <w:rPr>
          <w:rFonts w:ascii="Calibri" w:hAnsi="Calibri" w:eastAsia="Calibri" w:cs="Calibri"/>
          <w:b/>
          <w:bCs/>
          <w:sz w:val="22"/>
          <w:szCs w:val="22"/>
        </w:rPr>
        <w:t>4.4. Pirmās ass mastering rīks</w:t>
      </w:r>
    </w:p>
    <w:p w14:paraId="253D0993">
      <w:pPr>
        <w:spacing w:after="150"/>
      </w:pPr>
      <w:r>
        <w:rPr>
          <w:rFonts w:ascii="Calibri" w:hAnsi="Calibri" w:eastAsia="Calibri" w:cs="Calibri"/>
          <w:b/>
          <w:bCs/>
          <w:i/>
          <w:iCs/>
          <w:color w:val="595959"/>
          <w:sz w:val="20"/>
          <w:szCs w:val="20"/>
        </w:rPr>
        <w:t>4.4. First-axis mastering tool</w:t>
      </w:r>
    </w:p>
    <w:p w14:paraId="01FE34C2">
      <w:pPr>
        <w:spacing w:after="30"/>
        <w:jc w:val="left"/>
      </w:pPr>
      <w:r>
        <w:rPr>
          <w:rFonts w:ascii="Calibri" w:hAnsi="Calibri" w:eastAsia="Calibri" w:cs="Calibri"/>
          <w:b w:val="0"/>
          <w:bCs w:val="0"/>
          <w:sz w:val="21"/>
          <w:szCs w:val="21"/>
        </w:rPr>
        <w:t>Pretendentam jāiekļauj piedāvājumā rīks/ierīce, kas nepieciešama robota rokas pirmās ass mastering (kalibrēšanas) veikšanai — proti, robota locītavu references (nulles) pozīcijas atjaunošanai pēc transportēšanas, servisa darbiem vai motora/enkodera nomaiņas. Šī pozīcija finanšu piedāvājumā jānorāda atsevišķi gan iegādei kopā ar robotu, gan (informatīvi) kā rezerves daļas cenai, ja tā tiktu pasūtīta atsevišķi vēlāk.</w:t>
      </w:r>
    </w:p>
    <w:p w14:paraId="402CEEB9">
      <w:pPr>
        <w:spacing w:after="0"/>
        <w:jc w:val="left"/>
      </w:pPr>
      <w:r>
        <w:rPr>
          <w:rFonts w:ascii="Calibri" w:hAnsi="Calibri" w:eastAsia="Calibri" w:cs="Calibri"/>
          <w:i/>
          <w:iCs/>
          <w:color w:val="595959"/>
          <w:sz w:val="19"/>
          <w:szCs w:val="19"/>
        </w:rPr>
        <w:t>The bidder must include in the offer a tool/device required to perform first-axis mastering (calibration) of the robot arm — i.e. to restore the reference (zero) position of the robot's joints after transport, servicing, or motor/encoder replacement. This item must be listed separately in the financial offer, both for purchase together with the robot and (for information) as a spare-part price if ordered separately at a later date.</w:t>
      </w:r>
    </w:p>
    <w:p w14:paraId="38D4DDB7">
      <w:pPr>
        <w:spacing w:before="250" w:after="0"/>
      </w:pPr>
    </w:p>
    <w:p w14:paraId="2E2BBB93">
      <w:pPr>
        <w:spacing w:after="20"/>
      </w:pPr>
      <w:r>
        <w:rPr>
          <w:rFonts w:ascii="Calibri" w:hAnsi="Calibri" w:eastAsia="Calibri" w:cs="Calibri"/>
          <w:b/>
          <w:bCs/>
          <w:sz w:val="22"/>
          <w:szCs w:val="22"/>
        </w:rPr>
        <w:t>4.5. Atbalsts, dokumentācija un programmēšana</w:t>
      </w:r>
    </w:p>
    <w:p w14:paraId="1288820F">
      <w:pPr>
        <w:spacing w:after="150"/>
      </w:pPr>
      <w:r>
        <w:rPr>
          <w:rFonts w:ascii="Calibri" w:hAnsi="Calibri" w:eastAsia="Calibri" w:cs="Calibri"/>
          <w:b/>
          <w:bCs/>
          <w:i/>
          <w:iCs/>
          <w:color w:val="595959"/>
          <w:sz w:val="20"/>
          <w:szCs w:val="20"/>
        </w:rPr>
        <w:t>4.5. Support, documentation and programming</w:t>
      </w:r>
    </w:p>
    <w:tbl>
      <w:tblPr>
        <w:tblStyle w:val="10"/>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00"/>
        <w:gridCol w:w="2300"/>
        <w:gridCol w:w="4500"/>
        <w:gridCol w:w="2050"/>
      </w:tblGrid>
      <w:tr w14:paraId="50614620">
        <w:tc>
          <w:tcPr>
            <w:tcW w:w="500" w:type="dxa"/>
            <w:shd w:val="clear" w:color="auto" w:fill="BFBFBF"/>
            <w:tcMar>
              <w:top w:w="80" w:type="dxa"/>
              <w:left w:w="100" w:type="dxa"/>
              <w:bottom w:w="80" w:type="dxa"/>
              <w:right w:w="100" w:type="dxa"/>
            </w:tcMar>
            <w:vAlign w:val="center"/>
          </w:tcPr>
          <w:p w14:paraId="40B83A51">
            <w:pPr>
              <w:spacing w:after="100"/>
              <w:jc w:val="center"/>
            </w:pPr>
            <w:r>
              <w:rPr>
                <w:rFonts w:ascii="Calibri" w:hAnsi="Calibri" w:eastAsia="Calibri" w:cs="Calibri"/>
                <w:b/>
                <w:bCs/>
                <w:i w:val="0"/>
                <w:iCs w:val="0"/>
                <w:sz w:val="21"/>
                <w:szCs w:val="21"/>
              </w:rPr>
              <w:t>#</w:t>
            </w:r>
          </w:p>
        </w:tc>
        <w:tc>
          <w:tcPr>
            <w:tcW w:w="2300" w:type="dxa"/>
            <w:shd w:val="clear" w:color="auto" w:fill="BFBFBF"/>
            <w:tcMar>
              <w:top w:w="80" w:type="dxa"/>
              <w:left w:w="100" w:type="dxa"/>
              <w:bottom w:w="80" w:type="dxa"/>
              <w:right w:w="100" w:type="dxa"/>
            </w:tcMar>
            <w:vAlign w:val="center"/>
          </w:tcPr>
          <w:p w14:paraId="514B3E18">
            <w:pPr>
              <w:spacing w:after="30"/>
              <w:jc w:val="left"/>
            </w:pPr>
            <w:r>
              <w:rPr>
                <w:rFonts w:ascii="Calibri" w:hAnsi="Calibri" w:eastAsia="Calibri" w:cs="Calibri"/>
                <w:b/>
                <w:bCs/>
                <w:sz w:val="21"/>
                <w:szCs w:val="21"/>
              </w:rPr>
              <w:t>Raksturlielums</w:t>
            </w:r>
          </w:p>
          <w:p w14:paraId="1C8AD424">
            <w:pPr>
              <w:spacing w:after="0"/>
              <w:jc w:val="left"/>
            </w:pPr>
            <w:r>
              <w:rPr>
                <w:rFonts w:ascii="Calibri" w:hAnsi="Calibri" w:eastAsia="Calibri" w:cs="Calibri"/>
                <w:i/>
                <w:iCs/>
                <w:color w:val="595959"/>
                <w:sz w:val="19"/>
                <w:szCs w:val="19"/>
              </w:rPr>
              <w:t>Characteristic</w:t>
            </w:r>
          </w:p>
        </w:tc>
        <w:tc>
          <w:tcPr>
            <w:tcW w:w="4500" w:type="dxa"/>
            <w:shd w:val="clear" w:color="auto" w:fill="BFBFBF"/>
            <w:tcMar>
              <w:top w:w="80" w:type="dxa"/>
              <w:left w:w="100" w:type="dxa"/>
              <w:bottom w:w="80" w:type="dxa"/>
              <w:right w:w="100" w:type="dxa"/>
            </w:tcMar>
            <w:vAlign w:val="center"/>
          </w:tcPr>
          <w:p w14:paraId="6E9D809D">
            <w:pPr>
              <w:spacing w:after="30"/>
              <w:jc w:val="left"/>
            </w:pPr>
            <w:r>
              <w:rPr>
                <w:rFonts w:ascii="Calibri" w:hAnsi="Calibri" w:eastAsia="Calibri" w:cs="Calibri"/>
                <w:b/>
                <w:bCs/>
                <w:sz w:val="21"/>
                <w:szCs w:val="21"/>
              </w:rPr>
              <w:t>Prasība</w:t>
            </w:r>
          </w:p>
          <w:p w14:paraId="3620AC9A">
            <w:pPr>
              <w:spacing w:after="0"/>
              <w:jc w:val="left"/>
            </w:pPr>
            <w:r>
              <w:rPr>
                <w:rFonts w:ascii="Calibri" w:hAnsi="Calibri" w:eastAsia="Calibri" w:cs="Calibri"/>
                <w:i/>
                <w:iCs/>
                <w:color w:val="595959"/>
                <w:sz w:val="19"/>
                <w:szCs w:val="19"/>
              </w:rPr>
              <w:t>Requirement</w:t>
            </w:r>
          </w:p>
        </w:tc>
        <w:tc>
          <w:tcPr>
            <w:tcW w:w="2050" w:type="dxa"/>
            <w:shd w:val="clear" w:color="auto" w:fill="BFBFBF"/>
            <w:tcMar>
              <w:top w:w="80" w:type="dxa"/>
              <w:left w:w="100" w:type="dxa"/>
              <w:bottom w:w="80" w:type="dxa"/>
              <w:right w:w="100" w:type="dxa"/>
            </w:tcMar>
            <w:vAlign w:val="center"/>
          </w:tcPr>
          <w:p w14:paraId="686A9DFA">
            <w:pPr>
              <w:spacing w:after="30"/>
              <w:jc w:val="left"/>
            </w:pPr>
            <w:r>
              <w:rPr>
                <w:rFonts w:ascii="Calibri" w:hAnsi="Calibri" w:eastAsia="Calibri" w:cs="Calibri"/>
                <w:b/>
                <w:bCs/>
                <w:sz w:val="21"/>
                <w:szCs w:val="21"/>
              </w:rPr>
              <w:t>Tehniskais piedāvājums</w:t>
            </w:r>
          </w:p>
          <w:p w14:paraId="2F16B33C">
            <w:pPr>
              <w:spacing w:after="0"/>
              <w:jc w:val="left"/>
            </w:pPr>
            <w:r>
              <w:rPr>
                <w:rFonts w:ascii="Calibri" w:hAnsi="Calibri" w:eastAsia="Calibri" w:cs="Calibri"/>
                <w:i/>
                <w:iCs/>
                <w:color w:val="595959"/>
                <w:sz w:val="19"/>
                <w:szCs w:val="19"/>
              </w:rPr>
              <w:t>Technical offer</w:t>
            </w:r>
          </w:p>
        </w:tc>
      </w:tr>
      <w:tr w14:paraId="791BE5C0">
        <w:tc>
          <w:tcPr>
            <w:tcW w:w="500" w:type="dxa"/>
            <w:tcMar>
              <w:top w:w="80" w:type="dxa"/>
              <w:left w:w="100" w:type="dxa"/>
              <w:bottom w:w="80" w:type="dxa"/>
              <w:right w:w="100" w:type="dxa"/>
            </w:tcMar>
            <w:vAlign w:val="center"/>
          </w:tcPr>
          <w:p w14:paraId="39B234DA">
            <w:pPr>
              <w:spacing w:after="100"/>
              <w:jc w:val="center"/>
            </w:pPr>
            <w:r>
              <w:rPr>
                <w:rFonts w:ascii="Calibri" w:hAnsi="Calibri" w:eastAsia="Calibri" w:cs="Calibri"/>
                <w:b w:val="0"/>
                <w:bCs w:val="0"/>
                <w:i w:val="0"/>
                <w:iCs w:val="0"/>
                <w:sz w:val="21"/>
                <w:szCs w:val="21"/>
              </w:rPr>
              <w:t>1</w:t>
            </w:r>
          </w:p>
        </w:tc>
        <w:tc>
          <w:tcPr>
            <w:tcW w:w="2300" w:type="dxa"/>
            <w:tcMar>
              <w:top w:w="80" w:type="dxa"/>
              <w:left w:w="100" w:type="dxa"/>
              <w:bottom w:w="80" w:type="dxa"/>
              <w:right w:w="100" w:type="dxa"/>
            </w:tcMar>
            <w:vAlign w:val="center"/>
          </w:tcPr>
          <w:p w14:paraId="10727F0E">
            <w:pPr>
              <w:spacing w:after="30"/>
              <w:jc w:val="left"/>
            </w:pPr>
            <w:r>
              <w:rPr>
                <w:rFonts w:ascii="Calibri" w:hAnsi="Calibri" w:eastAsia="Calibri" w:cs="Calibri"/>
                <w:b/>
                <w:bCs/>
                <w:sz w:val="21"/>
                <w:szCs w:val="21"/>
              </w:rPr>
              <w:t>Attālinātais tehniskais atbalsts</w:t>
            </w:r>
          </w:p>
          <w:p w14:paraId="54B036F7">
            <w:pPr>
              <w:spacing w:after="0"/>
              <w:jc w:val="left"/>
            </w:pPr>
            <w:r>
              <w:rPr>
                <w:rFonts w:ascii="Calibri" w:hAnsi="Calibri" w:eastAsia="Calibri" w:cs="Calibri"/>
                <w:i/>
                <w:iCs/>
                <w:color w:val="595959"/>
                <w:sz w:val="19"/>
                <w:szCs w:val="19"/>
              </w:rPr>
              <w:t>Remote technical support</w:t>
            </w:r>
          </w:p>
        </w:tc>
        <w:tc>
          <w:tcPr>
            <w:tcW w:w="4500" w:type="dxa"/>
            <w:tcMar>
              <w:top w:w="80" w:type="dxa"/>
              <w:left w:w="100" w:type="dxa"/>
              <w:bottom w:w="80" w:type="dxa"/>
              <w:right w:w="100" w:type="dxa"/>
            </w:tcMar>
            <w:vAlign w:val="center"/>
          </w:tcPr>
          <w:p w14:paraId="1FC694F5">
            <w:pPr>
              <w:spacing w:after="30"/>
              <w:jc w:val="left"/>
            </w:pPr>
            <w:r>
              <w:rPr>
                <w:rFonts w:ascii="Calibri" w:hAnsi="Calibri" w:eastAsia="Calibri" w:cs="Calibri"/>
                <w:b w:val="0"/>
                <w:bCs w:val="0"/>
                <w:sz w:val="21"/>
                <w:szCs w:val="21"/>
              </w:rPr>
              <w:t>Piegādātājam jānodrošina attālināta tehniskā palīdzība (help desk) ikdienas darba režīmā (vismaz darba dienās, darba laikā). Pretendentam jāapraksta atbalsta sasniedzamības kanāli (e-pasts, tālrunis u.tml.) un reakcijas laiks.</w:t>
            </w:r>
          </w:p>
          <w:p w14:paraId="66B610AB">
            <w:pPr>
              <w:spacing w:after="0"/>
              <w:jc w:val="left"/>
            </w:pPr>
            <w:r>
              <w:rPr>
                <w:rFonts w:ascii="Calibri" w:hAnsi="Calibri" w:eastAsia="Calibri" w:cs="Calibri"/>
                <w:i/>
                <w:iCs/>
                <w:color w:val="595959"/>
                <w:sz w:val="19"/>
                <w:szCs w:val="19"/>
              </w:rPr>
              <w:t>The supplier must provide remote technical assistance (help desk) during daily business operation (at least on business days, during business hours). The bidder must describe the support contact channels (e-mail, phone, etc.) and response time.</w:t>
            </w:r>
          </w:p>
        </w:tc>
        <w:tc>
          <w:tcPr>
            <w:tcW w:w="2050" w:type="dxa"/>
            <w:tcMar>
              <w:top w:w="80" w:type="dxa"/>
              <w:left w:w="100" w:type="dxa"/>
              <w:bottom w:w="80" w:type="dxa"/>
              <w:right w:w="100" w:type="dxa"/>
            </w:tcMar>
            <w:vAlign w:val="center"/>
          </w:tcPr>
          <w:p w14:paraId="7838A853">
            <w:pPr>
              <w:spacing w:after="100"/>
              <w:jc w:val="left"/>
            </w:pPr>
          </w:p>
        </w:tc>
      </w:tr>
      <w:tr w14:paraId="7669CEF6">
        <w:tc>
          <w:tcPr>
            <w:tcW w:w="500" w:type="dxa"/>
            <w:tcMar>
              <w:top w:w="80" w:type="dxa"/>
              <w:left w:w="100" w:type="dxa"/>
              <w:bottom w:w="80" w:type="dxa"/>
              <w:right w:w="100" w:type="dxa"/>
            </w:tcMar>
            <w:vAlign w:val="center"/>
          </w:tcPr>
          <w:p w14:paraId="17A243F1">
            <w:pPr>
              <w:spacing w:after="100"/>
              <w:jc w:val="center"/>
            </w:pPr>
            <w:r>
              <w:rPr>
                <w:rFonts w:ascii="Calibri" w:hAnsi="Calibri" w:eastAsia="Calibri" w:cs="Calibri"/>
                <w:b w:val="0"/>
                <w:bCs w:val="0"/>
                <w:i w:val="0"/>
                <w:iCs w:val="0"/>
                <w:sz w:val="21"/>
                <w:szCs w:val="21"/>
              </w:rPr>
              <w:t>2</w:t>
            </w:r>
          </w:p>
        </w:tc>
        <w:tc>
          <w:tcPr>
            <w:tcW w:w="2300" w:type="dxa"/>
            <w:tcMar>
              <w:top w:w="80" w:type="dxa"/>
              <w:left w:w="100" w:type="dxa"/>
              <w:bottom w:w="80" w:type="dxa"/>
              <w:right w:w="100" w:type="dxa"/>
            </w:tcMar>
            <w:vAlign w:val="center"/>
          </w:tcPr>
          <w:p w14:paraId="569F882F">
            <w:pPr>
              <w:spacing w:after="30"/>
              <w:jc w:val="left"/>
            </w:pPr>
            <w:r>
              <w:rPr>
                <w:rFonts w:ascii="Calibri" w:hAnsi="Calibri" w:eastAsia="Calibri" w:cs="Calibri"/>
                <w:b/>
                <w:bCs/>
                <w:sz w:val="21"/>
                <w:szCs w:val="21"/>
              </w:rPr>
              <w:t>Tehniskā dokumentācija</w:t>
            </w:r>
          </w:p>
          <w:p w14:paraId="5CD5189A">
            <w:pPr>
              <w:spacing w:after="0"/>
              <w:jc w:val="left"/>
            </w:pPr>
            <w:r>
              <w:rPr>
                <w:rFonts w:ascii="Calibri" w:hAnsi="Calibri" w:eastAsia="Calibri" w:cs="Calibri"/>
                <w:i/>
                <w:iCs/>
                <w:color w:val="595959"/>
                <w:sz w:val="19"/>
                <w:szCs w:val="19"/>
              </w:rPr>
              <w:t>Technical documentation</w:t>
            </w:r>
          </w:p>
        </w:tc>
        <w:tc>
          <w:tcPr>
            <w:tcW w:w="4500" w:type="dxa"/>
            <w:tcMar>
              <w:top w:w="80" w:type="dxa"/>
              <w:left w:w="100" w:type="dxa"/>
              <w:bottom w:w="80" w:type="dxa"/>
              <w:right w:w="100" w:type="dxa"/>
            </w:tcMar>
            <w:vAlign w:val="center"/>
          </w:tcPr>
          <w:p w14:paraId="1BCFF7E4">
            <w:pPr>
              <w:spacing w:after="30"/>
              <w:jc w:val="left"/>
            </w:pPr>
            <w:r>
              <w:rPr>
                <w:rFonts w:ascii="Calibri" w:hAnsi="Calibri" w:eastAsia="Calibri" w:cs="Calibri"/>
                <w:b w:val="0"/>
                <w:bCs w:val="0"/>
                <w:sz w:val="21"/>
                <w:szCs w:val="21"/>
              </w:rPr>
              <w:t>Jānodrošina pilna tehniskā dokumentācija latviešu un/vai angļu valodā: lietotāja rokasgrāmatas, uzstādīšanas un apkopes instrukcijas, elektriskās/mehāniskās shēmas, drošības instrukcijas un programmēšanas/API dokumentācija.</w:t>
            </w:r>
          </w:p>
          <w:p w14:paraId="40AAB352">
            <w:pPr>
              <w:spacing w:after="0"/>
              <w:jc w:val="left"/>
            </w:pPr>
            <w:r>
              <w:rPr>
                <w:rFonts w:ascii="Calibri" w:hAnsi="Calibri" w:eastAsia="Calibri" w:cs="Calibri"/>
                <w:i/>
                <w:iCs/>
                <w:color w:val="595959"/>
                <w:sz w:val="19"/>
                <w:szCs w:val="19"/>
              </w:rPr>
              <w:t>Full technical documentation must be provided in Latvian and/or English: user manuals, installation and maintenance instructions, electrical/mechanical diagrams, safety instructions, and programming/API documentation.</w:t>
            </w:r>
          </w:p>
        </w:tc>
        <w:tc>
          <w:tcPr>
            <w:tcW w:w="2050" w:type="dxa"/>
            <w:tcMar>
              <w:top w:w="80" w:type="dxa"/>
              <w:left w:w="100" w:type="dxa"/>
              <w:bottom w:w="80" w:type="dxa"/>
              <w:right w:w="100" w:type="dxa"/>
            </w:tcMar>
            <w:vAlign w:val="center"/>
          </w:tcPr>
          <w:p w14:paraId="25C2177D">
            <w:pPr>
              <w:spacing w:after="100"/>
              <w:jc w:val="left"/>
            </w:pPr>
          </w:p>
        </w:tc>
      </w:tr>
      <w:tr w14:paraId="72E4EE9A">
        <w:tc>
          <w:tcPr>
            <w:tcW w:w="500" w:type="dxa"/>
            <w:tcMar>
              <w:top w:w="80" w:type="dxa"/>
              <w:left w:w="100" w:type="dxa"/>
              <w:bottom w:w="80" w:type="dxa"/>
              <w:right w:w="100" w:type="dxa"/>
            </w:tcMar>
            <w:vAlign w:val="center"/>
          </w:tcPr>
          <w:p w14:paraId="72495FA7">
            <w:pPr>
              <w:spacing w:after="100"/>
              <w:jc w:val="center"/>
            </w:pPr>
            <w:r>
              <w:rPr>
                <w:rFonts w:ascii="Calibri" w:hAnsi="Calibri" w:eastAsia="Calibri" w:cs="Calibri"/>
                <w:b w:val="0"/>
                <w:bCs w:val="0"/>
                <w:i w:val="0"/>
                <w:iCs w:val="0"/>
                <w:sz w:val="21"/>
                <w:szCs w:val="21"/>
              </w:rPr>
              <w:t>3</w:t>
            </w:r>
          </w:p>
        </w:tc>
        <w:tc>
          <w:tcPr>
            <w:tcW w:w="2300" w:type="dxa"/>
            <w:tcMar>
              <w:top w:w="80" w:type="dxa"/>
              <w:left w:w="100" w:type="dxa"/>
              <w:bottom w:w="80" w:type="dxa"/>
              <w:right w:w="100" w:type="dxa"/>
            </w:tcMar>
            <w:vAlign w:val="center"/>
          </w:tcPr>
          <w:p w14:paraId="085BDBD7">
            <w:pPr>
              <w:spacing w:after="30"/>
              <w:jc w:val="left"/>
            </w:pPr>
            <w:r>
              <w:rPr>
                <w:rFonts w:ascii="Calibri" w:hAnsi="Calibri" w:eastAsia="Calibri" w:cs="Calibri"/>
                <w:b/>
                <w:bCs/>
                <w:sz w:val="21"/>
                <w:szCs w:val="21"/>
              </w:rPr>
              <w:t>Atvērta un programmējama sistēma</w:t>
            </w:r>
          </w:p>
          <w:p w14:paraId="76454FF6">
            <w:pPr>
              <w:spacing w:after="0"/>
              <w:jc w:val="left"/>
            </w:pPr>
            <w:r>
              <w:rPr>
                <w:rFonts w:ascii="Calibri" w:hAnsi="Calibri" w:eastAsia="Calibri" w:cs="Calibri"/>
                <w:i/>
                <w:iCs/>
                <w:color w:val="595959"/>
                <w:sz w:val="19"/>
                <w:szCs w:val="19"/>
              </w:rPr>
              <w:t>Open and programmable system</w:t>
            </w:r>
          </w:p>
        </w:tc>
        <w:tc>
          <w:tcPr>
            <w:tcW w:w="4500" w:type="dxa"/>
            <w:tcMar>
              <w:top w:w="80" w:type="dxa"/>
              <w:left w:w="100" w:type="dxa"/>
              <w:bottom w:w="80" w:type="dxa"/>
              <w:right w:w="100" w:type="dxa"/>
            </w:tcMar>
            <w:vAlign w:val="center"/>
          </w:tcPr>
          <w:p w14:paraId="3CCBE90F">
            <w:pPr>
              <w:spacing w:after="30"/>
              <w:jc w:val="left"/>
            </w:pPr>
            <w:r>
              <w:rPr>
                <w:rFonts w:ascii="Calibri" w:hAnsi="Calibri" w:eastAsia="Calibri" w:cs="Calibri"/>
                <w:b w:val="0"/>
                <w:bCs w:val="0"/>
                <w:sz w:val="21"/>
                <w:szCs w:val="21"/>
              </w:rPr>
              <w:t>Piedāvātajam risinājumam jābūt atvērtam un programmējamam, nodrošinot iespēju izstrādāt un integrēt Pasūtītāja specializētus lietojumus (t.sk. pieeju SDK/API, atbalstītas programmēšanas valodas un/vai ROS/ROS2 saderību). Sistēma nedrīkst būt ierobežota tikai ar ražotāja standarta lietojumprogrammām.</w:t>
            </w:r>
          </w:p>
          <w:p w14:paraId="2A3C9651">
            <w:pPr>
              <w:spacing w:after="0"/>
              <w:jc w:val="left"/>
            </w:pPr>
            <w:r>
              <w:rPr>
                <w:rFonts w:ascii="Calibri" w:hAnsi="Calibri" w:eastAsia="Calibri" w:cs="Calibri"/>
                <w:i/>
                <w:iCs/>
                <w:color w:val="595959"/>
                <w:sz w:val="19"/>
                <w:szCs w:val="19"/>
              </w:rPr>
              <w:t>The offered solution must be open and programmable, enabling development and integration of the Contracting Authority's specialized applications (incl. SDK/API access, supported programming languages, and/or ROS/ROS2 compatibility). The system must not be limited solely to the manufacturer's standard applications.</w:t>
            </w:r>
          </w:p>
        </w:tc>
        <w:tc>
          <w:tcPr>
            <w:tcW w:w="2050" w:type="dxa"/>
            <w:tcMar>
              <w:top w:w="80" w:type="dxa"/>
              <w:left w:w="100" w:type="dxa"/>
              <w:bottom w:w="80" w:type="dxa"/>
              <w:right w:w="100" w:type="dxa"/>
            </w:tcMar>
            <w:vAlign w:val="center"/>
          </w:tcPr>
          <w:p w14:paraId="3AE73CF2">
            <w:pPr>
              <w:spacing w:after="100"/>
              <w:jc w:val="left"/>
            </w:pPr>
          </w:p>
        </w:tc>
      </w:tr>
      <w:tr w14:paraId="3E6C8FCD">
        <w:tc>
          <w:tcPr>
            <w:tcW w:w="500" w:type="dxa"/>
            <w:tcMar>
              <w:top w:w="80" w:type="dxa"/>
              <w:left w:w="100" w:type="dxa"/>
              <w:bottom w:w="80" w:type="dxa"/>
              <w:right w:w="100" w:type="dxa"/>
            </w:tcMar>
            <w:vAlign w:val="center"/>
          </w:tcPr>
          <w:p w14:paraId="5AD141E3">
            <w:pPr>
              <w:spacing w:after="100"/>
              <w:jc w:val="center"/>
            </w:pPr>
            <w:r>
              <w:rPr>
                <w:rFonts w:ascii="Calibri" w:hAnsi="Calibri" w:eastAsia="Calibri" w:cs="Calibri"/>
                <w:b w:val="0"/>
                <w:bCs w:val="0"/>
                <w:i w:val="0"/>
                <w:iCs w:val="0"/>
                <w:sz w:val="21"/>
                <w:szCs w:val="21"/>
              </w:rPr>
              <w:t>4</w:t>
            </w:r>
          </w:p>
        </w:tc>
        <w:tc>
          <w:tcPr>
            <w:tcW w:w="2300" w:type="dxa"/>
            <w:tcMar>
              <w:top w:w="80" w:type="dxa"/>
              <w:left w:w="100" w:type="dxa"/>
              <w:bottom w:w="80" w:type="dxa"/>
              <w:right w:w="100" w:type="dxa"/>
            </w:tcMar>
            <w:vAlign w:val="center"/>
          </w:tcPr>
          <w:p w14:paraId="7379AECA">
            <w:pPr>
              <w:spacing w:after="30"/>
              <w:jc w:val="left"/>
            </w:pPr>
            <w:r>
              <w:rPr>
                <w:rFonts w:ascii="Calibri" w:hAnsi="Calibri" w:eastAsia="Calibri" w:cs="Calibri"/>
                <w:b/>
                <w:bCs/>
                <w:sz w:val="21"/>
                <w:szCs w:val="21"/>
              </w:rPr>
              <w:t>Garantija</w:t>
            </w:r>
          </w:p>
          <w:p w14:paraId="4B00D4F7">
            <w:pPr>
              <w:spacing w:after="0"/>
              <w:jc w:val="left"/>
            </w:pPr>
            <w:r>
              <w:rPr>
                <w:rFonts w:ascii="Calibri" w:hAnsi="Calibri" w:eastAsia="Calibri" w:cs="Calibri"/>
                <w:i/>
                <w:iCs/>
                <w:color w:val="595959"/>
                <w:sz w:val="19"/>
                <w:szCs w:val="19"/>
              </w:rPr>
              <w:t>Warranty</w:t>
            </w:r>
          </w:p>
        </w:tc>
        <w:tc>
          <w:tcPr>
            <w:tcW w:w="4500" w:type="dxa"/>
            <w:tcMar>
              <w:top w:w="80" w:type="dxa"/>
              <w:left w:w="100" w:type="dxa"/>
              <w:bottom w:w="80" w:type="dxa"/>
              <w:right w:w="100" w:type="dxa"/>
            </w:tcMar>
            <w:vAlign w:val="center"/>
          </w:tcPr>
          <w:p w14:paraId="6945CCE6">
            <w:pPr>
              <w:spacing w:after="30"/>
              <w:jc w:val="left"/>
            </w:pPr>
            <w:r>
              <w:rPr>
                <w:rFonts w:ascii="Calibri" w:hAnsi="Calibri" w:eastAsia="Calibri" w:cs="Calibri"/>
                <w:b w:val="0"/>
                <w:bCs w:val="0"/>
                <w:sz w:val="21"/>
                <w:szCs w:val="21"/>
              </w:rPr>
              <w:t>Ne mazāk kā 12 (divpadsmit) mēneši visām piegādātajām komponentēm</w:t>
            </w:r>
            <w:r>
              <w:rPr>
                <w:rFonts w:hint="default" w:ascii="Calibri" w:hAnsi="Calibri" w:eastAsia="Calibri" w:cs="Calibri"/>
                <w:b w:val="0"/>
                <w:bCs w:val="0"/>
                <w:sz w:val="21"/>
                <w:szCs w:val="21"/>
                <w:lang w:val="lv-LV"/>
              </w:rPr>
              <w:t xml:space="preserve"> un sastāvdaļām</w:t>
            </w:r>
            <w:r>
              <w:rPr>
                <w:rFonts w:ascii="Calibri" w:hAnsi="Calibri" w:eastAsia="Calibri" w:cs="Calibri"/>
                <w:b w:val="0"/>
                <w:bCs w:val="0"/>
                <w:sz w:val="21"/>
                <w:szCs w:val="21"/>
              </w:rPr>
              <w:t xml:space="preserve"> no pieņemšanas–nodošanas akta parakstīšanas dienas.</w:t>
            </w:r>
          </w:p>
          <w:p w14:paraId="09445F44">
            <w:pPr>
              <w:keepNext w:val="0"/>
              <w:keepLines w:val="0"/>
              <w:widowControl/>
              <w:suppressLineNumbers w:val="0"/>
              <w:jc w:val="left"/>
            </w:pPr>
            <w:r>
              <w:rPr>
                <w:rFonts w:ascii="Calibri" w:hAnsi="Calibri" w:eastAsia="Calibri" w:cs="Calibri"/>
                <w:i/>
                <w:iCs/>
                <w:color w:val="595959"/>
                <w:sz w:val="19"/>
                <w:szCs w:val="19"/>
              </w:rPr>
              <w:t xml:space="preserve">Not less than 12 (twelve) months for all delivered components </w:t>
            </w:r>
            <w:r>
              <w:rPr>
                <w:rFonts w:ascii="Calibri" w:hAnsi="Calibri" w:eastAsia="Calibri" w:cs="Calibri"/>
                <w:i/>
                <w:iCs/>
                <w:color w:val="595959"/>
                <w:sz w:val="19"/>
                <w:szCs w:val="19"/>
                <w:lang w:val="en-US" w:eastAsia="zh-CN"/>
              </w:rPr>
              <w:t>and parts</w:t>
            </w:r>
            <w:r>
              <w:rPr>
                <w:rFonts w:ascii="Calibri" w:hAnsi="Calibri" w:eastAsia="Calibri" w:cs="Calibri"/>
                <w:i/>
                <w:iCs/>
                <w:color w:val="595959"/>
                <w:sz w:val="19"/>
                <w:szCs w:val="19"/>
              </w:rPr>
              <w:t xml:space="preserve"> from the date of signing the acceptance certificate.</w:t>
            </w:r>
          </w:p>
        </w:tc>
        <w:tc>
          <w:tcPr>
            <w:tcW w:w="2050" w:type="dxa"/>
            <w:tcMar>
              <w:top w:w="80" w:type="dxa"/>
              <w:left w:w="100" w:type="dxa"/>
              <w:bottom w:w="80" w:type="dxa"/>
              <w:right w:w="100" w:type="dxa"/>
            </w:tcMar>
            <w:vAlign w:val="center"/>
          </w:tcPr>
          <w:p w14:paraId="190CBCB5">
            <w:pPr>
              <w:spacing w:after="100"/>
              <w:jc w:val="left"/>
            </w:pPr>
          </w:p>
        </w:tc>
      </w:tr>
    </w:tbl>
    <w:p w14:paraId="5FE63D82">
      <w:pPr>
        <w:spacing w:before="300" w:after="0"/>
      </w:pPr>
    </w:p>
    <w:p w14:paraId="02780627">
      <w:pPr>
        <w:spacing w:after="30"/>
      </w:pPr>
      <w:r>
        <w:rPr>
          <w:rFonts w:ascii="Calibri" w:hAnsi="Calibri" w:eastAsia="Calibri" w:cs="Calibri"/>
          <w:b/>
          <w:bCs/>
          <w:sz w:val="23"/>
          <w:szCs w:val="23"/>
        </w:rPr>
        <w:t>5. Finanšu piedāvājums</w:t>
      </w:r>
    </w:p>
    <w:p w14:paraId="2A447614">
      <w:pPr>
        <w:spacing w:after="150"/>
        <w:rPr>
          <w:rFonts w:ascii="Calibri" w:hAnsi="Calibri" w:eastAsia="Calibri" w:cs="Calibri"/>
          <w:b/>
          <w:bCs/>
          <w:i/>
          <w:iCs/>
          <w:color w:val="595959"/>
          <w:sz w:val="21"/>
          <w:szCs w:val="21"/>
        </w:rPr>
      </w:pPr>
      <w:r>
        <w:rPr>
          <w:rFonts w:ascii="Calibri" w:hAnsi="Calibri" w:eastAsia="Calibri" w:cs="Calibri"/>
          <w:b/>
          <w:bCs/>
          <w:i/>
          <w:iCs/>
          <w:color w:val="595959"/>
          <w:sz w:val="21"/>
          <w:szCs w:val="21"/>
        </w:rPr>
        <w:t>5. Financial offer</w:t>
      </w:r>
    </w:p>
    <w:p w14:paraId="2E222CA7">
      <w:pPr>
        <w:spacing w:after="30"/>
        <w:jc w:val="left"/>
        <w:rPr>
          <w:rFonts w:ascii="Calibri" w:hAnsi="Calibri" w:eastAsia="Calibri" w:cs="Calibri"/>
          <w:b w:val="0"/>
          <w:bCs w:val="0"/>
          <w:sz w:val="21"/>
          <w:szCs w:val="21"/>
        </w:rPr>
      </w:pPr>
      <w:r>
        <w:rPr>
          <w:rFonts w:ascii="Calibri" w:hAnsi="Calibri" w:eastAsia="Calibri" w:cs="Calibri"/>
          <w:color w:val="auto"/>
          <w:sz w:val="21"/>
          <w:szCs w:val="22"/>
          <w:lang w:val="en-US" w:eastAsia="zh-CN"/>
        </w:rPr>
        <w:t xml:space="preserve">Cenas norādāmas euro bez PVN ar divām zīmēm pēc komata. Cenā iekļaujamas visas </w:t>
      </w:r>
      <w:r>
        <w:rPr>
          <w:rFonts w:hint="default" w:ascii="Calibri" w:hAnsi="Calibri" w:eastAsia="Calibri" w:cs="Calibri"/>
          <w:color w:val="auto"/>
          <w:sz w:val="21"/>
          <w:szCs w:val="22"/>
          <w:lang w:val="lv-LV" w:eastAsia="zh-CN"/>
        </w:rPr>
        <w:t xml:space="preserve">ar piegādi saistītās </w:t>
      </w:r>
      <w:r>
        <w:rPr>
          <w:rFonts w:ascii="Calibri" w:hAnsi="Calibri" w:eastAsia="Calibri" w:cs="Calibri"/>
          <w:color w:val="auto"/>
          <w:sz w:val="21"/>
          <w:szCs w:val="22"/>
          <w:lang w:val="en-US" w:eastAsia="zh-CN"/>
        </w:rPr>
        <w:t xml:space="preserve">izmaksas: </w:t>
      </w:r>
      <w:r>
        <w:rPr>
          <w:rFonts w:hint="default" w:ascii="Calibri" w:hAnsi="Calibri" w:eastAsia="Calibri" w:cs="Calibri"/>
          <w:color w:val="auto"/>
          <w:sz w:val="21"/>
          <w:szCs w:val="22"/>
          <w:lang w:val="lv-LV" w:eastAsia="zh-CN"/>
        </w:rPr>
        <w:t>komponentes, robota roka, amr, kontrolieris</w:t>
      </w:r>
      <w:r>
        <w:rPr>
          <w:rFonts w:ascii="Calibri" w:hAnsi="Calibri" w:eastAsia="Calibri" w:cs="Calibri"/>
          <w:color w:val="auto"/>
          <w:sz w:val="21"/>
          <w:szCs w:val="22"/>
          <w:lang w:val="en-US" w:eastAsia="zh-CN"/>
        </w:rPr>
        <w:t>, programmēšanas panelis (teach pendant)</w:t>
      </w:r>
      <w:r>
        <w:rPr>
          <w:rFonts w:hint="default" w:ascii="Calibri" w:hAnsi="Calibri" w:eastAsia="Calibri" w:cs="Calibri"/>
          <w:color w:val="auto"/>
          <w:sz w:val="21"/>
          <w:szCs w:val="22"/>
          <w:lang w:val="lv-LV" w:eastAsia="zh-CN"/>
        </w:rPr>
        <w:t xml:space="preserve">, </w:t>
      </w:r>
      <w:r>
        <w:rPr>
          <w:rFonts w:ascii="Calibri" w:hAnsi="Calibri" w:eastAsia="Calibri" w:cs="Calibri"/>
          <w:color w:val="auto"/>
          <w:sz w:val="21"/>
          <w:szCs w:val="22"/>
          <w:lang w:val="en-US" w:eastAsia="zh-CN"/>
        </w:rPr>
        <w:t>obligātie piederumi</w:t>
      </w:r>
      <w:r>
        <w:rPr>
          <w:rFonts w:hint="default" w:ascii="Calibri" w:hAnsi="Calibri" w:eastAsia="Calibri" w:cs="Calibri"/>
          <w:color w:val="auto"/>
          <w:sz w:val="21"/>
          <w:szCs w:val="22"/>
          <w:lang w:val="lv-LV" w:eastAsia="zh-CN"/>
        </w:rPr>
        <w:t xml:space="preserve">, </w:t>
      </w:r>
      <w:r>
        <w:rPr>
          <w:rFonts w:ascii="Calibri" w:hAnsi="Calibri" w:eastAsia="Calibri" w:cs="Calibri"/>
          <w:color w:val="auto"/>
          <w:sz w:val="21"/>
          <w:szCs w:val="22"/>
          <w:lang w:val="en-US" w:eastAsia="zh-CN"/>
        </w:rPr>
        <w:t xml:space="preserve">programmatūras licences, kalibrēšana, dokumentācija, tulkojumi </w:t>
      </w:r>
      <w:r>
        <w:rPr>
          <w:rFonts w:hint="default" w:ascii="Calibri" w:hAnsi="Calibri" w:eastAsia="Calibri" w:cs="Calibri"/>
          <w:color w:val="auto"/>
          <w:sz w:val="21"/>
          <w:szCs w:val="22"/>
          <w:lang w:val="lv-LV" w:eastAsia="zh-CN"/>
        </w:rPr>
        <w:t>un citas ar izpildi saistītās izmaksas</w:t>
      </w:r>
      <w:r>
        <w:rPr>
          <w:rFonts w:ascii="Calibri" w:hAnsi="Calibri" w:eastAsia="Calibri" w:cs="Calibri"/>
          <w:color w:val="auto"/>
          <w:sz w:val="21"/>
          <w:szCs w:val="22"/>
          <w:lang w:val="en-US" w:eastAsia="zh-CN"/>
        </w:rPr>
        <w:t>, kā arī visi nodokļi un nodevas, izņemot PVN.</w:t>
      </w:r>
    </w:p>
    <w:p w14:paraId="29E022A4">
      <w:pPr>
        <w:keepNext w:val="0"/>
        <w:keepLines w:val="0"/>
        <w:widowControl/>
        <w:suppressLineNumbers w:val="0"/>
        <w:jc w:val="left"/>
        <w:rPr>
          <w:rFonts w:hint="default" w:ascii="Calibri" w:hAnsi="Calibri" w:eastAsia="Calibri" w:cs="Calibri"/>
          <w:i/>
          <w:iCs/>
          <w:color w:val="595959"/>
          <w:sz w:val="19"/>
          <w:szCs w:val="19"/>
          <w:lang w:val="lv-LV" w:eastAsia="zh-CN"/>
        </w:rPr>
      </w:pPr>
      <w:r>
        <w:rPr>
          <w:rFonts w:hint="default" w:ascii="Calibri" w:hAnsi="Calibri" w:eastAsia="Calibri" w:cs="Calibri"/>
          <w:i/>
          <w:iCs/>
          <w:color w:val="595959"/>
          <w:sz w:val="19"/>
          <w:szCs w:val="19"/>
          <w:lang w:val="en-US" w:eastAsia="zh-CN"/>
        </w:rPr>
        <w:t xml:space="preserve">Prices must be stated in euro, excluding VAT, to two decimal places. The price must include all costs related to the delivery: components, robot arm, </w:t>
      </w:r>
      <w:r>
        <w:rPr>
          <w:rFonts w:hint="default" w:ascii="Calibri" w:hAnsi="Calibri" w:eastAsia="Calibri" w:cs="Calibri"/>
          <w:i/>
          <w:iCs/>
          <w:color w:val="595959"/>
          <w:sz w:val="19"/>
          <w:szCs w:val="19"/>
          <w:lang w:val="lv-LV" w:eastAsia="zh-CN"/>
        </w:rPr>
        <w:t xml:space="preserve">amr, </w:t>
      </w:r>
      <w:r>
        <w:rPr>
          <w:rFonts w:hint="default" w:ascii="Calibri" w:hAnsi="Calibri" w:eastAsia="Calibri" w:cs="Calibri"/>
          <w:i/>
          <w:iCs/>
          <w:color w:val="595959"/>
          <w:sz w:val="19"/>
          <w:szCs w:val="19"/>
          <w:lang w:val="en-US" w:eastAsia="zh-CN"/>
        </w:rPr>
        <w:t>controller, teach pendant, mandatory accessories, software licenses, calibration, documentation, translations, and other costs related to performance, as well as all taxes and duties except VAT.</w:t>
      </w:r>
    </w:p>
    <w:p w14:paraId="72166BE1">
      <w:pPr>
        <w:keepNext w:val="0"/>
        <w:keepLines w:val="0"/>
        <w:widowControl/>
        <w:suppressLineNumbers w:val="0"/>
        <w:jc w:val="left"/>
        <w:rPr>
          <w:rFonts w:ascii="Calibri" w:hAnsi="Calibri" w:eastAsia="Calibri" w:cs="Calibri"/>
          <w:i/>
          <w:iCs/>
          <w:color w:val="595959"/>
          <w:sz w:val="19"/>
          <w:szCs w:val="19"/>
          <w:lang w:val="en-US" w:eastAsia="zh-CN"/>
        </w:rPr>
      </w:pPr>
    </w:p>
    <w:p w14:paraId="32F6B4C7">
      <w:pPr>
        <w:pStyle w:val="24"/>
        <w:jc w:val="left"/>
        <w:rPr>
          <w:rFonts w:ascii="Calibri" w:hAnsi="Calibri" w:eastAsia="Calibri" w:cs="Calibri"/>
          <w:color w:val="auto"/>
          <w:lang w:val="en-US" w:eastAsia="zh-CN"/>
        </w:rPr>
      </w:pPr>
    </w:p>
    <w:p w14:paraId="4015890B">
      <w:pPr>
        <w:pStyle w:val="24"/>
        <w:jc w:val="left"/>
        <w:rPr>
          <w:rFonts w:hint="default" w:ascii="Calibri" w:hAnsi="Calibri" w:eastAsia="Calibri" w:cs="Calibri"/>
          <w:color w:val="auto"/>
          <w:lang w:val="lv-LV" w:eastAsia="zh-CN"/>
        </w:rPr>
      </w:pPr>
      <w:r>
        <w:rPr>
          <w:rFonts w:ascii="Calibri" w:hAnsi="Calibri" w:eastAsia="Calibri" w:cs="Calibri"/>
          <w:color w:val="auto"/>
          <w:lang w:val="en-US" w:eastAsia="zh-CN"/>
        </w:rPr>
        <w:t xml:space="preserve">Pasūtītājam ir tiesības atteikties slēgt līgumu iepirkuma ietvaros, kā arī samazināt vai palielināt </w:t>
      </w:r>
      <w:r>
        <w:rPr>
          <w:rFonts w:hint="default" w:ascii="Calibri" w:hAnsi="Calibri" w:eastAsia="Calibri" w:cs="Calibri"/>
          <w:color w:val="auto"/>
          <w:lang w:val="lv-LV" w:eastAsia="zh-CN"/>
        </w:rPr>
        <w:t>līguma</w:t>
      </w:r>
      <w:r>
        <w:rPr>
          <w:rFonts w:ascii="Calibri" w:hAnsi="Calibri" w:eastAsia="Calibri" w:cs="Calibri"/>
          <w:color w:val="auto"/>
          <w:lang w:val="en-US" w:eastAsia="zh-CN"/>
        </w:rPr>
        <w:t xml:space="preserve"> apjomu (jebkurā apakšpozīcijā) līdz 10 % no kopējās līgumcenas atbilstoši finanšu piedāvājuma pozīcijām apakšpozīciju dalījumā, nemainot Pretendenta finanšu piedāvājumā norādītās </w:t>
      </w:r>
      <w:r>
        <w:rPr>
          <w:rFonts w:hint="default" w:ascii="Calibri" w:hAnsi="Calibri" w:eastAsia="Calibri" w:cs="Calibri"/>
          <w:color w:val="auto"/>
          <w:lang w:val="lv-LV" w:eastAsia="zh-CN"/>
        </w:rPr>
        <w:t>pozīciju</w:t>
      </w:r>
      <w:r>
        <w:rPr>
          <w:rFonts w:ascii="Calibri" w:hAnsi="Calibri" w:eastAsia="Calibri" w:cs="Calibri"/>
          <w:color w:val="auto"/>
          <w:lang w:val="en-US" w:eastAsia="zh-CN"/>
        </w:rPr>
        <w:t xml:space="preserve"> cenas.</w:t>
      </w:r>
    </w:p>
    <w:p w14:paraId="4E014357">
      <w:pPr>
        <w:keepNext w:val="0"/>
        <w:keepLines w:val="0"/>
        <w:widowControl/>
        <w:suppressLineNumbers w:val="0"/>
        <w:jc w:val="left"/>
        <w:rPr>
          <w:rFonts w:ascii="Calibri" w:hAnsi="Calibri" w:eastAsia="Calibri" w:cs="Calibri"/>
          <w:i/>
          <w:iCs/>
          <w:color w:val="595959"/>
          <w:sz w:val="19"/>
          <w:szCs w:val="19"/>
          <w:lang w:val="en-US" w:eastAsia="zh-CN"/>
        </w:rPr>
      </w:pPr>
      <w:r>
        <w:rPr>
          <w:rFonts w:hint="default" w:ascii="Calibri" w:hAnsi="Calibri" w:eastAsia="Calibri" w:cs="Calibri"/>
          <w:i/>
          <w:iCs/>
          <w:color w:val="595959"/>
          <w:sz w:val="19"/>
          <w:szCs w:val="19"/>
          <w:lang w:val="lv-LV" w:eastAsia="zh-CN"/>
        </w:rPr>
        <w:t>The contracting authority has the right to refuse to conclude the agreement within the framework of the tender, as well as to reduce or increase (from any sub-position) up to 10% of the total contract price in accordance with the positions of the financial offer, without changing the position prices indicated in the tenderer's financial offer.</w:t>
      </w:r>
    </w:p>
    <w:p w14:paraId="356203D8">
      <w:pPr>
        <w:spacing w:after="150"/>
        <w:rPr>
          <w:rFonts w:ascii="Calibri" w:hAnsi="Calibri" w:eastAsia="Calibri" w:cs="Calibri"/>
          <w:b/>
          <w:bCs/>
          <w:i/>
          <w:iCs/>
          <w:color w:val="595959"/>
          <w:sz w:val="21"/>
          <w:szCs w:val="21"/>
        </w:rPr>
      </w:pPr>
    </w:p>
    <w:tbl>
      <w:tblPr>
        <w:tblStyle w:val="10"/>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5150"/>
        <w:gridCol w:w="1750"/>
        <w:gridCol w:w="1750"/>
      </w:tblGrid>
      <w:tr w14:paraId="56A5BB4D">
        <w:tc>
          <w:tcPr>
            <w:tcW w:w="700" w:type="dxa"/>
            <w:shd w:val="clear" w:color="auto" w:fill="BFBFBF"/>
            <w:tcMar>
              <w:top w:w="80" w:type="dxa"/>
              <w:left w:w="100" w:type="dxa"/>
              <w:bottom w:w="80" w:type="dxa"/>
              <w:right w:w="100" w:type="dxa"/>
            </w:tcMar>
            <w:vAlign w:val="center"/>
          </w:tcPr>
          <w:p w14:paraId="62C06BA3">
            <w:pPr>
              <w:spacing w:after="30"/>
              <w:jc w:val="left"/>
            </w:pPr>
            <w:r>
              <w:rPr>
                <w:rFonts w:ascii="Calibri" w:hAnsi="Calibri" w:eastAsia="Calibri" w:cs="Calibri"/>
                <w:b/>
                <w:bCs/>
                <w:sz w:val="21"/>
                <w:szCs w:val="21"/>
              </w:rPr>
              <w:t>Poz.</w:t>
            </w:r>
          </w:p>
          <w:p w14:paraId="62EDDD66">
            <w:pPr>
              <w:spacing w:after="0"/>
              <w:jc w:val="left"/>
            </w:pPr>
            <w:r>
              <w:rPr>
                <w:rFonts w:ascii="Calibri" w:hAnsi="Calibri" w:eastAsia="Calibri" w:cs="Calibri"/>
                <w:i/>
                <w:iCs/>
                <w:color w:val="595959"/>
                <w:sz w:val="19"/>
                <w:szCs w:val="19"/>
              </w:rPr>
              <w:t>Item</w:t>
            </w:r>
          </w:p>
        </w:tc>
        <w:tc>
          <w:tcPr>
            <w:tcW w:w="5150" w:type="dxa"/>
            <w:shd w:val="clear" w:color="auto" w:fill="BFBFBF"/>
            <w:tcMar>
              <w:top w:w="80" w:type="dxa"/>
              <w:left w:w="100" w:type="dxa"/>
              <w:bottom w:w="80" w:type="dxa"/>
              <w:right w:w="100" w:type="dxa"/>
            </w:tcMar>
            <w:vAlign w:val="center"/>
          </w:tcPr>
          <w:p w14:paraId="682CEC40">
            <w:pPr>
              <w:spacing w:after="30"/>
              <w:jc w:val="left"/>
            </w:pPr>
            <w:r>
              <w:rPr>
                <w:rFonts w:ascii="Calibri" w:hAnsi="Calibri" w:eastAsia="Calibri" w:cs="Calibri"/>
                <w:b/>
                <w:bCs/>
                <w:sz w:val="21"/>
                <w:szCs w:val="21"/>
              </w:rPr>
              <w:t>Apraksts</w:t>
            </w:r>
          </w:p>
          <w:p w14:paraId="0916B25A">
            <w:pPr>
              <w:spacing w:after="0"/>
              <w:jc w:val="left"/>
            </w:pPr>
            <w:r>
              <w:rPr>
                <w:rFonts w:ascii="Calibri" w:hAnsi="Calibri" w:eastAsia="Calibri" w:cs="Calibri"/>
                <w:i/>
                <w:iCs/>
                <w:color w:val="595959"/>
                <w:sz w:val="19"/>
                <w:szCs w:val="19"/>
              </w:rPr>
              <w:t>Description</w:t>
            </w:r>
          </w:p>
        </w:tc>
        <w:tc>
          <w:tcPr>
            <w:tcW w:w="1750" w:type="dxa"/>
            <w:shd w:val="clear" w:color="auto" w:fill="BFBFBF"/>
            <w:tcMar>
              <w:top w:w="80" w:type="dxa"/>
              <w:left w:w="100" w:type="dxa"/>
              <w:bottom w:w="80" w:type="dxa"/>
              <w:right w:w="100" w:type="dxa"/>
            </w:tcMar>
            <w:vAlign w:val="center"/>
          </w:tcPr>
          <w:p w14:paraId="42AF48FD">
            <w:pPr>
              <w:spacing w:after="30"/>
              <w:jc w:val="left"/>
            </w:pPr>
            <w:r>
              <w:rPr>
                <w:rFonts w:ascii="Calibri" w:hAnsi="Calibri" w:eastAsia="Calibri" w:cs="Calibri"/>
                <w:b/>
                <w:bCs/>
                <w:sz w:val="21"/>
                <w:szCs w:val="21"/>
              </w:rPr>
              <w:t>Cena, EUR (bez PVN)</w:t>
            </w:r>
          </w:p>
          <w:p w14:paraId="162DD426">
            <w:pPr>
              <w:spacing w:after="0"/>
              <w:jc w:val="left"/>
            </w:pPr>
            <w:r>
              <w:rPr>
                <w:rFonts w:ascii="Calibri" w:hAnsi="Calibri" w:eastAsia="Calibri" w:cs="Calibri"/>
                <w:i/>
                <w:iCs/>
                <w:color w:val="595959"/>
                <w:sz w:val="19"/>
                <w:szCs w:val="19"/>
              </w:rPr>
              <w:t>Price, EUR (excl. VAT)</w:t>
            </w:r>
          </w:p>
        </w:tc>
        <w:tc>
          <w:tcPr>
            <w:tcW w:w="1750" w:type="dxa"/>
            <w:shd w:val="clear" w:color="auto" w:fill="BFBFBF"/>
            <w:tcMar>
              <w:top w:w="80" w:type="dxa"/>
              <w:left w:w="100" w:type="dxa"/>
              <w:bottom w:w="80" w:type="dxa"/>
              <w:right w:w="100" w:type="dxa"/>
            </w:tcMar>
            <w:vAlign w:val="center"/>
          </w:tcPr>
          <w:p w14:paraId="6F573D30">
            <w:pPr>
              <w:spacing w:after="30"/>
              <w:jc w:val="left"/>
            </w:pPr>
            <w:r>
              <w:rPr>
                <w:rFonts w:ascii="Calibri" w:hAnsi="Calibri" w:eastAsia="Calibri" w:cs="Calibri"/>
                <w:b/>
                <w:bCs/>
                <w:sz w:val="21"/>
                <w:szCs w:val="21"/>
              </w:rPr>
              <w:t>Piezīmes</w:t>
            </w:r>
          </w:p>
          <w:p w14:paraId="117F777D">
            <w:pPr>
              <w:spacing w:after="0"/>
              <w:jc w:val="left"/>
            </w:pPr>
            <w:r>
              <w:rPr>
                <w:rFonts w:ascii="Calibri" w:hAnsi="Calibri" w:eastAsia="Calibri" w:cs="Calibri"/>
                <w:i/>
                <w:iCs/>
                <w:color w:val="595959"/>
                <w:sz w:val="19"/>
                <w:szCs w:val="19"/>
              </w:rPr>
              <w:t>Notes</w:t>
            </w:r>
          </w:p>
        </w:tc>
      </w:tr>
      <w:tr w14:paraId="76AA8833">
        <w:tc>
          <w:tcPr>
            <w:tcW w:w="700" w:type="dxa"/>
            <w:tcMar>
              <w:top w:w="80" w:type="dxa"/>
              <w:left w:w="100" w:type="dxa"/>
              <w:bottom w:w="80" w:type="dxa"/>
              <w:right w:w="100" w:type="dxa"/>
            </w:tcMar>
            <w:vAlign w:val="center"/>
          </w:tcPr>
          <w:p w14:paraId="0E3B1985">
            <w:pPr>
              <w:spacing w:after="100"/>
              <w:jc w:val="left"/>
            </w:pPr>
            <w:r>
              <w:rPr>
                <w:rFonts w:ascii="Calibri" w:hAnsi="Calibri" w:eastAsia="Calibri" w:cs="Calibri"/>
                <w:b w:val="0"/>
                <w:bCs w:val="0"/>
                <w:i w:val="0"/>
                <w:iCs w:val="0"/>
                <w:sz w:val="21"/>
                <w:szCs w:val="21"/>
              </w:rPr>
              <w:t>1.</w:t>
            </w:r>
          </w:p>
        </w:tc>
        <w:tc>
          <w:tcPr>
            <w:tcW w:w="5150" w:type="dxa"/>
            <w:tcMar>
              <w:top w:w="80" w:type="dxa"/>
              <w:left w:w="100" w:type="dxa"/>
              <w:bottom w:w="80" w:type="dxa"/>
              <w:right w:w="100" w:type="dxa"/>
            </w:tcMar>
            <w:vAlign w:val="center"/>
          </w:tcPr>
          <w:p w14:paraId="017E0AB0">
            <w:pPr>
              <w:spacing w:after="30"/>
              <w:jc w:val="left"/>
            </w:pPr>
            <w:r>
              <w:rPr>
                <w:rFonts w:ascii="Calibri" w:hAnsi="Calibri" w:eastAsia="Calibri" w:cs="Calibri"/>
                <w:b w:val="0"/>
                <w:bCs w:val="0"/>
                <w:sz w:val="21"/>
                <w:szCs w:val="21"/>
              </w:rPr>
              <w:t>Robota roka, 1 gab.</w:t>
            </w:r>
          </w:p>
          <w:p w14:paraId="347195DB">
            <w:pPr>
              <w:spacing w:after="0"/>
              <w:jc w:val="left"/>
            </w:pPr>
            <w:r>
              <w:rPr>
                <w:rFonts w:ascii="Calibri" w:hAnsi="Calibri" w:eastAsia="Calibri" w:cs="Calibri"/>
                <w:i/>
                <w:iCs/>
                <w:color w:val="595959"/>
                <w:sz w:val="19"/>
                <w:szCs w:val="19"/>
              </w:rPr>
              <w:t>Robot arm, 1 pc.</w:t>
            </w:r>
          </w:p>
        </w:tc>
        <w:tc>
          <w:tcPr>
            <w:tcW w:w="1750" w:type="dxa"/>
            <w:tcMar>
              <w:top w:w="80" w:type="dxa"/>
              <w:left w:w="100" w:type="dxa"/>
              <w:bottom w:w="80" w:type="dxa"/>
              <w:right w:w="100" w:type="dxa"/>
            </w:tcMar>
            <w:vAlign w:val="center"/>
          </w:tcPr>
          <w:p w14:paraId="7658FCA1">
            <w:pPr>
              <w:spacing w:after="100"/>
              <w:jc w:val="left"/>
            </w:pPr>
          </w:p>
        </w:tc>
        <w:tc>
          <w:tcPr>
            <w:tcW w:w="1750" w:type="dxa"/>
            <w:tcMar>
              <w:top w:w="80" w:type="dxa"/>
              <w:left w:w="100" w:type="dxa"/>
              <w:bottom w:w="80" w:type="dxa"/>
              <w:right w:w="100" w:type="dxa"/>
            </w:tcMar>
            <w:vAlign w:val="center"/>
          </w:tcPr>
          <w:p w14:paraId="4BEAEB96">
            <w:pPr>
              <w:spacing w:after="100"/>
              <w:jc w:val="left"/>
            </w:pPr>
          </w:p>
        </w:tc>
      </w:tr>
      <w:tr w14:paraId="6AA7BA30">
        <w:tc>
          <w:tcPr>
            <w:tcW w:w="700" w:type="dxa"/>
            <w:tcMar>
              <w:top w:w="80" w:type="dxa"/>
              <w:left w:w="100" w:type="dxa"/>
              <w:bottom w:w="80" w:type="dxa"/>
              <w:right w:w="100" w:type="dxa"/>
            </w:tcMar>
            <w:vAlign w:val="center"/>
          </w:tcPr>
          <w:p w14:paraId="18DE29C5">
            <w:pPr>
              <w:spacing w:after="100"/>
              <w:jc w:val="left"/>
            </w:pPr>
            <w:r>
              <w:rPr>
                <w:rFonts w:ascii="Calibri" w:hAnsi="Calibri" w:eastAsia="Calibri" w:cs="Calibri"/>
                <w:b w:val="0"/>
                <w:bCs w:val="0"/>
                <w:i w:val="0"/>
                <w:iCs w:val="0"/>
                <w:sz w:val="21"/>
                <w:szCs w:val="21"/>
              </w:rPr>
              <w:t>2.</w:t>
            </w:r>
          </w:p>
        </w:tc>
        <w:tc>
          <w:tcPr>
            <w:tcW w:w="5150" w:type="dxa"/>
            <w:tcMar>
              <w:top w:w="80" w:type="dxa"/>
              <w:left w:w="100" w:type="dxa"/>
              <w:bottom w:w="80" w:type="dxa"/>
              <w:right w:w="100" w:type="dxa"/>
            </w:tcMar>
            <w:vAlign w:val="center"/>
          </w:tcPr>
          <w:p w14:paraId="14F4D368">
            <w:pPr>
              <w:spacing w:after="30"/>
              <w:jc w:val="left"/>
            </w:pPr>
            <w:r>
              <w:rPr>
                <w:rFonts w:ascii="Calibri" w:hAnsi="Calibri" w:eastAsia="Calibri" w:cs="Calibri"/>
                <w:b w:val="0"/>
                <w:bCs w:val="0"/>
                <w:sz w:val="21"/>
                <w:szCs w:val="21"/>
              </w:rPr>
              <w:t>Mobilā platforma, 1 gab.</w:t>
            </w:r>
          </w:p>
          <w:p w14:paraId="2168A495">
            <w:pPr>
              <w:spacing w:after="0"/>
              <w:jc w:val="left"/>
            </w:pPr>
            <w:r>
              <w:rPr>
                <w:rFonts w:ascii="Calibri" w:hAnsi="Calibri" w:eastAsia="Calibri" w:cs="Calibri"/>
                <w:i/>
                <w:iCs/>
                <w:color w:val="595959"/>
                <w:sz w:val="19"/>
                <w:szCs w:val="19"/>
              </w:rPr>
              <w:t>Mobile platform, 1 pc.</w:t>
            </w:r>
          </w:p>
        </w:tc>
        <w:tc>
          <w:tcPr>
            <w:tcW w:w="1750" w:type="dxa"/>
            <w:tcMar>
              <w:top w:w="80" w:type="dxa"/>
              <w:left w:w="100" w:type="dxa"/>
              <w:bottom w:w="80" w:type="dxa"/>
              <w:right w:w="100" w:type="dxa"/>
            </w:tcMar>
            <w:vAlign w:val="center"/>
          </w:tcPr>
          <w:p w14:paraId="0275A594">
            <w:pPr>
              <w:spacing w:after="100"/>
              <w:jc w:val="left"/>
            </w:pPr>
          </w:p>
        </w:tc>
        <w:tc>
          <w:tcPr>
            <w:tcW w:w="1750" w:type="dxa"/>
            <w:tcMar>
              <w:top w:w="80" w:type="dxa"/>
              <w:left w:w="100" w:type="dxa"/>
              <w:bottom w:w="80" w:type="dxa"/>
              <w:right w:w="100" w:type="dxa"/>
            </w:tcMar>
            <w:vAlign w:val="center"/>
          </w:tcPr>
          <w:p w14:paraId="3F806F25">
            <w:pPr>
              <w:spacing w:after="100"/>
              <w:jc w:val="left"/>
            </w:pPr>
          </w:p>
        </w:tc>
      </w:tr>
      <w:tr w14:paraId="09F729DD">
        <w:tc>
          <w:tcPr>
            <w:tcW w:w="700" w:type="dxa"/>
            <w:tcMar>
              <w:top w:w="80" w:type="dxa"/>
              <w:left w:w="100" w:type="dxa"/>
              <w:bottom w:w="80" w:type="dxa"/>
              <w:right w:w="100" w:type="dxa"/>
            </w:tcMar>
            <w:vAlign w:val="center"/>
          </w:tcPr>
          <w:p w14:paraId="1BA6D5A9">
            <w:pPr>
              <w:spacing w:after="100"/>
              <w:jc w:val="left"/>
            </w:pPr>
            <w:r>
              <w:rPr>
                <w:rFonts w:ascii="Calibri" w:hAnsi="Calibri" w:eastAsia="Calibri" w:cs="Calibri"/>
                <w:b w:val="0"/>
                <w:bCs w:val="0"/>
                <w:i w:val="0"/>
                <w:iCs w:val="0"/>
                <w:sz w:val="21"/>
                <w:szCs w:val="21"/>
              </w:rPr>
              <w:t>3.</w:t>
            </w:r>
          </w:p>
        </w:tc>
        <w:tc>
          <w:tcPr>
            <w:tcW w:w="5150" w:type="dxa"/>
            <w:tcMar>
              <w:top w:w="80" w:type="dxa"/>
              <w:left w:w="100" w:type="dxa"/>
              <w:bottom w:w="80" w:type="dxa"/>
              <w:right w:w="100" w:type="dxa"/>
            </w:tcMar>
            <w:vAlign w:val="center"/>
          </w:tcPr>
          <w:p w14:paraId="32F5FF7E">
            <w:pPr>
              <w:spacing w:after="30"/>
              <w:jc w:val="left"/>
              <w:rPr>
                <w:rFonts w:hint="default"/>
                <w:lang w:val="lv-LV"/>
              </w:rPr>
            </w:pPr>
            <w:r>
              <w:rPr>
                <w:rFonts w:hint="default" w:ascii="Calibri" w:hAnsi="Calibri" w:eastAsia="Calibri" w:cs="Calibri"/>
                <w:b w:val="0"/>
                <w:bCs w:val="0"/>
                <w:sz w:val="21"/>
                <w:szCs w:val="21"/>
                <w:lang w:val="lv-LV"/>
              </w:rPr>
              <w:t>U</w:t>
            </w:r>
            <w:r>
              <w:rPr>
                <w:rFonts w:ascii="Calibri" w:hAnsi="Calibri" w:eastAsia="Calibri" w:cs="Calibri"/>
                <w:b w:val="0"/>
                <w:bCs w:val="0"/>
                <w:sz w:val="21"/>
                <w:szCs w:val="21"/>
              </w:rPr>
              <w:t>zlādes stacija</w:t>
            </w:r>
            <w:r>
              <w:rPr>
                <w:rFonts w:hint="default" w:ascii="Calibri" w:hAnsi="Calibri" w:eastAsia="Calibri" w:cs="Calibri"/>
                <w:b w:val="0"/>
                <w:bCs w:val="0"/>
                <w:sz w:val="21"/>
                <w:szCs w:val="21"/>
                <w:lang w:val="lv-LV"/>
              </w:rPr>
              <w:t xml:space="preserve">, </w:t>
            </w:r>
            <w:r>
              <w:rPr>
                <w:rFonts w:ascii="Calibri" w:hAnsi="Calibri" w:eastAsia="Calibri" w:cs="Calibri"/>
                <w:b w:val="0"/>
                <w:bCs w:val="0"/>
                <w:sz w:val="21"/>
                <w:szCs w:val="21"/>
              </w:rPr>
              <w:t>1 gab.</w:t>
            </w:r>
          </w:p>
          <w:p w14:paraId="2F3273D7">
            <w:pPr>
              <w:spacing w:after="0"/>
              <w:jc w:val="left"/>
            </w:pPr>
            <w:r>
              <w:rPr>
                <w:rFonts w:hint="default" w:ascii="Calibri" w:hAnsi="Calibri" w:eastAsia="Calibri" w:cs="Calibri"/>
                <w:i/>
                <w:iCs/>
                <w:color w:val="595959"/>
                <w:sz w:val="19"/>
                <w:szCs w:val="19"/>
                <w:lang w:val="lv-LV"/>
              </w:rPr>
              <w:t>C</w:t>
            </w:r>
            <w:r>
              <w:rPr>
                <w:rFonts w:ascii="Calibri" w:hAnsi="Calibri" w:eastAsia="Calibri" w:cs="Calibri"/>
                <w:i/>
                <w:iCs/>
                <w:color w:val="595959"/>
                <w:sz w:val="19"/>
                <w:szCs w:val="19"/>
              </w:rPr>
              <w:t>harging station, 1 pc.</w:t>
            </w:r>
          </w:p>
        </w:tc>
        <w:tc>
          <w:tcPr>
            <w:tcW w:w="1750" w:type="dxa"/>
            <w:tcMar>
              <w:top w:w="80" w:type="dxa"/>
              <w:left w:w="100" w:type="dxa"/>
              <w:bottom w:w="80" w:type="dxa"/>
              <w:right w:w="100" w:type="dxa"/>
            </w:tcMar>
            <w:vAlign w:val="center"/>
          </w:tcPr>
          <w:p w14:paraId="44A5EBA7">
            <w:pPr>
              <w:spacing w:after="100"/>
              <w:jc w:val="left"/>
            </w:pPr>
          </w:p>
        </w:tc>
        <w:tc>
          <w:tcPr>
            <w:tcW w:w="1750" w:type="dxa"/>
            <w:tcMar>
              <w:top w:w="80" w:type="dxa"/>
              <w:left w:w="100" w:type="dxa"/>
              <w:bottom w:w="80" w:type="dxa"/>
              <w:right w:w="100" w:type="dxa"/>
            </w:tcMar>
            <w:vAlign w:val="center"/>
          </w:tcPr>
          <w:p w14:paraId="3421DAB3">
            <w:pPr>
              <w:spacing w:after="100"/>
              <w:jc w:val="left"/>
            </w:pPr>
          </w:p>
        </w:tc>
      </w:tr>
      <w:tr w14:paraId="3C2F57C3">
        <w:tc>
          <w:tcPr>
            <w:tcW w:w="700" w:type="dxa"/>
            <w:tcMar>
              <w:top w:w="80" w:type="dxa"/>
              <w:left w:w="100" w:type="dxa"/>
              <w:bottom w:w="80" w:type="dxa"/>
              <w:right w:w="100" w:type="dxa"/>
            </w:tcMar>
            <w:vAlign w:val="center"/>
          </w:tcPr>
          <w:p w14:paraId="3EFC8FDD">
            <w:pPr>
              <w:spacing w:after="100"/>
              <w:jc w:val="left"/>
            </w:pPr>
            <w:r>
              <w:rPr>
                <w:rFonts w:ascii="Calibri" w:hAnsi="Calibri" w:eastAsia="Calibri" w:cs="Calibri"/>
                <w:b w:val="0"/>
                <w:bCs w:val="0"/>
                <w:i w:val="0"/>
                <w:iCs w:val="0"/>
                <w:sz w:val="21"/>
                <w:szCs w:val="21"/>
              </w:rPr>
              <w:t>4.</w:t>
            </w:r>
          </w:p>
        </w:tc>
        <w:tc>
          <w:tcPr>
            <w:tcW w:w="5150" w:type="dxa"/>
            <w:tcMar>
              <w:top w:w="80" w:type="dxa"/>
              <w:left w:w="100" w:type="dxa"/>
              <w:bottom w:w="80" w:type="dxa"/>
              <w:right w:w="100" w:type="dxa"/>
            </w:tcMar>
            <w:vAlign w:val="center"/>
          </w:tcPr>
          <w:p w14:paraId="21F13F52">
            <w:pPr>
              <w:spacing w:after="30"/>
              <w:jc w:val="left"/>
            </w:pPr>
            <w:r>
              <w:rPr>
                <w:rFonts w:ascii="Calibri" w:hAnsi="Calibri" w:eastAsia="Calibri" w:cs="Calibri"/>
                <w:b w:val="0"/>
                <w:bCs w:val="0"/>
                <w:sz w:val="21"/>
                <w:szCs w:val="21"/>
              </w:rPr>
              <w:t>Pirmās ass mastering rīks</w:t>
            </w:r>
          </w:p>
          <w:p w14:paraId="5FE744D3">
            <w:pPr>
              <w:spacing w:after="0"/>
              <w:jc w:val="left"/>
            </w:pPr>
            <w:r>
              <w:rPr>
                <w:rFonts w:ascii="Calibri" w:hAnsi="Calibri" w:eastAsia="Calibri" w:cs="Calibri"/>
                <w:i/>
                <w:iCs/>
                <w:color w:val="595959"/>
                <w:sz w:val="19"/>
                <w:szCs w:val="19"/>
              </w:rPr>
              <w:t>First-axis mastering tool — purchased together with the robot</w:t>
            </w:r>
          </w:p>
        </w:tc>
        <w:tc>
          <w:tcPr>
            <w:tcW w:w="1750" w:type="dxa"/>
            <w:tcMar>
              <w:top w:w="80" w:type="dxa"/>
              <w:left w:w="100" w:type="dxa"/>
              <w:bottom w:w="80" w:type="dxa"/>
              <w:right w:w="100" w:type="dxa"/>
            </w:tcMar>
            <w:vAlign w:val="center"/>
          </w:tcPr>
          <w:p w14:paraId="31D37C81">
            <w:pPr>
              <w:spacing w:after="100"/>
              <w:jc w:val="left"/>
            </w:pPr>
          </w:p>
        </w:tc>
        <w:tc>
          <w:tcPr>
            <w:tcW w:w="1750" w:type="dxa"/>
            <w:tcMar>
              <w:top w:w="80" w:type="dxa"/>
              <w:left w:w="100" w:type="dxa"/>
              <w:bottom w:w="80" w:type="dxa"/>
              <w:right w:w="100" w:type="dxa"/>
            </w:tcMar>
            <w:vAlign w:val="center"/>
          </w:tcPr>
          <w:p w14:paraId="080754C8">
            <w:pPr>
              <w:spacing w:after="100"/>
              <w:jc w:val="left"/>
            </w:pPr>
          </w:p>
        </w:tc>
      </w:tr>
      <w:tr w14:paraId="06423004">
        <w:tc>
          <w:tcPr>
            <w:tcW w:w="700" w:type="dxa"/>
            <w:tcMar>
              <w:top w:w="80" w:type="dxa"/>
              <w:left w:w="100" w:type="dxa"/>
              <w:bottom w:w="80" w:type="dxa"/>
              <w:right w:w="100" w:type="dxa"/>
            </w:tcMar>
            <w:vAlign w:val="center"/>
          </w:tcPr>
          <w:p w14:paraId="6B27DF8B">
            <w:pPr>
              <w:spacing w:after="100"/>
              <w:jc w:val="left"/>
            </w:pPr>
            <w:r>
              <w:rPr>
                <w:rFonts w:hint="default" w:ascii="Calibri" w:hAnsi="Calibri" w:eastAsia="Calibri" w:cs="Calibri"/>
                <w:b w:val="0"/>
                <w:bCs w:val="0"/>
                <w:i w:val="0"/>
                <w:iCs w:val="0"/>
                <w:sz w:val="21"/>
                <w:szCs w:val="21"/>
                <w:lang w:val="lv-LV"/>
              </w:rPr>
              <w:t>5</w:t>
            </w:r>
            <w:r>
              <w:rPr>
                <w:rFonts w:ascii="Calibri" w:hAnsi="Calibri" w:eastAsia="Calibri" w:cs="Calibri"/>
                <w:b w:val="0"/>
                <w:bCs w:val="0"/>
                <w:i w:val="0"/>
                <w:iCs w:val="0"/>
                <w:sz w:val="21"/>
                <w:szCs w:val="21"/>
              </w:rPr>
              <w:t>.</w:t>
            </w:r>
          </w:p>
        </w:tc>
        <w:tc>
          <w:tcPr>
            <w:tcW w:w="5150" w:type="dxa"/>
            <w:tcMar>
              <w:top w:w="80" w:type="dxa"/>
              <w:left w:w="100" w:type="dxa"/>
              <w:bottom w:w="80" w:type="dxa"/>
              <w:right w:w="100" w:type="dxa"/>
            </w:tcMar>
            <w:vAlign w:val="center"/>
          </w:tcPr>
          <w:p w14:paraId="57DBC238">
            <w:pPr>
              <w:spacing w:after="30"/>
              <w:jc w:val="left"/>
              <w:rPr>
                <w:rFonts w:hint="default" w:ascii="Calibri" w:hAnsi="Calibri" w:eastAsia="Calibri" w:cs="Calibri"/>
                <w:b w:val="0"/>
                <w:bCs w:val="0"/>
                <w:sz w:val="21"/>
                <w:szCs w:val="21"/>
                <w:lang w:val="lv-LV"/>
              </w:rPr>
            </w:pPr>
            <w:r>
              <w:rPr>
                <w:rFonts w:hint="default" w:ascii="Calibri" w:hAnsi="Calibri" w:eastAsia="Calibri" w:cs="Calibri"/>
                <w:b w:val="0"/>
                <w:bCs w:val="0"/>
                <w:sz w:val="21"/>
                <w:szCs w:val="21"/>
                <w:lang w:val="en-US" w:eastAsia="zh-CN"/>
              </w:rPr>
              <w:t>Citas apakšpozīcijas, ja Pretendents uzskata par nepieciešamu un ir iespēja izdalīt atsevišķas komponentes ar noteiktu izmaksu apjomu.</w:t>
            </w:r>
          </w:p>
          <w:p w14:paraId="16E802A9">
            <w:pPr>
              <w:spacing w:after="0"/>
              <w:jc w:val="left"/>
              <w:rPr>
                <w:rFonts w:hint="default" w:ascii="Calibri" w:hAnsi="Calibri" w:eastAsia="Calibri" w:cs="Calibri"/>
                <w:b w:val="0"/>
                <w:bCs w:val="0"/>
                <w:sz w:val="21"/>
                <w:szCs w:val="21"/>
                <w:lang w:val="lv-LV"/>
              </w:rPr>
            </w:pPr>
            <w:r>
              <w:rPr>
                <w:rFonts w:ascii="Calibri" w:hAnsi="Calibri" w:eastAsia="Calibri" w:cs="Calibri"/>
                <w:i/>
                <w:iCs/>
                <w:color w:val="595959"/>
                <w:sz w:val="19"/>
                <w:szCs w:val="19"/>
                <w:lang w:val="en-US" w:eastAsia="zh-CN"/>
              </w:rPr>
              <w:t>Other sub-items, if the bidder considers it necessary and it is possible to itemize individual components with a defined cost amount.</w:t>
            </w:r>
          </w:p>
        </w:tc>
        <w:tc>
          <w:tcPr>
            <w:tcW w:w="1750" w:type="dxa"/>
            <w:tcMar>
              <w:top w:w="80" w:type="dxa"/>
              <w:left w:w="100" w:type="dxa"/>
              <w:bottom w:w="80" w:type="dxa"/>
              <w:right w:w="100" w:type="dxa"/>
            </w:tcMar>
            <w:vAlign w:val="center"/>
          </w:tcPr>
          <w:p w14:paraId="2466BEBC">
            <w:pPr>
              <w:spacing w:after="100"/>
              <w:jc w:val="left"/>
            </w:pPr>
          </w:p>
        </w:tc>
        <w:tc>
          <w:tcPr>
            <w:tcW w:w="1750" w:type="dxa"/>
            <w:tcMar>
              <w:top w:w="80" w:type="dxa"/>
              <w:left w:w="100" w:type="dxa"/>
              <w:bottom w:w="80" w:type="dxa"/>
              <w:right w:w="100" w:type="dxa"/>
            </w:tcMar>
            <w:vAlign w:val="center"/>
          </w:tcPr>
          <w:p w14:paraId="1007D6EE">
            <w:pPr>
              <w:spacing w:after="100"/>
              <w:jc w:val="left"/>
            </w:pPr>
          </w:p>
        </w:tc>
      </w:tr>
      <w:tr w14:paraId="41553C46">
        <w:tc>
          <w:tcPr>
            <w:tcW w:w="700" w:type="dxa"/>
            <w:tcMar>
              <w:top w:w="80" w:type="dxa"/>
              <w:left w:w="100" w:type="dxa"/>
              <w:bottom w:w="80" w:type="dxa"/>
              <w:right w:w="100" w:type="dxa"/>
            </w:tcMar>
            <w:vAlign w:val="center"/>
          </w:tcPr>
          <w:p w14:paraId="72240069">
            <w:pPr>
              <w:spacing w:after="100"/>
              <w:jc w:val="left"/>
            </w:pPr>
          </w:p>
        </w:tc>
        <w:tc>
          <w:tcPr>
            <w:tcW w:w="5150" w:type="dxa"/>
            <w:tcMar>
              <w:top w:w="80" w:type="dxa"/>
              <w:left w:w="100" w:type="dxa"/>
              <w:bottom w:w="80" w:type="dxa"/>
              <w:right w:w="100" w:type="dxa"/>
            </w:tcMar>
            <w:vAlign w:val="center"/>
          </w:tcPr>
          <w:p w14:paraId="2D40F06B">
            <w:pPr>
              <w:spacing w:after="30"/>
              <w:jc w:val="left"/>
              <w:rPr>
                <w:rFonts w:hint="default"/>
                <w:lang w:val="lv-LV"/>
              </w:rPr>
            </w:pPr>
            <w:r>
              <w:rPr>
                <w:rFonts w:ascii="Calibri" w:hAnsi="Calibri" w:eastAsia="Calibri" w:cs="Calibri"/>
                <w:b/>
                <w:bCs/>
                <w:sz w:val="21"/>
                <w:szCs w:val="21"/>
              </w:rPr>
              <w:t>KOPĀ</w:t>
            </w:r>
            <w:r>
              <w:rPr>
                <w:rFonts w:hint="default" w:ascii="Calibri" w:hAnsi="Calibri" w:eastAsia="Calibri" w:cs="Calibri"/>
                <w:b/>
                <w:bCs/>
                <w:sz w:val="21"/>
                <w:szCs w:val="21"/>
                <w:lang w:val="lv-LV"/>
              </w:rPr>
              <w:t xml:space="preserve"> (pozīcijas 1.-5.)</w:t>
            </w:r>
          </w:p>
          <w:p w14:paraId="1B9D225B">
            <w:pPr>
              <w:spacing w:after="0"/>
              <w:jc w:val="left"/>
              <w:rPr>
                <w:rFonts w:hint="default"/>
                <w:lang w:val="lv-LV"/>
              </w:rPr>
            </w:pPr>
            <w:r>
              <w:rPr>
                <w:rFonts w:ascii="Calibri" w:hAnsi="Calibri" w:eastAsia="Calibri" w:cs="Calibri"/>
                <w:i/>
                <w:iCs/>
                <w:color w:val="595959"/>
                <w:sz w:val="19"/>
                <w:szCs w:val="19"/>
              </w:rPr>
              <w:t>TOTAL</w:t>
            </w:r>
            <w:r>
              <w:rPr>
                <w:rFonts w:hint="default" w:ascii="Calibri" w:hAnsi="Calibri" w:eastAsia="Calibri" w:cs="Calibri"/>
                <w:i/>
                <w:iCs/>
                <w:color w:val="595959"/>
                <w:sz w:val="19"/>
                <w:szCs w:val="19"/>
                <w:lang w:val="lv-LV"/>
              </w:rPr>
              <w:t xml:space="preserve"> (items 1.-5.)</w:t>
            </w:r>
          </w:p>
        </w:tc>
        <w:tc>
          <w:tcPr>
            <w:tcW w:w="1750" w:type="dxa"/>
            <w:tcMar>
              <w:top w:w="80" w:type="dxa"/>
              <w:left w:w="100" w:type="dxa"/>
              <w:bottom w:w="80" w:type="dxa"/>
              <w:right w:w="100" w:type="dxa"/>
            </w:tcMar>
            <w:vAlign w:val="center"/>
          </w:tcPr>
          <w:p w14:paraId="13A204CB">
            <w:pPr>
              <w:spacing w:after="100"/>
              <w:jc w:val="left"/>
            </w:pPr>
          </w:p>
        </w:tc>
        <w:tc>
          <w:tcPr>
            <w:tcW w:w="1750" w:type="dxa"/>
            <w:tcMar>
              <w:top w:w="80" w:type="dxa"/>
              <w:left w:w="100" w:type="dxa"/>
              <w:bottom w:w="80" w:type="dxa"/>
              <w:right w:w="100" w:type="dxa"/>
            </w:tcMar>
            <w:vAlign w:val="center"/>
          </w:tcPr>
          <w:p w14:paraId="28F2478A">
            <w:pPr>
              <w:spacing w:after="100"/>
              <w:jc w:val="left"/>
            </w:pPr>
          </w:p>
        </w:tc>
      </w:tr>
    </w:tbl>
    <w:p w14:paraId="550BCEC6">
      <w:pPr>
        <w:spacing w:before="150" w:after="100"/>
      </w:pPr>
    </w:p>
    <w:p w14:paraId="4A7C8704">
      <w:pPr>
        <w:spacing w:after="100"/>
        <w:jc w:val="left"/>
      </w:pPr>
      <w:r>
        <w:rPr>
          <w:rFonts w:ascii="Calibri" w:hAnsi="Calibri" w:eastAsia="Calibri" w:cs="Calibri"/>
          <w:b w:val="0"/>
          <w:bCs w:val="0"/>
          <w:i w:val="0"/>
          <w:iCs w:val="0"/>
          <w:sz w:val="19"/>
          <w:szCs w:val="19"/>
        </w:rPr>
        <w:t>Piedāvātajām cenām jābūt fiksētām visā Iepirkuma līguma izpildes periodā, un tās nedrīkst tikt pārrēķinātas. Pasūtītājs izvēlēsies piedāvājumu, kas ir saimnieciski visizdevīgākais un vislabāk atbilst tā vajadzībām.</w:t>
      </w:r>
    </w:p>
    <w:p w14:paraId="2830DA4E">
      <w:pPr>
        <w:spacing w:after="100"/>
        <w:jc w:val="left"/>
        <w:rPr>
          <w:rStyle w:val="18"/>
        </w:rPr>
      </w:pPr>
      <w:r>
        <w:rPr>
          <w:rFonts w:ascii="Calibri" w:hAnsi="Calibri" w:eastAsia="Calibri" w:cs="Calibri"/>
          <w:b w:val="0"/>
          <w:bCs w:val="0"/>
          <w:i/>
          <w:iCs/>
          <w:color w:val="595959"/>
          <w:sz w:val="18"/>
          <w:szCs w:val="18"/>
        </w:rPr>
        <w:t>The offered prices must be fixed for the entire duration of the procurement contract and may not be recalculated. The Contracting Authority will select the tender that is economically most advantageous and best meets its needs.</w:t>
      </w:r>
    </w:p>
    <w:p w14:paraId="7B98C3C6">
      <w:pPr>
        <w:pStyle w:val="17"/>
        <w:keepNext w:val="0"/>
        <w:keepLines w:val="0"/>
        <w:widowControl/>
        <w:suppressLineNumbers w:val="0"/>
        <w:bidi w:val="0"/>
        <w:rPr>
          <w:rFonts w:ascii="Calibri" w:hAnsi="Calibri" w:eastAsia="Calibri" w:cs="Calibri"/>
          <w:i/>
          <w:iCs/>
          <w:color w:val="595959"/>
          <w:kern w:val="0"/>
          <w:sz w:val="19"/>
          <w:szCs w:val="19"/>
        </w:rPr>
      </w:pPr>
      <w:r>
        <w:rPr>
          <w:rFonts w:ascii="Calibri" w:hAnsi="Calibri" w:eastAsia="Calibri" w:cs="Calibri"/>
          <w:b/>
          <w:bCs/>
          <w:kern w:val="0"/>
          <w:sz w:val="21"/>
          <w:szCs w:val="21"/>
        </w:rPr>
        <w:t>Paredzamais piegādes laiks</w:t>
      </w:r>
      <w:r>
        <w:t xml:space="preserve"> / </w:t>
      </w:r>
      <w:r>
        <w:rPr>
          <w:rFonts w:ascii="Calibri" w:hAnsi="Calibri" w:eastAsia="Calibri" w:cs="Calibri"/>
          <w:i/>
          <w:iCs/>
          <w:color w:val="595959"/>
          <w:kern w:val="0"/>
          <w:sz w:val="19"/>
          <w:szCs w:val="19"/>
        </w:rPr>
        <w:t>Estimated delivery time</w:t>
      </w:r>
    </w:p>
    <w:tbl>
      <w:tblPr>
        <w:tblStyle w:val="10"/>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917"/>
        <w:gridCol w:w="3433"/>
      </w:tblGrid>
      <w:tr w14:paraId="68F7CD19">
        <w:tc>
          <w:tcPr>
            <w:tcW w:w="5917" w:type="dxa"/>
            <w:shd w:val="clear" w:color="auto" w:fill="F2F2F2"/>
            <w:tcMar>
              <w:top w:w="80" w:type="dxa"/>
              <w:left w:w="100" w:type="dxa"/>
              <w:bottom w:w="80" w:type="dxa"/>
              <w:right w:w="100" w:type="dxa"/>
            </w:tcMar>
            <w:vAlign w:val="center"/>
          </w:tcPr>
          <w:p w14:paraId="462E4DFE">
            <w:pPr>
              <w:spacing w:after="30"/>
              <w:jc w:val="center"/>
            </w:pPr>
            <w:r>
              <w:rPr>
                <w:rFonts w:ascii="Calibri" w:hAnsi="Calibri" w:eastAsia="Calibri" w:cs="Calibri"/>
                <w:b/>
                <w:bCs/>
                <w:sz w:val="21"/>
                <w:szCs w:val="21"/>
              </w:rPr>
              <w:t>Piegādes laiks</w:t>
            </w:r>
          </w:p>
          <w:p w14:paraId="724AD210">
            <w:pPr>
              <w:spacing w:after="0"/>
              <w:jc w:val="center"/>
            </w:pPr>
            <w:r>
              <w:rPr>
                <w:rFonts w:ascii="Calibri" w:hAnsi="Calibri" w:eastAsia="Calibri" w:cs="Calibri"/>
                <w:i/>
                <w:iCs/>
                <w:color w:val="595959"/>
                <w:sz w:val="19"/>
                <w:szCs w:val="19"/>
              </w:rPr>
              <w:t>Delivery time</w:t>
            </w:r>
          </w:p>
        </w:tc>
        <w:tc>
          <w:tcPr>
            <w:tcW w:w="3433" w:type="dxa"/>
            <w:tcMar>
              <w:top w:w="80" w:type="dxa"/>
              <w:left w:w="100" w:type="dxa"/>
              <w:bottom w:w="80" w:type="dxa"/>
              <w:right w:w="100" w:type="dxa"/>
            </w:tcMar>
            <w:vAlign w:val="center"/>
          </w:tcPr>
          <w:p w14:paraId="233982C4">
            <w:pPr>
              <w:spacing w:after="30"/>
              <w:jc w:val="center"/>
              <w:rPr>
                <w:rFonts w:hint="default" w:ascii="Calibri" w:hAnsi="Calibri" w:eastAsia="Calibri" w:cs="Calibri"/>
                <w:b w:val="0"/>
                <w:bCs w:val="0"/>
                <w:sz w:val="21"/>
                <w:szCs w:val="21"/>
                <w:lang w:val="lv-LV"/>
              </w:rPr>
            </w:pPr>
            <w:r>
              <w:rPr>
                <w:rFonts w:hint="default" w:ascii="Calibri" w:hAnsi="Calibri" w:eastAsia="Calibri" w:cs="Calibri"/>
                <w:b w:val="0"/>
                <w:bCs w:val="0"/>
                <w:sz w:val="21"/>
                <w:szCs w:val="21"/>
                <w:lang w:val="lv-LV"/>
              </w:rPr>
              <w:t>Kalendārās nedēļas/</w:t>
            </w:r>
          </w:p>
          <w:p w14:paraId="2A2E69A9">
            <w:pPr>
              <w:spacing w:after="0"/>
              <w:jc w:val="center"/>
              <w:rPr>
                <w:rFonts w:hint="eastAsia" w:ascii="Calibri" w:hAnsi="Calibri" w:eastAsia="Calibri" w:cs="Calibri"/>
                <w:b w:val="0"/>
                <w:bCs w:val="0"/>
                <w:sz w:val="21"/>
                <w:szCs w:val="21"/>
              </w:rPr>
            </w:pPr>
            <w:r>
              <w:rPr>
                <w:rFonts w:hint="default" w:ascii="Calibri" w:hAnsi="Calibri" w:eastAsia="Calibri" w:cs="Calibri"/>
                <w:i/>
                <w:iCs/>
                <w:color w:val="595959"/>
                <w:sz w:val="19"/>
                <w:szCs w:val="19"/>
                <w:lang w:val="lv-LV"/>
              </w:rPr>
              <w:t>Calendar weeks</w:t>
            </w:r>
          </w:p>
        </w:tc>
      </w:tr>
      <w:tr w14:paraId="760C92DC">
        <w:tc>
          <w:tcPr>
            <w:tcW w:w="5917" w:type="dxa"/>
            <w:shd w:val="clear" w:color="auto" w:fill="F2F2F2"/>
            <w:tcMar>
              <w:top w:w="80" w:type="dxa"/>
              <w:left w:w="100" w:type="dxa"/>
              <w:bottom w:w="80" w:type="dxa"/>
              <w:right w:w="100" w:type="dxa"/>
            </w:tcMar>
            <w:vAlign w:val="center"/>
          </w:tcPr>
          <w:p w14:paraId="6A216B65">
            <w:pPr>
              <w:spacing w:after="30"/>
              <w:jc w:val="left"/>
              <w:rPr>
                <w:rFonts w:hint="eastAsia" w:ascii="Calibri" w:hAnsi="Calibri" w:eastAsia="Calibri" w:cs="Calibri"/>
                <w:b w:val="0"/>
                <w:bCs w:val="0"/>
                <w:sz w:val="21"/>
                <w:szCs w:val="21"/>
              </w:rPr>
            </w:pPr>
            <w:r>
              <w:rPr>
                <w:rFonts w:hint="eastAsia" w:ascii="Calibri" w:hAnsi="Calibri" w:eastAsia="Calibri" w:cs="Calibri"/>
                <w:b w:val="0"/>
                <w:bCs w:val="0"/>
                <w:sz w:val="21"/>
                <w:szCs w:val="21"/>
              </w:rPr>
              <w:t>Jānorāda paredzamais piegādes laiks (DDP — Ganību iela 99, Ventspils, LV-3601, Latvija)</w:t>
            </w:r>
          </w:p>
          <w:p w14:paraId="4CF701E2">
            <w:pPr>
              <w:spacing w:after="30"/>
              <w:jc w:val="left"/>
              <w:rPr>
                <w:rFonts w:ascii="Calibri" w:hAnsi="Calibri" w:eastAsia="Calibri" w:cs="Calibri"/>
                <w:b w:val="0"/>
                <w:bCs w:val="0"/>
                <w:sz w:val="21"/>
                <w:szCs w:val="21"/>
              </w:rPr>
            </w:pPr>
            <w:r>
              <w:rPr>
                <w:rFonts w:hint="default" w:ascii="Calibri" w:hAnsi="Calibri" w:eastAsia="Calibri" w:cs="Calibri"/>
                <w:b w:val="0"/>
                <w:bCs w:val="0"/>
                <w:sz w:val="21"/>
                <w:szCs w:val="21"/>
                <w:lang w:val="lv-LV"/>
              </w:rPr>
              <w:t>Bet n</w:t>
            </w:r>
            <w:r>
              <w:rPr>
                <w:rFonts w:ascii="Calibri" w:hAnsi="Calibri" w:eastAsia="Calibri" w:cs="Calibri"/>
                <w:b w:val="0"/>
                <w:bCs w:val="0"/>
                <w:sz w:val="21"/>
                <w:szCs w:val="21"/>
              </w:rPr>
              <w:t xml:space="preserve">e vēlāk kā </w:t>
            </w:r>
            <w:r>
              <w:rPr>
                <w:rFonts w:hint="default" w:ascii="Calibri" w:hAnsi="Calibri" w:eastAsia="Calibri" w:cs="Calibri"/>
                <w:b w:val="0"/>
                <w:bCs w:val="0"/>
                <w:sz w:val="21"/>
                <w:szCs w:val="21"/>
                <w:lang w:val="lv-LV"/>
              </w:rPr>
              <w:t>10</w:t>
            </w:r>
            <w:r>
              <w:rPr>
                <w:rFonts w:ascii="Calibri" w:hAnsi="Calibri" w:eastAsia="Calibri" w:cs="Calibri"/>
                <w:b w:val="0"/>
                <w:bCs w:val="0"/>
                <w:sz w:val="21"/>
                <w:szCs w:val="21"/>
              </w:rPr>
              <w:t xml:space="preserve"> nedēļu laikā no līguma noslēgšanas brīža.</w:t>
            </w:r>
          </w:p>
          <w:p w14:paraId="1C359316">
            <w:pPr>
              <w:spacing w:after="0"/>
              <w:jc w:val="left"/>
              <w:rPr>
                <w:rFonts w:ascii="Calibri" w:hAnsi="Calibri" w:eastAsia="Calibri" w:cs="Calibri"/>
                <w:i/>
                <w:iCs/>
                <w:color w:val="595959"/>
                <w:sz w:val="19"/>
                <w:szCs w:val="19"/>
              </w:rPr>
            </w:pPr>
            <w:r>
              <w:rPr>
                <w:rFonts w:hint="eastAsia" w:ascii="Calibri" w:hAnsi="Calibri" w:eastAsia="Calibri" w:cs="Calibri"/>
                <w:i/>
                <w:iCs/>
                <w:color w:val="595959"/>
                <w:sz w:val="19"/>
                <w:szCs w:val="19"/>
              </w:rPr>
              <w:t>The estimated delivery time must be stated (DDP — Ganību iela 99, Ventspils, LV-3601, Latvia)</w:t>
            </w:r>
          </w:p>
          <w:p w14:paraId="357FBB13">
            <w:pPr>
              <w:spacing w:after="30"/>
              <w:jc w:val="left"/>
              <w:rPr>
                <w:rFonts w:hint="eastAsia" w:ascii="Calibri" w:hAnsi="Calibri" w:eastAsia="Calibri" w:cs="Calibri"/>
                <w:b w:val="0"/>
                <w:bCs w:val="0"/>
                <w:sz w:val="21"/>
                <w:szCs w:val="21"/>
              </w:rPr>
            </w:pPr>
            <w:r>
              <w:rPr>
                <w:rFonts w:hint="default" w:ascii="Calibri" w:hAnsi="Calibri" w:eastAsia="Calibri" w:cs="Calibri"/>
                <w:i/>
                <w:iCs/>
                <w:color w:val="595959"/>
                <w:sz w:val="19"/>
                <w:szCs w:val="19"/>
                <w:lang w:val="lv-LV"/>
              </w:rPr>
              <w:t>But no later than 10</w:t>
            </w:r>
            <w:r>
              <w:rPr>
                <w:rFonts w:ascii="Calibri" w:hAnsi="Calibri" w:eastAsia="Calibri" w:cs="Calibri"/>
                <w:i/>
                <w:iCs/>
                <w:color w:val="595959"/>
                <w:sz w:val="19"/>
                <w:szCs w:val="19"/>
              </w:rPr>
              <w:t xml:space="preserve"> weeks from the date of contract signature.</w:t>
            </w:r>
          </w:p>
        </w:tc>
        <w:tc>
          <w:tcPr>
            <w:tcW w:w="3433" w:type="dxa"/>
            <w:tcMar>
              <w:top w:w="80" w:type="dxa"/>
              <w:left w:w="100" w:type="dxa"/>
              <w:bottom w:w="80" w:type="dxa"/>
              <w:right w:w="100" w:type="dxa"/>
            </w:tcMar>
            <w:vAlign w:val="center"/>
          </w:tcPr>
          <w:p w14:paraId="49FF5753">
            <w:pPr>
              <w:spacing w:after="0"/>
              <w:jc w:val="left"/>
              <w:rPr>
                <w:rFonts w:ascii="Calibri" w:hAnsi="Calibri" w:eastAsia="Calibri" w:cs="Calibri"/>
                <w:i/>
                <w:iCs/>
                <w:color w:val="595959"/>
                <w:sz w:val="19"/>
                <w:szCs w:val="19"/>
              </w:rPr>
            </w:pPr>
          </w:p>
        </w:tc>
      </w:tr>
    </w:tbl>
    <w:p w14:paraId="73AC8BE1">
      <w:pPr>
        <w:spacing w:before="250" w:after="150"/>
      </w:pPr>
    </w:p>
    <w:tbl>
      <w:tblPr>
        <w:tblStyle w:val="10"/>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0"/>
        <w:gridCol w:w="6350"/>
      </w:tblGrid>
      <w:tr w14:paraId="013C2B45">
        <w:tc>
          <w:tcPr>
            <w:tcW w:w="3000" w:type="dxa"/>
            <w:shd w:val="clear" w:color="auto" w:fill="F2F2F2"/>
            <w:tcMar>
              <w:top w:w="80" w:type="dxa"/>
              <w:left w:w="100" w:type="dxa"/>
              <w:bottom w:w="80" w:type="dxa"/>
              <w:right w:w="100" w:type="dxa"/>
            </w:tcMar>
            <w:vAlign w:val="center"/>
          </w:tcPr>
          <w:p w14:paraId="4D2C04C4">
            <w:pPr>
              <w:spacing w:after="30"/>
              <w:jc w:val="left"/>
            </w:pPr>
            <w:r>
              <w:rPr>
                <w:rFonts w:ascii="Calibri" w:hAnsi="Calibri" w:eastAsia="Calibri" w:cs="Calibri"/>
                <w:b/>
                <w:bCs/>
                <w:sz w:val="21"/>
                <w:szCs w:val="21"/>
              </w:rPr>
              <w:t>Pretendents</w:t>
            </w:r>
          </w:p>
          <w:p w14:paraId="6730B4CB">
            <w:pPr>
              <w:spacing w:after="0"/>
              <w:jc w:val="left"/>
            </w:pPr>
            <w:r>
              <w:rPr>
                <w:rFonts w:ascii="Calibri" w:hAnsi="Calibri" w:eastAsia="Calibri" w:cs="Calibri"/>
                <w:i/>
                <w:iCs/>
                <w:color w:val="595959"/>
                <w:sz w:val="19"/>
                <w:szCs w:val="19"/>
              </w:rPr>
              <w:t>Bidder</w:t>
            </w:r>
          </w:p>
        </w:tc>
        <w:tc>
          <w:tcPr>
            <w:tcW w:w="6350" w:type="dxa"/>
            <w:tcMar>
              <w:top w:w="80" w:type="dxa"/>
              <w:left w:w="100" w:type="dxa"/>
              <w:bottom w:w="80" w:type="dxa"/>
              <w:right w:w="100" w:type="dxa"/>
            </w:tcMar>
            <w:vAlign w:val="center"/>
          </w:tcPr>
          <w:p w14:paraId="1401475B">
            <w:pPr>
              <w:spacing w:after="100"/>
              <w:jc w:val="left"/>
            </w:pPr>
          </w:p>
        </w:tc>
      </w:tr>
      <w:tr w14:paraId="691BA401">
        <w:tc>
          <w:tcPr>
            <w:tcW w:w="3000" w:type="dxa"/>
            <w:shd w:val="clear" w:color="auto" w:fill="F2F2F2"/>
            <w:tcMar>
              <w:top w:w="80" w:type="dxa"/>
              <w:left w:w="100" w:type="dxa"/>
              <w:bottom w:w="80" w:type="dxa"/>
              <w:right w:w="100" w:type="dxa"/>
            </w:tcMar>
            <w:vAlign w:val="center"/>
          </w:tcPr>
          <w:p w14:paraId="35FAFF1B">
            <w:pPr>
              <w:spacing w:after="30"/>
              <w:jc w:val="left"/>
            </w:pPr>
            <w:r>
              <w:rPr>
                <w:rFonts w:ascii="Calibri" w:hAnsi="Calibri" w:eastAsia="Calibri" w:cs="Calibri"/>
                <w:b/>
                <w:bCs/>
                <w:sz w:val="21"/>
                <w:szCs w:val="21"/>
              </w:rPr>
              <w:t>Pilnvarotā persona</w:t>
            </w:r>
          </w:p>
          <w:p w14:paraId="07BE77C7">
            <w:pPr>
              <w:spacing w:after="0"/>
              <w:jc w:val="left"/>
            </w:pPr>
            <w:r>
              <w:rPr>
                <w:rFonts w:ascii="Calibri" w:hAnsi="Calibri" w:eastAsia="Calibri" w:cs="Calibri"/>
                <w:i/>
                <w:iCs/>
                <w:color w:val="595959"/>
                <w:sz w:val="19"/>
                <w:szCs w:val="19"/>
              </w:rPr>
              <w:t>Authorized person</w:t>
            </w:r>
          </w:p>
        </w:tc>
        <w:tc>
          <w:tcPr>
            <w:tcW w:w="6350" w:type="dxa"/>
            <w:tcMar>
              <w:top w:w="80" w:type="dxa"/>
              <w:left w:w="100" w:type="dxa"/>
              <w:bottom w:w="80" w:type="dxa"/>
              <w:right w:w="100" w:type="dxa"/>
            </w:tcMar>
            <w:vAlign w:val="center"/>
          </w:tcPr>
          <w:p w14:paraId="505142D4">
            <w:pPr>
              <w:spacing w:after="100"/>
              <w:jc w:val="left"/>
            </w:pPr>
          </w:p>
        </w:tc>
      </w:tr>
      <w:tr w14:paraId="4A5EAC33">
        <w:tc>
          <w:tcPr>
            <w:tcW w:w="3000" w:type="dxa"/>
            <w:shd w:val="clear" w:color="auto" w:fill="F2F2F2"/>
            <w:tcMar>
              <w:top w:w="80" w:type="dxa"/>
              <w:left w:w="100" w:type="dxa"/>
              <w:bottom w:w="80" w:type="dxa"/>
              <w:right w:w="100" w:type="dxa"/>
            </w:tcMar>
            <w:vAlign w:val="center"/>
          </w:tcPr>
          <w:p w14:paraId="70FC8DE7">
            <w:pPr>
              <w:spacing w:after="30"/>
              <w:jc w:val="left"/>
            </w:pPr>
            <w:r>
              <w:rPr>
                <w:rFonts w:ascii="Calibri" w:hAnsi="Calibri" w:eastAsia="Calibri" w:cs="Calibri"/>
                <w:b/>
                <w:bCs/>
                <w:sz w:val="21"/>
                <w:szCs w:val="21"/>
              </w:rPr>
              <w:t>Amats</w:t>
            </w:r>
          </w:p>
          <w:p w14:paraId="24343302">
            <w:pPr>
              <w:spacing w:after="0"/>
              <w:jc w:val="left"/>
            </w:pPr>
            <w:r>
              <w:rPr>
                <w:rFonts w:ascii="Calibri" w:hAnsi="Calibri" w:eastAsia="Calibri" w:cs="Calibri"/>
                <w:i/>
                <w:iCs/>
                <w:color w:val="595959"/>
                <w:sz w:val="19"/>
                <w:szCs w:val="19"/>
              </w:rPr>
              <w:t>Position</w:t>
            </w:r>
          </w:p>
        </w:tc>
        <w:tc>
          <w:tcPr>
            <w:tcW w:w="6350" w:type="dxa"/>
            <w:tcMar>
              <w:top w:w="80" w:type="dxa"/>
              <w:left w:w="100" w:type="dxa"/>
              <w:bottom w:w="80" w:type="dxa"/>
              <w:right w:w="100" w:type="dxa"/>
            </w:tcMar>
            <w:vAlign w:val="center"/>
          </w:tcPr>
          <w:p w14:paraId="15A52028">
            <w:pPr>
              <w:spacing w:after="100"/>
              <w:jc w:val="left"/>
            </w:pPr>
          </w:p>
        </w:tc>
      </w:tr>
      <w:tr w14:paraId="4A7DB241">
        <w:tc>
          <w:tcPr>
            <w:tcW w:w="3000" w:type="dxa"/>
            <w:shd w:val="clear" w:color="auto" w:fill="F2F2F2"/>
            <w:tcMar>
              <w:top w:w="80" w:type="dxa"/>
              <w:left w:w="100" w:type="dxa"/>
              <w:bottom w:w="80" w:type="dxa"/>
              <w:right w:w="100" w:type="dxa"/>
            </w:tcMar>
            <w:vAlign w:val="center"/>
          </w:tcPr>
          <w:p w14:paraId="5C31B05B">
            <w:pPr>
              <w:spacing w:after="30"/>
              <w:jc w:val="left"/>
            </w:pPr>
            <w:r>
              <w:rPr>
                <w:rFonts w:ascii="Calibri" w:hAnsi="Calibri" w:eastAsia="Calibri" w:cs="Calibri"/>
                <w:b/>
                <w:bCs/>
                <w:sz w:val="21"/>
                <w:szCs w:val="21"/>
              </w:rPr>
              <w:t>Paraksts</w:t>
            </w:r>
          </w:p>
          <w:p w14:paraId="4CA8F4CE">
            <w:pPr>
              <w:spacing w:after="0"/>
              <w:jc w:val="left"/>
            </w:pPr>
            <w:r>
              <w:rPr>
                <w:rFonts w:ascii="Calibri" w:hAnsi="Calibri" w:eastAsia="Calibri" w:cs="Calibri"/>
                <w:i/>
                <w:iCs/>
                <w:color w:val="595959"/>
                <w:sz w:val="19"/>
                <w:szCs w:val="19"/>
              </w:rPr>
              <w:t>Signature</w:t>
            </w:r>
          </w:p>
        </w:tc>
        <w:tc>
          <w:tcPr>
            <w:tcW w:w="6350" w:type="dxa"/>
            <w:tcMar>
              <w:top w:w="80" w:type="dxa"/>
              <w:left w:w="100" w:type="dxa"/>
              <w:bottom w:w="80" w:type="dxa"/>
              <w:right w:w="100" w:type="dxa"/>
            </w:tcMar>
            <w:vAlign w:val="center"/>
          </w:tcPr>
          <w:p w14:paraId="1713BBFB">
            <w:pPr>
              <w:spacing w:after="100"/>
              <w:jc w:val="left"/>
            </w:pPr>
          </w:p>
        </w:tc>
      </w:tr>
      <w:tr w14:paraId="6944BBBE">
        <w:tc>
          <w:tcPr>
            <w:tcW w:w="3000" w:type="dxa"/>
            <w:shd w:val="clear" w:color="auto" w:fill="F2F2F2"/>
            <w:tcMar>
              <w:top w:w="80" w:type="dxa"/>
              <w:left w:w="100" w:type="dxa"/>
              <w:bottom w:w="80" w:type="dxa"/>
              <w:right w:w="100" w:type="dxa"/>
            </w:tcMar>
            <w:vAlign w:val="center"/>
          </w:tcPr>
          <w:p w14:paraId="3A8E3A92">
            <w:pPr>
              <w:spacing w:after="30"/>
              <w:jc w:val="left"/>
            </w:pPr>
            <w:r>
              <w:rPr>
                <w:rFonts w:ascii="Calibri" w:hAnsi="Calibri" w:eastAsia="Calibri" w:cs="Calibri"/>
                <w:b/>
                <w:bCs/>
                <w:sz w:val="21"/>
                <w:szCs w:val="21"/>
              </w:rPr>
              <w:t>Datums</w:t>
            </w:r>
          </w:p>
          <w:p w14:paraId="09A63DCD">
            <w:pPr>
              <w:spacing w:after="0"/>
              <w:jc w:val="left"/>
            </w:pPr>
            <w:r>
              <w:rPr>
                <w:rFonts w:ascii="Calibri" w:hAnsi="Calibri" w:eastAsia="Calibri" w:cs="Calibri"/>
                <w:i/>
                <w:iCs/>
                <w:color w:val="595959"/>
                <w:sz w:val="19"/>
                <w:szCs w:val="19"/>
              </w:rPr>
              <w:t>Date</w:t>
            </w:r>
          </w:p>
        </w:tc>
        <w:tc>
          <w:tcPr>
            <w:tcW w:w="6350" w:type="dxa"/>
            <w:tcMar>
              <w:top w:w="80" w:type="dxa"/>
              <w:left w:w="100" w:type="dxa"/>
              <w:bottom w:w="80" w:type="dxa"/>
              <w:right w:w="100" w:type="dxa"/>
            </w:tcMar>
            <w:vAlign w:val="center"/>
          </w:tcPr>
          <w:p w14:paraId="1246E47E">
            <w:pPr>
              <w:spacing w:after="100"/>
              <w:jc w:val="left"/>
            </w:pPr>
          </w:p>
        </w:tc>
      </w:tr>
    </w:tbl>
    <w:p w14:paraId="3228B4A0"/>
    <w:sectPr>
      <w:pgSz w:w="11906" w:h="16838"/>
      <w:pgMar w:top="1000" w:right="1300" w:bottom="1000" w:left="13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AE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Helvetica Bold">
    <w:panose1 w:val="00000000000000000000"/>
    <w:charset w:val="00"/>
    <w:family w:val="auto"/>
    <w:pitch w:val="default"/>
    <w:sig w:usb0="E00002FF" w:usb1="5000785B" w:usb2="00000000" w:usb3="00000000" w:csb0="2000019F" w:csb1="4F010000"/>
  </w:font>
  <w:font w:name="Helvetica">
    <w:panose1 w:val="00000000000000000000"/>
    <w:charset w:val="00"/>
    <w:family w:val="auto"/>
    <w:pitch w:val="default"/>
    <w:sig w:usb0="E00002FF" w:usb1="5000785B" w:usb2="00000000" w:usb3="00000000" w:csb0="2000019F" w:csb1="4F01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 w:name="苹方-简">
    <w:panose1 w:val="020B0400000000000000"/>
    <w:charset w:val="86"/>
    <w:family w:val="auto"/>
    <w:pitch w:val="default"/>
    <w:sig w:usb0="A00002FF" w:usb1="7ACFFDFB" w:usb2="00000017" w:usb3="00000000" w:csb0="00040001" w:csb1="00000000"/>
  </w:font>
  <w:font w:name="SimSun">
    <w:altName w:val="宋体-简"/>
    <w:panose1 w:val="02010600030101010101"/>
    <w:charset w:val="86"/>
    <w:family w:val="roman"/>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6"/>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6FEF2A0A"/>
    <w:rsid w:val="73AFCBE2"/>
    <w:rsid w:val="7EF9C8D8"/>
    <w:rsid w:val="7FFDBF60"/>
    <w:rsid w:val="EEFBAF31"/>
    <w:rsid w:val="FBB7B828"/>
    <w:rsid w:val="FDF7DF25"/>
    <w:rsid w:val="FF8D2D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SimSun" w:cs="Times New Roman"/>
      <w:sz w:val="21"/>
      <w:szCs w:val="22"/>
    </w:rPr>
  </w:style>
  <w:style w:type="paragraph" w:styleId="2">
    <w:name w:val="heading 1"/>
    <w:next w:val="1"/>
    <w:qFormat/>
    <w:uiPriority w:val="0"/>
    <w:rPr>
      <w:rFonts w:ascii="Times New Roman" w:hAnsi="Times New Roman" w:eastAsia="SimSun" w:cs="Times New Roman"/>
      <w:color w:val="2E74B5"/>
      <w:sz w:val="32"/>
      <w:szCs w:val="32"/>
    </w:rPr>
  </w:style>
  <w:style w:type="paragraph" w:styleId="3">
    <w:name w:val="heading 2"/>
    <w:basedOn w:val="1"/>
    <w:next w:val="4"/>
    <w:qFormat/>
    <w:uiPriority w:val="0"/>
    <w:rPr>
      <w:color w:val="2E74B5"/>
      <w:sz w:val="26"/>
      <w:szCs w:val="26"/>
    </w:rPr>
  </w:style>
  <w:style w:type="paragraph" w:styleId="5">
    <w:name w:val="heading 3"/>
    <w:next w:val="1"/>
    <w:qFormat/>
    <w:uiPriority w:val="0"/>
    <w:rPr>
      <w:rFonts w:ascii="Times New Roman" w:hAnsi="Times New Roman" w:eastAsia="SimSun" w:cs="Times New Roman"/>
      <w:color w:val="1F4D78"/>
      <w:sz w:val="24"/>
      <w:szCs w:val="24"/>
    </w:rPr>
  </w:style>
  <w:style w:type="paragraph" w:styleId="6">
    <w:name w:val="heading 4"/>
    <w:next w:val="1"/>
    <w:qFormat/>
    <w:uiPriority w:val="0"/>
    <w:rPr>
      <w:rFonts w:ascii="Times New Roman" w:hAnsi="Times New Roman" w:eastAsia="SimSun" w:cs="Times New Roman"/>
      <w:i/>
      <w:iCs/>
      <w:color w:val="2E74B5"/>
      <w:sz w:val="21"/>
      <w:szCs w:val="22"/>
    </w:rPr>
  </w:style>
  <w:style w:type="paragraph" w:styleId="7">
    <w:name w:val="heading 5"/>
    <w:next w:val="1"/>
    <w:qFormat/>
    <w:uiPriority w:val="0"/>
    <w:rPr>
      <w:rFonts w:ascii="Times New Roman" w:hAnsi="Times New Roman" w:eastAsia="SimSun" w:cs="Times New Roman"/>
      <w:color w:val="2E74B5"/>
      <w:sz w:val="21"/>
      <w:szCs w:val="22"/>
    </w:rPr>
  </w:style>
  <w:style w:type="paragraph" w:styleId="8">
    <w:name w:val="heading 6"/>
    <w:next w:val="1"/>
    <w:qFormat/>
    <w:uiPriority w:val="0"/>
    <w:rPr>
      <w:rFonts w:ascii="Times New Roman" w:hAnsi="Times New Roman" w:eastAsia="SimSun" w:cs="Times New Roman"/>
      <w:color w:val="1F4D78"/>
      <w:sz w:val="21"/>
      <w:szCs w:val="22"/>
    </w:rPr>
  </w:style>
  <w:style w:type="character" w:default="1" w:styleId="9">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4">
    <w:name w:val="Body Text"/>
    <w:basedOn w:val="1"/>
    <w:qFormat/>
    <w:uiPriority w:val="0"/>
    <w:pPr>
      <w:spacing w:before="180" w:after="180"/>
    </w:pPr>
  </w:style>
  <w:style w:type="character" w:styleId="11">
    <w:name w:val="Emphasis"/>
    <w:basedOn w:val="9"/>
    <w:qFormat/>
    <w:uiPriority w:val="0"/>
    <w:rPr>
      <w:i/>
      <w:iCs/>
    </w:rPr>
  </w:style>
  <w:style w:type="character" w:styleId="12">
    <w:name w:val="endnote reference"/>
    <w:semiHidden/>
    <w:unhideWhenUsed/>
    <w:uiPriority w:val="99"/>
    <w:rPr>
      <w:vertAlign w:val="superscript"/>
    </w:rPr>
  </w:style>
  <w:style w:type="paragraph" w:styleId="13">
    <w:name w:val="endnote text"/>
    <w:link w:val="22"/>
    <w:semiHidden/>
    <w:unhideWhenUsed/>
    <w:uiPriority w:val="99"/>
    <w:pPr>
      <w:spacing w:after="0" w:line="240" w:lineRule="auto"/>
    </w:pPr>
    <w:rPr>
      <w:rFonts w:ascii="Times New Roman" w:hAnsi="Times New Roman" w:eastAsia="SimSun" w:cs="Times New Roman"/>
      <w:sz w:val="20"/>
      <w:szCs w:val="20"/>
    </w:rPr>
  </w:style>
  <w:style w:type="character" w:styleId="14">
    <w:name w:val="footnote reference"/>
    <w:semiHidden/>
    <w:unhideWhenUsed/>
    <w:uiPriority w:val="99"/>
    <w:rPr>
      <w:vertAlign w:val="superscript"/>
    </w:rPr>
  </w:style>
  <w:style w:type="paragraph" w:styleId="15">
    <w:name w:val="footnote text"/>
    <w:link w:val="21"/>
    <w:semiHidden/>
    <w:unhideWhenUsed/>
    <w:uiPriority w:val="99"/>
    <w:pPr>
      <w:spacing w:after="0" w:line="240" w:lineRule="auto"/>
    </w:pPr>
    <w:rPr>
      <w:rFonts w:ascii="Times New Roman" w:hAnsi="Times New Roman" w:eastAsia="SimSun" w:cs="Times New Roman"/>
      <w:sz w:val="20"/>
      <w:szCs w:val="20"/>
    </w:rPr>
  </w:style>
  <w:style w:type="character" w:styleId="16">
    <w:name w:val="Hyperlink"/>
    <w:unhideWhenUsed/>
    <w:uiPriority w:val="99"/>
    <w:rPr>
      <w:color w:val="0563C1"/>
      <w:u w:val="single"/>
    </w:rPr>
  </w:style>
  <w:style w:type="paragraph" w:styleId="1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8">
    <w:name w:val="Strong"/>
    <w:basedOn w:val="9"/>
    <w:qFormat/>
    <w:uiPriority w:val="0"/>
    <w:rPr>
      <w:b/>
      <w:bCs/>
    </w:rPr>
  </w:style>
  <w:style w:type="paragraph" w:styleId="19">
    <w:name w:val="Title"/>
    <w:qFormat/>
    <w:uiPriority w:val="0"/>
    <w:rPr>
      <w:rFonts w:ascii="Times New Roman" w:hAnsi="Times New Roman" w:eastAsia="SimSun" w:cs="Times New Roman"/>
      <w:sz w:val="56"/>
      <w:szCs w:val="56"/>
    </w:rPr>
  </w:style>
  <w:style w:type="paragraph" w:styleId="20">
    <w:name w:val="List Paragraph"/>
    <w:qFormat/>
    <w:uiPriority w:val="0"/>
    <w:rPr>
      <w:rFonts w:ascii="Times New Roman" w:hAnsi="Times New Roman" w:eastAsia="SimSun" w:cs="Times New Roman"/>
      <w:sz w:val="21"/>
      <w:szCs w:val="22"/>
    </w:rPr>
  </w:style>
  <w:style w:type="character" w:customStyle="1" w:styleId="21">
    <w:name w:val="Footnote Text Char"/>
    <w:link w:val="15"/>
    <w:semiHidden/>
    <w:unhideWhenUsed/>
    <w:uiPriority w:val="99"/>
    <w:rPr>
      <w:sz w:val="20"/>
      <w:szCs w:val="20"/>
    </w:rPr>
  </w:style>
  <w:style w:type="character" w:customStyle="1" w:styleId="22">
    <w:name w:val="Endnote Text Char"/>
    <w:link w:val="13"/>
    <w:semiHidden/>
    <w:unhideWhenUsed/>
    <w:uiPriority w:val="99"/>
    <w:rPr>
      <w:sz w:val="20"/>
      <w:szCs w:val="20"/>
    </w:rPr>
  </w:style>
  <w:style w:type="paragraph" w:customStyle="1" w:styleId="23">
    <w:name w:val="First Paragraph"/>
    <w:basedOn w:val="4"/>
    <w:next w:val="4"/>
    <w:qFormat/>
    <w:uiPriority w:val="0"/>
  </w:style>
  <w:style w:type="paragraph" w:customStyle="1" w:styleId="24">
    <w:name w:val="Compact"/>
    <w:basedOn w:val="4"/>
    <w:qFormat/>
    <w:uiPriority w:val="0"/>
    <w:pPr>
      <w:spacing w:before="36" w:after="36"/>
    </w:pPr>
  </w:style>
  <w:style w:type="table" w:customStyle="1" w:styleId="25">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TotalTime>13</TotalTime>
  <ScaleCrop>false</ScaleCrop>
  <LinksUpToDate>false</LinksUpToDate>
  <Application>WPS Office_12.1.28496.28496_F1E327BC-269C-435d-A152-05C5408002CA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2026-09-16T14:05:35Z</dcterms:created>
  <dc:creator>Un-named</dc:creator>
  <cp:lastModifiedBy>Justs Jēkabs Berks</cp:lastModifiedBy>
  <dcterms:modified xsi:type="dcterms:W3CDTF">2026-09-16T17:19:02Z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1033-12.1.28496.28496</vt:lpwstr>
  </property>
  <property fmtid="{D5CDD505-2E9C-101B-9397-08002B2CF9AE}" pid="3" name="ICV">
    <vt:lpwstr>B624D027B0C78E4F8558AA6A5F7EB0BC_42</vt:lpwstr>
  </property>
</Properties>
</file>