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61F94">
      <w:pPr>
        <w:pStyle w:val="2"/>
        <w:rPr>
          <w:color w:val="auto"/>
          <w:sz w:val="22"/>
          <w:szCs w:val="22"/>
        </w:rPr>
      </w:pPr>
      <w:bookmarkStart w:id="0" w:name="X461ffe1752eac0b27f5fc413a93c15c7f28067d"/>
      <w:r>
        <w:rPr>
          <w:color w:val="auto"/>
          <w:sz w:val="22"/>
          <w:szCs w:val="22"/>
        </w:rPr>
        <w:t>Rūpnieciskā pētījuma veikšana un mikroražotnes automatizētās HDPE Edge izmēģinājuma līnijas radīšana / Industrial research and creation of an automated HDPE Edge pilot line for a microfactory</w:t>
      </w:r>
    </w:p>
    <w:p w14:paraId="554E3BE6">
      <w:pPr>
        <w:pStyle w:val="27"/>
        <w:rPr>
          <w:rFonts w:ascii="Calibri" w:hAnsi="Calibri" w:eastAsia="Calibri" w:cs="Calibri"/>
          <w:color w:val="auto"/>
          <w:lang w:val="lv-LV"/>
        </w:rPr>
      </w:pPr>
      <w:r>
        <w:rPr>
          <w:b/>
          <w:bCs/>
          <w:color w:val="auto"/>
        </w:rPr>
        <w:t>Iepirkuma identifikācijas Nr. / Tender ID no.</w:t>
      </w:r>
      <w:r>
        <w:rPr>
          <w:color w:val="auto"/>
        </w:rPr>
        <w:t xml:space="preserve"> </w:t>
      </w:r>
      <w:r>
        <w:rPr>
          <w:color w:val="auto"/>
          <w:lang w:val="lv-LV"/>
        </w:rPr>
        <w:t xml:space="preserve"> </w:t>
      </w:r>
      <w:r>
        <w:rPr>
          <w:rFonts w:ascii="Calibri" w:hAnsi="Calibri" w:eastAsia="Calibri" w:cs="Calibri"/>
          <w:color w:val="auto"/>
          <w:lang w:val="en-US" w:eastAsia="zh-CN"/>
        </w:rPr>
        <w:t>K/202</w:t>
      </w:r>
      <w:r>
        <w:rPr>
          <w:rFonts w:ascii="Calibri" w:hAnsi="Calibri" w:eastAsia="Calibri" w:cs="Calibri"/>
          <w:color w:val="auto"/>
          <w:lang w:val="lv-LV" w:eastAsia="zh-CN"/>
        </w:rPr>
        <w:t>6</w:t>
      </w:r>
      <w:r>
        <w:rPr>
          <w:rFonts w:ascii="Calibri" w:hAnsi="Calibri" w:eastAsia="Calibri" w:cs="Calibri"/>
          <w:color w:val="auto"/>
          <w:lang w:val="en-US" w:eastAsia="zh-CN"/>
        </w:rPr>
        <w:t>/11</w:t>
      </w:r>
      <w:r>
        <w:rPr>
          <w:rFonts w:ascii="Calibri" w:hAnsi="Calibri" w:eastAsia="Calibri" w:cs="Calibri"/>
          <w:color w:val="auto"/>
          <w:lang w:val="lv-LV" w:eastAsia="zh-CN"/>
        </w:rPr>
        <w:t>09</w:t>
      </w:r>
      <w:r>
        <w:rPr>
          <w:rFonts w:ascii="Calibri" w:hAnsi="Calibri" w:eastAsia="Calibri" w:cs="Calibri"/>
          <w:color w:val="auto"/>
          <w:lang w:val="en-US" w:eastAsia="zh-CN"/>
        </w:rPr>
        <w:t>2</w:t>
      </w:r>
      <w:r>
        <w:rPr>
          <w:rFonts w:ascii="Calibri" w:hAnsi="Calibri" w:eastAsia="Calibri" w:cs="Calibri"/>
          <w:color w:val="auto"/>
          <w:lang w:val="lv-LV" w:eastAsia="zh-CN"/>
        </w:rPr>
        <w:t>6</w:t>
      </w:r>
      <w:r>
        <w:rPr>
          <w:rFonts w:ascii="Calibri" w:hAnsi="Calibri" w:eastAsia="Calibri" w:cs="Calibri"/>
          <w:color w:val="auto"/>
          <w:lang w:val="en-US" w:eastAsia="zh-CN"/>
        </w:rPr>
        <w:t>/1</w:t>
      </w:r>
    </w:p>
    <w:p w14:paraId="0C81C54F">
      <w:pPr>
        <w:pStyle w:val="3"/>
        <w:rPr>
          <w:color w:val="auto"/>
        </w:rPr>
      </w:pPr>
      <w:r>
        <w:rPr>
          <w:color w:val="auto"/>
        </w:rPr>
        <w:t>“Nākamās paaudzes mikroražotnes” / “NextGen Microfactories”, Nr. / no. 5.1.1.2.i.0/4/24/A/CFLA/003</w:t>
      </w:r>
    </w:p>
    <w:p w14:paraId="593F670C">
      <w:pPr>
        <w:pStyle w:val="3"/>
        <w:rPr>
          <w:color w:val="auto"/>
        </w:rPr>
      </w:pPr>
      <w:r>
        <w:rPr>
          <w:color w:val="auto"/>
        </w:rPr>
        <w:t>Iepirkums tiek veikts saskaņā ar Ministru kabineta 2017. gada 28. februāra noteikumiem Nr. 104 “Noteikumi par iepirkuma procedūru un tās piemērošanas kārtību pasūtītāja finansētiem projektiem”.</w:t>
      </w:r>
    </w:p>
    <w:p w14:paraId="03B41600">
      <w:pPr>
        <w:pStyle w:val="3"/>
        <w:rPr>
          <w:color w:val="auto"/>
        </w:rPr>
      </w:pPr>
      <w:r>
        <w:rPr>
          <w:i/>
          <w:iCs/>
          <w:color w:val="auto"/>
        </w:rPr>
        <w:t>The procurement is carried out under Cabinet Regulation No. 104 of 28 February 2017 “Regulations on the procurement procedure and its application to projects financed by a contracting authority”.</w:t>
      </w:r>
    </w:p>
    <w:p w14:paraId="0273FD82">
      <w:pPr>
        <w:pStyle w:val="3"/>
        <w:rPr>
          <w:color w:val="auto"/>
        </w:rPr>
      </w:pPr>
      <w:r>
        <w:rPr>
          <w:b/>
          <w:bCs/>
          <w:color w:val="auto"/>
        </w:rPr>
        <w:t xml:space="preserve">Pretendents aizpilda  4. </w:t>
      </w:r>
      <w:r>
        <w:rPr>
          <w:rFonts w:hint="default"/>
          <w:b/>
          <w:bCs/>
          <w:color w:val="auto"/>
          <w:lang w:val="lv-LV"/>
        </w:rPr>
        <w:t xml:space="preserve">sadaļas </w:t>
      </w:r>
      <w:r>
        <w:rPr>
          <w:b/>
          <w:bCs/>
          <w:color w:val="auto"/>
        </w:rPr>
        <w:t>tikai ceturto kolonnu</w:t>
      </w:r>
      <w:r>
        <w:rPr>
          <w:rFonts w:hint="default"/>
          <w:b/>
          <w:bCs/>
          <w:color w:val="auto"/>
          <w:lang w:val="lv-LV"/>
        </w:rPr>
        <w:t xml:space="preserve"> </w:t>
      </w:r>
      <w:r>
        <w:rPr>
          <w:b/>
          <w:bCs/>
          <w:color w:val="auto"/>
        </w:rPr>
        <w:t>un 5. sadaļ</w:t>
      </w:r>
      <w:r>
        <w:rPr>
          <w:rFonts w:hint="default"/>
          <w:b/>
          <w:bCs/>
          <w:color w:val="auto"/>
          <w:lang w:val="lv-LV"/>
        </w:rPr>
        <w:t>u</w:t>
      </w:r>
      <w:r>
        <w:rPr>
          <w:b/>
          <w:bCs/>
          <w:color w:val="auto"/>
        </w:rPr>
        <w:t>, cenu kolonnu 6. sadaļā un paraksta 7. sadaļu. Citi dokumenti nav jāiesniedz, izņemot reģistrācijas dokumenta kopiju ārvalstīs reģistrētam Pretendentam.</w:t>
      </w:r>
    </w:p>
    <w:p w14:paraId="02AC294F">
      <w:pPr>
        <w:pStyle w:val="3"/>
        <w:rPr>
          <w:color w:val="auto"/>
        </w:rPr>
      </w:pPr>
      <w:r>
        <w:rPr>
          <w:b/>
          <w:bCs/>
          <w:i/>
          <w:iCs/>
          <w:color w:val="auto"/>
        </w:rPr>
        <w:t>The tenderer fills in only  section 4</w:t>
      </w:r>
      <w:r>
        <w:rPr>
          <w:rFonts w:hint="default"/>
          <w:b/>
          <w:bCs/>
          <w:i/>
          <w:iCs/>
          <w:color w:val="auto"/>
          <w:lang w:val="lv-LV"/>
        </w:rPr>
        <w:t xml:space="preserve"> (</w:t>
      </w:r>
      <w:r>
        <w:rPr>
          <w:b/>
          <w:bCs/>
          <w:i/>
          <w:iCs/>
          <w:color w:val="auto"/>
        </w:rPr>
        <w:t>the fourth column</w:t>
      </w:r>
      <w:r>
        <w:rPr>
          <w:rFonts w:hint="default"/>
          <w:b/>
          <w:bCs/>
          <w:i/>
          <w:iCs/>
          <w:color w:val="auto"/>
          <w:lang w:val="lv-LV"/>
        </w:rPr>
        <w:t>)</w:t>
      </w:r>
      <w:r>
        <w:rPr>
          <w:b/>
          <w:bCs/>
          <w:i/>
          <w:iCs/>
          <w:color w:val="auto"/>
        </w:rPr>
        <w:t xml:space="preserve"> and </w:t>
      </w:r>
      <w:r>
        <w:rPr>
          <w:rFonts w:hint="default"/>
          <w:b/>
          <w:bCs/>
          <w:i/>
          <w:iCs/>
          <w:color w:val="auto"/>
          <w:lang w:val="lv-LV"/>
        </w:rPr>
        <w:t xml:space="preserve">section </w:t>
      </w:r>
      <w:r>
        <w:rPr>
          <w:b/>
          <w:bCs/>
          <w:i/>
          <w:iCs/>
          <w:color w:val="auto"/>
        </w:rPr>
        <w:t>5, the price column in section 6, and signs section 7. No other documents are required, except a copy of the registration document for a tenderer registered abroad.</w:t>
      </w:r>
    </w:p>
    <w:p w14:paraId="49BC4F8C">
      <w:pPr>
        <w:pStyle w:val="4"/>
        <w:rPr>
          <w:color w:val="auto"/>
        </w:rPr>
      </w:pPr>
      <w:bookmarkStart w:id="1" w:name="Xa3a4c7eaf174e51a4271b3099e6432549dfeb94"/>
      <w:r>
        <w:rPr>
          <w:color w:val="auto"/>
        </w:rPr>
        <w:t>1. Finansējuma saņēmējs — Pasūtītājs / Beneficiary of financing — Contracting Authority</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3000"/>
        <w:gridCol w:w="7600"/>
      </w:tblGrid>
      <w:tr w14:paraId="146F17B0">
        <w:trPr>
          <w:tblHeader/>
        </w:trPr>
        <w:tc>
          <w:p w14:paraId="34A2BE56">
            <w:pPr>
              <w:pStyle w:val="28"/>
              <w:jc w:val="left"/>
              <w:rPr>
                <w:color w:val="auto"/>
              </w:rPr>
            </w:pPr>
            <w:r>
              <w:rPr>
                <w:color w:val="auto"/>
              </w:rPr>
              <w:t>Nosaukums / Name</w:t>
            </w:r>
          </w:p>
        </w:tc>
        <w:tc>
          <w:p w14:paraId="52165E6A">
            <w:pPr>
              <w:pStyle w:val="28"/>
              <w:jc w:val="left"/>
              <w:rPr>
                <w:color w:val="auto"/>
              </w:rPr>
            </w:pPr>
            <w:r>
              <w:rPr>
                <w:color w:val="auto"/>
              </w:rPr>
              <w:t>SIA “Aspired”</w:t>
            </w:r>
          </w:p>
        </w:tc>
      </w:tr>
      <w:tr w14:paraId="74111A1D">
        <w:tc>
          <w:p w14:paraId="01112113">
            <w:pPr>
              <w:pStyle w:val="28"/>
              <w:jc w:val="left"/>
              <w:rPr>
                <w:color w:val="auto"/>
              </w:rPr>
            </w:pPr>
            <w:r>
              <w:rPr>
                <w:color w:val="auto"/>
              </w:rPr>
              <w:t>Vienotais reģistrācijas Nr. / Registration number</w:t>
            </w:r>
          </w:p>
        </w:tc>
        <w:tc>
          <w:p w14:paraId="77D2D754">
            <w:pPr>
              <w:pStyle w:val="28"/>
              <w:jc w:val="left"/>
              <w:rPr>
                <w:color w:val="auto"/>
              </w:rPr>
            </w:pPr>
            <w:r>
              <w:rPr>
                <w:color w:val="auto"/>
              </w:rPr>
              <w:t>41203045860</w:t>
            </w:r>
          </w:p>
        </w:tc>
      </w:tr>
      <w:tr w14:paraId="172C7997">
        <w:tc>
          <w:p w14:paraId="25AE3418">
            <w:pPr>
              <w:pStyle w:val="28"/>
              <w:jc w:val="left"/>
              <w:rPr>
                <w:color w:val="auto"/>
              </w:rPr>
            </w:pPr>
            <w:r>
              <w:rPr>
                <w:color w:val="auto"/>
              </w:rPr>
              <w:t>Juridiskā adrese / Legal address</w:t>
            </w:r>
          </w:p>
        </w:tc>
        <w:tc>
          <w:p w14:paraId="3BB15968">
            <w:pPr>
              <w:pStyle w:val="28"/>
              <w:jc w:val="left"/>
              <w:rPr>
                <w:color w:val="auto"/>
              </w:rPr>
            </w:pPr>
            <w:r>
              <w:rPr>
                <w:color w:val="auto"/>
              </w:rPr>
              <w:t>Ganību iela 99, Ventspils, Latvija, LV-3601 / Ganibu iela 99, Ventspils, Latvia, LV-3601</w:t>
            </w:r>
          </w:p>
        </w:tc>
      </w:tr>
      <w:tr w14:paraId="33823073">
        <w:tc>
          <w:p w14:paraId="437C0555">
            <w:pPr>
              <w:pStyle w:val="28"/>
              <w:jc w:val="left"/>
              <w:rPr>
                <w:color w:val="auto"/>
              </w:rPr>
            </w:pPr>
            <w:r>
              <w:rPr>
                <w:color w:val="auto"/>
              </w:rPr>
              <w:t>Kontaktpersona / Contact person</w:t>
            </w:r>
          </w:p>
        </w:tc>
        <w:tc>
          <w:p w14:paraId="2716D8EC">
            <w:pPr>
              <w:pStyle w:val="28"/>
              <w:jc w:val="left"/>
              <w:rPr>
                <w:color w:val="auto"/>
              </w:rPr>
            </w:pPr>
            <w:r>
              <w:rPr>
                <w:color w:val="auto"/>
                <w:lang w:val="lv-LV"/>
              </w:rPr>
              <w:t>Jana Berka</w:t>
            </w:r>
            <w:r>
              <w:rPr>
                <w:color w:val="auto"/>
              </w:rPr>
              <w:t xml:space="preserve">; tālrunis / phone: +371 29113076; e-pasts / e-mail: </w:t>
            </w:r>
            <w:r>
              <w:rPr>
                <w:color w:val="auto"/>
                <w:lang w:val="lv-LV"/>
              </w:rPr>
              <w:t>jana.berka</w:t>
            </w:r>
            <w:r>
              <w:rPr>
                <w:color w:val="auto"/>
              </w:rPr>
              <w:t>@aspired.lv</w:t>
            </w:r>
          </w:p>
        </w:tc>
      </w:tr>
      <w:bookmarkEnd w:id="1"/>
    </w:tbl>
    <w:p w14:paraId="11ED7458">
      <w:pPr>
        <w:pStyle w:val="4"/>
        <w:rPr>
          <w:color w:val="auto"/>
        </w:rPr>
      </w:pPr>
      <w:bookmarkStart w:id="2" w:name="X60fd5ae709513175b01adf312c1bc75970ebbf2"/>
      <w:r>
        <w:rPr>
          <w:color w:val="auto"/>
        </w:rPr>
        <w:t>2. Informācija par priekšmetu / Subject of procurement</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3000"/>
        <w:gridCol w:w="7600"/>
      </w:tblGrid>
      <w:tr w14:paraId="21EA0F91">
        <w:trPr>
          <w:tblHeader/>
        </w:trPr>
        <w:tc>
          <w:p w14:paraId="2DC78ADB">
            <w:pPr>
              <w:pStyle w:val="28"/>
              <w:jc w:val="left"/>
              <w:rPr>
                <w:color w:val="auto"/>
              </w:rPr>
            </w:pPr>
            <w:r>
              <w:rPr>
                <w:color w:val="auto"/>
              </w:rPr>
              <w:t>Iepirkuma nosaukums / Title of procurement</w:t>
            </w:r>
          </w:p>
        </w:tc>
        <w:tc>
          <w:p w14:paraId="1AA79895">
            <w:pPr>
              <w:pStyle w:val="28"/>
              <w:jc w:val="left"/>
              <w:rPr>
                <w:color w:val="auto"/>
              </w:rPr>
            </w:pPr>
            <w:r>
              <w:rPr>
                <w:color w:val="auto"/>
              </w:rPr>
              <w:t xml:space="preserve">Rūpnieciskā pētījuma veikšana un mikroražotnes automatizētās HDPE Edge izmēģinājuma līnijas radīšana rūpnieciskā pētījuma veikšanai. / </w:t>
            </w:r>
            <w:r>
              <w:rPr>
                <w:i/>
                <w:iCs/>
                <w:color w:val="auto"/>
              </w:rPr>
              <w:t>Industrial research and creation of an automated HDPE Edge pilot line for a microfactory, serving as the instrument for carrying out that research.</w:t>
            </w:r>
          </w:p>
        </w:tc>
      </w:tr>
      <w:tr w14:paraId="383E3BD9">
        <w:tc>
          <w:p w14:paraId="6152235C">
            <w:pPr>
              <w:pStyle w:val="28"/>
              <w:jc w:val="left"/>
              <w:rPr>
                <w:color w:val="auto"/>
              </w:rPr>
            </w:pPr>
            <w:r>
              <w:rPr>
                <w:color w:val="auto"/>
              </w:rPr>
              <w:t>Identifikācijas Nr. / Identification number</w:t>
            </w:r>
          </w:p>
        </w:tc>
        <w:tc>
          <w:p w14:paraId="231CC7D8">
            <w:pPr>
              <w:pStyle w:val="28"/>
              <w:jc w:val="left"/>
              <w:rPr>
                <w:rFonts w:ascii="Calibri" w:hAnsi="Calibri" w:eastAsia="Calibri" w:cs="Calibri"/>
                <w:color w:val="auto"/>
                <w:lang w:val="lv-LV"/>
              </w:rPr>
            </w:pPr>
            <w:r>
              <w:rPr>
                <w:rFonts w:ascii="Calibri" w:hAnsi="Calibri" w:eastAsia="Calibri" w:cs="Calibri"/>
                <w:color w:val="auto"/>
                <w:lang w:val="en-US" w:eastAsia="zh-CN"/>
              </w:rPr>
              <w:t>K/202</w:t>
            </w:r>
            <w:r>
              <w:rPr>
                <w:rFonts w:ascii="Calibri" w:hAnsi="Calibri" w:eastAsia="Calibri" w:cs="Calibri"/>
                <w:color w:val="auto"/>
                <w:lang w:val="lv-LV" w:eastAsia="zh-CN"/>
              </w:rPr>
              <w:t>6</w:t>
            </w:r>
            <w:r>
              <w:rPr>
                <w:rFonts w:ascii="Calibri" w:hAnsi="Calibri" w:eastAsia="Calibri" w:cs="Calibri"/>
                <w:color w:val="auto"/>
                <w:lang w:val="en-US" w:eastAsia="zh-CN"/>
              </w:rPr>
              <w:t>/11</w:t>
            </w:r>
            <w:r>
              <w:rPr>
                <w:rFonts w:ascii="Calibri" w:hAnsi="Calibri" w:eastAsia="Calibri" w:cs="Calibri"/>
                <w:color w:val="auto"/>
                <w:lang w:val="lv-LV" w:eastAsia="zh-CN"/>
              </w:rPr>
              <w:t>09</w:t>
            </w:r>
            <w:r>
              <w:rPr>
                <w:rFonts w:ascii="Calibri" w:hAnsi="Calibri" w:eastAsia="Calibri" w:cs="Calibri"/>
                <w:color w:val="auto"/>
                <w:lang w:val="en-US" w:eastAsia="zh-CN"/>
              </w:rPr>
              <w:t>2</w:t>
            </w:r>
            <w:r>
              <w:rPr>
                <w:rFonts w:ascii="Calibri" w:hAnsi="Calibri" w:eastAsia="Calibri" w:cs="Calibri"/>
                <w:color w:val="auto"/>
                <w:lang w:val="lv-LV" w:eastAsia="zh-CN"/>
              </w:rPr>
              <w:t>6</w:t>
            </w:r>
            <w:r>
              <w:rPr>
                <w:rFonts w:ascii="Calibri" w:hAnsi="Calibri" w:eastAsia="Calibri" w:cs="Calibri"/>
                <w:color w:val="auto"/>
                <w:lang w:val="en-US" w:eastAsia="zh-CN"/>
              </w:rPr>
              <w:t>/1</w:t>
            </w:r>
          </w:p>
        </w:tc>
      </w:tr>
      <w:tr w14:paraId="7BB55011">
        <w:tc>
          <w:p w14:paraId="3140B681">
            <w:pPr>
              <w:pStyle w:val="28"/>
              <w:jc w:val="left"/>
              <w:rPr>
                <w:color w:val="auto"/>
              </w:rPr>
            </w:pPr>
            <w:r>
              <w:rPr>
                <w:color w:val="auto"/>
              </w:rPr>
              <w:t>Priekšmeta apraksts / Description of the subject of procurement</w:t>
            </w:r>
          </w:p>
        </w:tc>
        <w:tc>
          <w:p w14:paraId="4636E66D">
            <w:pPr>
              <w:pStyle w:val="28"/>
              <w:jc w:val="left"/>
              <w:rPr>
                <w:color w:val="auto"/>
              </w:rPr>
            </w:pPr>
            <w:r>
              <w:rPr>
                <w:color w:val="auto"/>
              </w:rPr>
              <w:t>Div</w:t>
            </w:r>
            <w:r>
              <w:rPr>
                <w:rFonts w:hint="default"/>
                <w:color w:val="auto"/>
                <w:lang w:val="lv-LV"/>
              </w:rPr>
              <w:t>i savstarpēji</w:t>
            </w:r>
            <w:r>
              <w:rPr>
                <w:color w:val="auto"/>
              </w:rPr>
              <w:t xml:space="preserve"> koordinēti </w:t>
            </w:r>
            <w:r>
              <w:rPr>
                <w:rFonts w:hint="default"/>
                <w:color w:val="auto"/>
                <w:lang w:val="lv-LV"/>
              </w:rPr>
              <w:t>darba bloki</w:t>
            </w:r>
            <w:r>
              <w:rPr>
                <w:color w:val="auto"/>
              </w:rPr>
              <w:t>, par kur</w:t>
            </w:r>
            <w:r>
              <w:rPr>
                <w:rFonts w:hint="default"/>
                <w:color w:val="auto"/>
                <w:lang w:val="lv-LV"/>
              </w:rPr>
              <w:t>iem</w:t>
            </w:r>
            <w:r>
              <w:rPr>
                <w:color w:val="auto"/>
              </w:rPr>
              <w:t xml:space="preserve"> slēdz vienu līgumu.</w:t>
            </w:r>
          </w:p>
          <w:p w14:paraId="4BFF260C">
            <w:pPr>
              <w:pStyle w:val="28"/>
              <w:jc w:val="left"/>
              <w:rPr>
                <w:color w:val="auto"/>
              </w:rPr>
            </w:pPr>
            <w:r>
              <w:rPr>
                <w:b/>
                <w:bCs/>
                <w:color w:val="auto"/>
              </w:rPr>
              <w:t>Daļa 1</w:t>
            </w:r>
            <w:r>
              <w:rPr>
                <w:color w:val="auto"/>
              </w:rPr>
              <w:t xml:space="preserve"> – Rūpnieciskais pētījums: virsmas apstrādes tehnoloģijas un Edge automatizētā vadība</w:t>
            </w:r>
          </w:p>
          <w:p w14:paraId="265E77F8">
            <w:pPr>
              <w:pStyle w:val="28"/>
              <w:jc w:val="left"/>
              <w:rPr>
                <w:color w:val="auto"/>
              </w:rPr>
            </w:pPr>
            <w:r>
              <w:rPr>
                <w:b/>
                <w:bCs/>
                <w:color w:val="auto"/>
              </w:rPr>
              <w:t>Daļa 2</w:t>
            </w:r>
            <w:r>
              <w:rPr>
                <w:color w:val="auto"/>
              </w:rPr>
              <w:t xml:space="preserve"> – Rūpnieciskā pētījuma veikšana, izmantojot pētnieciski izstrādātu automatizētu HDPE Edge vidi / </w:t>
            </w:r>
          </w:p>
          <w:p w14:paraId="304E395C">
            <w:pPr>
              <w:pStyle w:val="28"/>
              <w:jc w:val="left"/>
              <w:rPr>
                <w:i/>
                <w:iCs/>
                <w:color w:val="auto"/>
              </w:rPr>
            </w:pPr>
            <w:r>
              <w:rPr>
                <w:i/>
                <w:iCs/>
                <w:color w:val="auto"/>
                <w:lang w:val="en-US" w:eastAsia="zh-CN"/>
              </w:rPr>
              <w:t>Two mutually coordinated work packages, for which a single contract shall be concluded.</w:t>
            </w:r>
            <w:r>
              <w:rPr>
                <w:i/>
                <w:iCs/>
                <w:color w:val="auto"/>
              </w:rPr>
              <w:t xml:space="preserve"> </w:t>
            </w:r>
          </w:p>
          <w:p w14:paraId="2CA21B48">
            <w:pPr>
              <w:pStyle w:val="28"/>
              <w:jc w:val="left"/>
              <w:rPr>
                <w:i/>
                <w:iCs/>
                <w:color w:val="auto"/>
              </w:rPr>
            </w:pPr>
            <w:r>
              <w:rPr>
                <w:b/>
                <w:bCs/>
                <w:i/>
                <w:iCs/>
                <w:color w:val="auto"/>
              </w:rPr>
              <w:t>Part 1</w:t>
            </w:r>
            <w:r>
              <w:rPr>
                <w:color w:val="auto"/>
              </w:rPr>
              <w:t xml:space="preserve"> </w:t>
            </w:r>
            <w:r>
              <w:rPr>
                <w:i/>
                <w:iCs/>
                <w:color w:val="auto"/>
              </w:rPr>
              <w:t xml:space="preserve">– </w:t>
            </w:r>
            <w:r>
              <w:rPr>
                <w:rFonts w:hint="default"/>
                <w:i/>
                <w:iCs/>
                <w:color w:val="auto"/>
                <w:lang w:val="lv-LV"/>
              </w:rPr>
              <w:t>I</w:t>
            </w:r>
            <w:r>
              <w:rPr>
                <w:i/>
                <w:iCs/>
                <w:color w:val="auto"/>
              </w:rPr>
              <w:t>ndustrial research: surface treatment technologies and Edge automated control</w:t>
            </w:r>
          </w:p>
          <w:p w14:paraId="10CE1B95">
            <w:pPr>
              <w:pStyle w:val="28"/>
              <w:jc w:val="left"/>
              <w:rPr>
                <w:i/>
                <w:iCs/>
                <w:color w:val="auto"/>
              </w:rPr>
            </w:pPr>
            <w:r>
              <w:rPr>
                <w:b/>
                <w:bCs/>
                <w:i/>
                <w:iCs/>
                <w:color w:val="auto"/>
              </w:rPr>
              <w:t>Part 2</w:t>
            </w:r>
            <w:r>
              <w:rPr>
                <w:color w:val="auto"/>
              </w:rPr>
              <w:t xml:space="preserve"> </w:t>
            </w:r>
            <w:r>
              <w:rPr>
                <w:i/>
                <w:iCs/>
                <w:color w:val="auto"/>
              </w:rPr>
              <w:t xml:space="preserve">– </w:t>
            </w:r>
            <w:r>
              <w:rPr>
                <w:i/>
                <w:iCs/>
                <w:color w:val="auto"/>
                <w:lang w:val="en-US"/>
              </w:rPr>
              <w:t>Carrying out of industrial research using a purpose-developed automated HDPE Edge environment</w:t>
            </w:r>
            <w:r>
              <w:rPr>
                <w:i/>
                <w:iCs/>
                <w:color w:val="auto"/>
              </w:rPr>
              <w:t>.</w:t>
            </w:r>
          </w:p>
        </w:tc>
      </w:tr>
      <w:tr w14:paraId="116F0BF2">
        <w:tc>
          <w:p w14:paraId="7C86D166">
            <w:pPr>
              <w:pStyle w:val="28"/>
              <w:jc w:val="left"/>
              <w:rPr>
                <w:color w:val="auto"/>
              </w:rPr>
            </w:pPr>
            <w:r>
              <w:rPr>
                <w:color w:val="auto"/>
              </w:rPr>
              <w:t>CPV kodi / CPV codes</w:t>
            </w:r>
          </w:p>
        </w:tc>
        <w:tc>
          <w:p w14:paraId="1619B0D1">
            <w:pPr>
              <w:pStyle w:val="28"/>
              <w:jc w:val="left"/>
              <w:rPr>
                <w:color w:val="auto"/>
              </w:rPr>
            </w:pPr>
            <w:r>
              <w:rPr>
                <w:color w:val="auto"/>
              </w:rPr>
              <w:t>73100000-3 (galvenais priekšmets / main subject); 73110000-6, 42997300-4, 42662000-4, 48000000-8 (papildu / additional)</w:t>
            </w:r>
          </w:p>
        </w:tc>
      </w:tr>
      <w:tr w14:paraId="62E242F8">
        <w:tc>
          <w:p w14:paraId="0A72DEF7">
            <w:pPr>
              <w:pStyle w:val="28"/>
              <w:jc w:val="left"/>
              <w:rPr>
                <w:color w:val="auto"/>
              </w:rPr>
            </w:pPr>
            <w:r>
              <w:rPr>
                <w:color w:val="auto"/>
              </w:rPr>
              <w:t>Daļas / Lots</w:t>
            </w:r>
          </w:p>
        </w:tc>
        <w:tc>
          <w:p w14:paraId="29C32103">
            <w:pPr>
              <w:pStyle w:val="28"/>
              <w:jc w:val="left"/>
              <w:rPr>
                <w:color w:val="auto"/>
              </w:rPr>
            </w:pPr>
            <w:r>
              <w:rPr>
                <w:color w:val="auto"/>
              </w:rPr>
              <w:t xml:space="preserve">Priekšmets nav sadalīts daļās, un piedāvājums iesniedzams par visu apjomu. Piedāvājuma varianti nav atļauti. / </w:t>
            </w:r>
          </w:p>
          <w:p w14:paraId="1C3E10D7">
            <w:pPr>
              <w:pStyle w:val="28"/>
              <w:jc w:val="left"/>
              <w:rPr>
                <w:color w:val="auto"/>
              </w:rPr>
            </w:pPr>
            <w:r>
              <w:rPr>
                <w:i/>
                <w:iCs/>
                <w:color w:val="auto"/>
              </w:rPr>
              <w:t>The subject matter is not divided into lots and the offer must cover the entire scope. Variant offers are not permitted.</w:t>
            </w:r>
          </w:p>
        </w:tc>
      </w:tr>
      <w:tr w14:paraId="17A16F99">
        <w:tc>
          <w:p w14:paraId="4543CFEB">
            <w:pPr>
              <w:pStyle w:val="28"/>
              <w:jc w:val="left"/>
              <w:rPr>
                <w:color w:val="auto"/>
              </w:rPr>
            </w:pPr>
            <w:r>
              <w:rPr>
                <w:color w:val="auto"/>
              </w:rPr>
              <w:t>Izpildes vieta / Place of performance</w:t>
            </w:r>
          </w:p>
        </w:tc>
        <w:tc>
          <w:p w14:paraId="4612B3B5">
            <w:pPr>
              <w:pStyle w:val="28"/>
              <w:jc w:val="left"/>
              <w:rPr>
                <w:color w:val="auto"/>
              </w:rPr>
            </w:pPr>
            <w:r>
              <w:rPr>
                <w:color w:val="auto"/>
              </w:rPr>
              <w:t xml:space="preserve">Ganību iela 99, Ventspils, Latvija. Atsevišķi pētījuma posmi un testi var tikt veikti Izpildītāja vai apakšuzņēmēja telpās. / </w:t>
            </w:r>
          </w:p>
          <w:p w14:paraId="01AF2E6A">
            <w:pPr>
              <w:pStyle w:val="28"/>
              <w:jc w:val="left"/>
              <w:rPr>
                <w:color w:val="auto"/>
              </w:rPr>
            </w:pPr>
            <w:r>
              <w:rPr>
                <w:i/>
                <w:iCs/>
                <w:color w:val="auto"/>
              </w:rPr>
              <w:t>Ganibu iela 99, Ventspils, Latvia. Individual research stages and tests may be carried out at the premises of the contractor or a subcontractor.</w:t>
            </w:r>
          </w:p>
        </w:tc>
      </w:tr>
      <w:tr w14:paraId="28EE1C42">
        <w:tc>
          <w:p w14:paraId="7D9AFFA5">
            <w:pPr>
              <w:pStyle w:val="28"/>
              <w:jc w:val="left"/>
              <w:rPr>
                <w:color w:val="auto"/>
              </w:rPr>
            </w:pPr>
            <w:r>
              <w:rPr>
                <w:color w:val="auto"/>
              </w:rPr>
              <w:t>Izpildes termiņš / Term of performance</w:t>
            </w:r>
          </w:p>
        </w:tc>
        <w:tc>
          <w:p w14:paraId="1F96C249">
            <w:pPr>
              <w:pStyle w:val="28"/>
              <w:jc w:val="left"/>
              <w:rPr>
                <w:color w:val="auto"/>
              </w:rPr>
            </w:pPr>
            <w:r>
              <w:rPr>
                <w:color w:val="auto"/>
              </w:rPr>
              <w:t xml:space="preserve">Visi līgumdarbi jāpabeidz ne vēlāk kā 2027. gada 31. martā. Atsevišķu nodevumu termiņi noteikti 4. sadaļas 4.20. rindā. / </w:t>
            </w:r>
          </w:p>
          <w:p w14:paraId="7481987F">
            <w:pPr>
              <w:pStyle w:val="28"/>
              <w:jc w:val="left"/>
              <w:rPr>
                <w:color w:val="auto"/>
                <w:lang w:val="en-US"/>
              </w:rPr>
            </w:pPr>
            <w:r>
              <w:rPr>
                <w:i/>
                <w:iCs/>
                <w:lang w:val="en-US"/>
              </w:rPr>
              <w:t>The full scope of the contract shall be performed</w:t>
            </w:r>
            <w:r>
              <w:rPr>
                <w:i/>
                <w:iCs/>
                <w:color w:val="auto"/>
                <w:lang w:val="en-US"/>
              </w:rPr>
              <w:t xml:space="preserve"> no later than 31 March 2027. The deadlines for individual deliverables are set out in row 4.20 of section 4.</w:t>
            </w:r>
          </w:p>
        </w:tc>
      </w:tr>
      <w:tr w14:paraId="28124AB0">
        <w:tc>
          <w:p w14:paraId="0C350869">
            <w:pPr>
              <w:pStyle w:val="28"/>
              <w:jc w:val="left"/>
              <w:rPr>
                <w:color w:val="auto"/>
              </w:rPr>
            </w:pPr>
            <w:r>
              <w:rPr>
                <w:color w:val="auto"/>
              </w:rPr>
              <w:t>Ekvivalence / Equivalence</w:t>
            </w:r>
          </w:p>
        </w:tc>
        <w:tc>
          <w:p w14:paraId="38BAB815">
            <w:pPr>
              <w:pStyle w:val="28"/>
              <w:jc w:val="left"/>
              <w:rPr>
                <w:color w:val="auto"/>
              </w:rPr>
            </w:pPr>
            <w:r>
              <w:rPr>
                <w:color w:val="auto"/>
              </w:rPr>
              <w:t xml:space="preserve">Ikviena atsauce uz standartu, tehnoloģiju vai datu apmaiņas saskarni lasāma kopā ar vārdiem “vai ekvivalents”. / </w:t>
            </w:r>
            <w:r>
              <w:rPr>
                <w:i/>
                <w:iCs/>
                <w:color w:val="auto"/>
              </w:rPr>
              <w:t>Every reference to a standard, technology or data exchange interface is to be read together with the words “or equivalent”.</w:t>
            </w:r>
          </w:p>
        </w:tc>
      </w:tr>
      <w:bookmarkEnd w:id="2"/>
    </w:tbl>
    <w:p w14:paraId="5B0BE6FF">
      <w:pPr>
        <w:pStyle w:val="4"/>
        <w:rPr>
          <w:color w:val="auto"/>
        </w:rPr>
      </w:pPr>
      <w:bookmarkStart w:id="3" w:name="X4a518ba0d5619b93609b7566482ef11da0219ec"/>
      <w:r>
        <w:rPr>
          <w:color w:val="auto"/>
        </w:rPr>
        <w:t>3. Piedāvājuma iesniegšana / Submission of offer</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899"/>
        <w:gridCol w:w="9701"/>
      </w:tblGrid>
      <w:tr w14:paraId="3339517C">
        <w:trPr>
          <w:tblHeader/>
        </w:trPr>
        <w:tc>
          <w:tcPr>
            <w:tcW w:w="899" w:type="dxa"/>
          </w:tcPr>
          <w:p w14:paraId="3BA87F35">
            <w:pPr>
              <w:pStyle w:val="28"/>
              <w:jc w:val="left"/>
              <w:rPr>
                <w:color w:val="auto"/>
              </w:rPr>
            </w:pPr>
            <w:r>
              <w:rPr>
                <w:color w:val="auto"/>
              </w:rPr>
              <w:t>Nr. / No.</w:t>
            </w:r>
          </w:p>
        </w:tc>
        <w:tc>
          <w:tcPr>
            <w:tcW w:w="9701" w:type="dxa"/>
          </w:tcPr>
          <w:p w14:paraId="1F7B4E45">
            <w:pPr>
              <w:pStyle w:val="28"/>
              <w:jc w:val="left"/>
              <w:rPr>
                <w:color w:val="auto"/>
              </w:rPr>
            </w:pPr>
            <w:r>
              <w:rPr>
                <w:color w:val="auto"/>
              </w:rPr>
              <w:t>Noteikums / Provision</w:t>
            </w:r>
          </w:p>
        </w:tc>
      </w:tr>
      <w:tr w14:paraId="343D3287">
        <w:tc>
          <w:tcPr>
            <w:tcW w:w="899" w:type="dxa"/>
          </w:tcPr>
          <w:p w14:paraId="7F6132AE">
            <w:pPr>
              <w:pStyle w:val="28"/>
              <w:jc w:val="left"/>
              <w:rPr>
                <w:color w:val="auto"/>
              </w:rPr>
            </w:pPr>
            <w:r>
              <w:rPr>
                <w:color w:val="auto"/>
              </w:rPr>
              <w:t>3.1.</w:t>
            </w:r>
          </w:p>
        </w:tc>
        <w:tc>
          <w:tcPr>
            <w:tcW w:w="9701" w:type="dxa"/>
          </w:tcPr>
          <w:p w14:paraId="1C626198">
            <w:pPr>
              <w:pStyle w:val="28"/>
              <w:jc w:val="left"/>
              <w:rPr>
                <w:color w:val="auto"/>
              </w:rPr>
            </w:pPr>
            <w:r>
              <w:rPr>
                <w:color w:val="auto"/>
              </w:rPr>
              <w:t xml:space="preserve">Piedāvājums — šis aizpildītais un parakstītais dokuments un aizpildītā tehniskā specifikācija (1. pielikums) — iesniedzams elektroniski uz e-pasta adresi </w:t>
            </w:r>
            <w:r>
              <w:rPr>
                <w:rFonts w:hint="default"/>
                <w:color w:val="auto"/>
                <w:lang w:val="lv-LV"/>
              </w:rPr>
              <w:t>info@aspired.lv</w:t>
            </w:r>
            <w:r>
              <w:rPr>
                <w:color w:val="auto"/>
              </w:rPr>
              <w:t xml:space="preserve"> līdz </w:t>
            </w:r>
            <w:r>
              <w:rPr>
                <w:b/>
                <w:bCs/>
                <w:i w:val="0"/>
                <w:iCs w:val="0"/>
                <w:color w:val="auto"/>
              </w:rPr>
              <w:t>202</w:t>
            </w:r>
            <w:r>
              <w:rPr>
                <w:rFonts w:hint="default"/>
                <w:b/>
                <w:bCs/>
                <w:i w:val="0"/>
                <w:iCs w:val="0"/>
                <w:color w:val="auto"/>
                <w:lang w:val="lv-LV"/>
              </w:rPr>
              <w:t>6</w:t>
            </w:r>
            <w:r>
              <w:rPr>
                <w:b/>
                <w:bCs/>
                <w:i w:val="0"/>
                <w:iCs w:val="0"/>
                <w:color w:val="auto"/>
              </w:rPr>
              <w:t xml:space="preserve">. gada  </w:t>
            </w:r>
            <w:r>
              <w:rPr>
                <w:rFonts w:hint="default"/>
                <w:b/>
                <w:bCs/>
                <w:i w:val="0"/>
                <w:iCs w:val="0"/>
                <w:color w:val="auto"/>
                <w:lang w:val="lv-LV"/>
              </w:rPr>
              <w:t>28.septembrim</w:t>
            </w:r>
            <w:r>
              <w:rPr>
                <w:b/>
                <w:bCs/>
                <w:i w:val="0"/>
                <w:iCs w:val="0"/>
                <w:color w:val="auto"/>
              </w:rPr>
              <w:t xml:space="preserve"> </w:t>
            </w:r>
            <w:r>
              <w:rPr>
                <w:b/>
                <w:bCs/>
                <w:color w:val="auto"/>
              </w:rPr>
              <w:t>plkst. 1</w:t>
            </w:r>
            <w:r>
              <w:rPr>
                <w:rFonts w:hint="default"/>
                <w:b/>
                <w:bCs/>
                <w:color w:val="auto"/>
                <w:lang w:val="lv-LV"/>
              </w:rPr>
              <w:t>2</w:t>
            </w:r>
            <w:r>
              <w:rPr>
                <w:b/>
                <w:bCs/>
                <w:color w:val="auto"/>
              </w:rPr>
              <w:t>:00</w:t>
            </w:r>
            <w:r>
              <w:rPr>
                <w:color w:val="auto"/>
              </w:rPr>
              <w:t xml:space="preserve"> (Latvijas laiks). / </w:t>
            </w:r>
            <w:bookmarkStart w:id="17" w:name="_GoBack"/>
            <w:bookmarkEnd w:id="17"/>
          </w:p>
          <w:p w14:paraId="715BE15D">
            <w:pPr>
              <w:pStyle w:val="28"/>
              <w:jc w:val="left"/>
              <w:rPr>
                <w:color w:val="auto"/>
              </w:rPr>
            </w:pPr>
            <w:r>
              <w:rPr>
                <w:i/>
                <w:iCs/>
                <w:color w:val="auto"/>
              </w:rPr>
              <w:t xml:space="preserve">The offer — this completed and signed document together with the completed technical specification (Annex 1) — shall be submitted electronically to the e-mail address </w:t>
            </w:r>
            <w:r>
              <w:rPr>
                <w:rFonts w:hint="default"/>
                <w:i/>
                <w:iCs/>
                <w:color w:val="auto"/>
                <w:lang w:val="lv-LV"/>
              </w:rPr>
              <w:t>info@aspired.lv</w:t>
            </w:r>
            <w:r>
              <w:rPr>
                <w:i/>
                <w:iCs/>
                <w:color w:val="auto"/>
              </w:rPr>
              <w:t xml:space="preserve"> by </w:t>
            </w:r>
            <w:r>
              <w:rPr>
                <w:b/>
                <w:bCs/>
                <w:i/>
                <w:iCs/>
                <w:color w:val="auto"/>
              </w:rPr>
              <w:t>202</w:t>
            </w:r>
            <w:r>
              <w:rPr>
                <w:rFonts w:hint="default"/>
                <w:b/>
                <w:bCs/>
                <w:i/>
                <w:iCs/>
                <w:color w:val="auto"/>
                <w:lang w:val="lv-LV"/>
              </w:rPr>
              <w:t>6</w:t>
            </w:r>
            <w:r>
              <w:rPr>
                <w:b/>
                <w:bCs/>
                <w:i/>
                <w:iCs/>
                <w:color w:val="auto"/>
              </w:rPr>
              <w:t xml:space="preserve">. gada  </w:t>
            </w:r>
            <w:r>
              <w:rPr>
                <w:rFonts w:hint="default"/>
                <w:b/>
                <w:bCs/>
                <w:i/>
                <w:iCs/>
                <w:color w:val="auto"/>
                <w:lang w:val="lv-LV"/>
              </w:rPr>
              <w:t>28.septembrim</w:t>
            </w:r>
            <w:r>
              <w:rPr>
                <w:b/>
                <w:bCs/>
                <w:i/>
                <w:iCs/>
                <w:color w:val="auto"/>
              </w:rPr>
              <w:t xml:space="preserve"> plkst. 1</w:t>
            </w:r>
            <w:r>
              <w:rPr>
                <w:rFonts w:hint="default"/>
                <w:b/>
                <w:bCs/>
                <w:i/>
                <w:iCs/>
                <w:color w:val="auto"/>
                <w:lang w:val="lv-LV"/>
              </w:rPr>
              <w:t>2</w:t>
            </w:r>
            <w:r>
              <w:rPr>
                <w:b/>
                <w:bCs/>
                <w:i/>
                <w:iCs/>
                <w:color w:val="auto"/>
              </w:rPr>
              <w:t>:00</w:t>
            </w:r>
            <w:r>
              <w:rPr>
                <w:i/>
                <w:iCs/>
                <w:color w:val="auto"/>
              </w:rPr>
              <w:t xml:space="preserve"> (Latvian time).</w:t>
            </w:r>
          </w:p>
        </w:tc>
      </w:tr>
      <w:tr w14:paraId="0F9300A4">
        <w:tc>
          <w:tcPr>
            <w:tcW w:w="899" w:type="dxa"/>
          </w:tcPr>
          <w:p w14:paraId="17257ED0">
            <w:pPr>
              <w:pStyle w:val="28"/>
              <w:jc w:val="left"/>
              <w:rPr>
                <w:color w:val="auto"/>
              </w:rPr>
            </w:pPr>
            <w:r>
              <w:rPr>
                <w:color w:val="auto"/>
              </w:rPr>
              <w:t>3.2.</w:t>
            </w:r>
          </w:p>
        </w:tc>
        <w:tc>
          <w:tcPr>
            <w:tcW w:w="9701" w:type="dxa"/>
          </w:tcPr>
          <w:p w14:paraId="4E400FAD">
            <w:pPr>
              <w:pStyle w:val="28"/>
              <w:jc w:val="left"/>
              <w:rPr>
                <w:color w:val="auto"/>
              </w:rPr>
            </w:pPr>
            <w:r>
              <w:rPr>
                <w:color w:val="auto"/>
              </w:rPr>
              <w:t xml:space="preserve">Iesniedzams parakstīts PDF formātā un rediģējamā formātā (DOCX/XLSX). Viena sūtījuma apjoms līdz 50 MB; lielāka apjoma gadījumā vairāki sūtījumi ar numerāciju vai ar kontaktpersonu saskaņots datu apmaiņas risinājums. Datnes nedrīkst būt aizsargātas ar paroli vai saturēt kaitīgu programmatūru. / </w:t>
            </w:r>
          </w:p>
          <w:p w14:paraId="631BAAEB">
            <w:pPr>
              <w:pStyle w:val="28"/>
              <w:jc w:val="left"/>
              <w:rPr>
                <w:color w:val="auto"/>
              </w:rPr>
            </w:pPr>
            <w:r>
              <w:rPr>
                <w:i/>
                <w:iCs/>
                <w:color w:val="auto"/>
              </w:rPr>
              <w:t>The offer shall be submitted as a signed PDF and in editable format (DOCX/XLSX). Up to 50 MB per message; if larger, in several numbered messages or via a data exchange solution agreed with the contact person. Files must not be password-protected or contain malicious software.</w:t>
            </w:r>
          </w:p>
        </w:tc>
      </w:tr>
      <w:tr w14:paraId="2E5E2D30">
        <w:tc>
          <w:tcPr>
            <w:tcW w:w="899" w:type="dxa"/>
          </w:tcPr>
          <w:p w14:paraId="4E4BC5B0">
            <w:pPr>
              <w:pStyle w:val="28"/>
              <w:jc w:val="left"/>
              <w:rPr>
                <w:color w:val="auto"/>
              </w:rPr>
            </w:pPr>
            <w:r>
              <w:rPr>
                <w:color w:val="auto"/>
              </w:rPr>
              <w:t>3.3.</w:t>
            </w:r>
          </w:p>
        </w:tc>
        <w:tc>
          <w:tcPr>
            <w:tcW w:w="9701" w:type="dxa"/>
          </w:tcPr>
          <w:p w14:paraId="2996749A">
            <w:pPr>
              <w:pStyle w:val="28"/>
              <w:jc w:val="left"/>
              <w:rPr>
                <w:color w:val="auto"/>
              </w:rPr>
            </w:pPr>
            <w:r>
              <w:rPr>
                <w:color w:val="auto"/>
              </w:rPr>
              <w:t xml:space="preserve">Par iesniegšanas laiku uzskata laiku, kad piedāvājums saņemts Pasūtītāja e-pasta serverī. Pēc termiņa saņemts piedāvājums netiek vērtēts, un Pretendents par to tiek informēts. / </w:t>
            </w:r>
          </w:p>
          <w:p w14:paraId="76981BB5">
            <w:pPr>
              <w:pStyle w:val="28"/>
              <w:jc w:val="left"/>
              <w:rPr>
                <w:color w:val="auto"/>
              </w:rPr>
            </w:pPr>
            <w:r>
              <w:rPr>
                <w:i/>
                <w:iCs/>
                <w:color w:val="auto"/>
              </w:rPr>
              <w:t>The time of submission is the time at which the offer is received on the contracting authority’s mail server. An offer received after the deadline is not evaluated and the tenderer is notified accordingly.</w:t>
            </w:r>
          </w:p>
        </w:tc>
      </w:tr>
      <w:tr w14:paraId="131E8A3C">
        <w:tc>
          <w:tcPr>
            <w:tcW w:w="899" w:type="dxa"/>
          </w:tcPr>
          <w:p w14:paraId="5E363E2F">
            <w:pPr>
              <w:pStyle w:val="28"/>
              <w:jc w:val="left"/>
              <w:rPr>
                <w:color w:val="auto"/>
              </w:rPr>
            </w:pPr>
            <w:r>
              <w:rPr>
                <w:color w:val="auto"/>
              </w:rPr>
              <w:t>3.4.</w:t>
            </w:r>
          </w:p>
        </w:tc>
        <w:tc>
          <w:tcPr>
            <w:tcW w:w="9701" w:type="dxa"/>
          </w:tcPr>
          <w:p w14:paraId="57A7D2B8">
            <w:pPr>
              <w:pStyle w:val="28"/>
              <w:jc w:val="left"/>
              <w:rPr>
                <w:color w:val="auto"/>
              </w:rPr>
            </w:pPr>
            <w:r>
              <w:rPr>
                <w:color w:val="auto"/>
              </w:rPr>
              <w:t xml:space="preserve">Pretendents ir tiesīgs grozīt vai atsaukt piedāvājumu līdz termiņa beigām, rakstiski informējot Pasūtītāju. Piedāvājumu atvēršana nav publiska; līdz galīgā lēmuma pieņemšanai informācija par citiem pretendentiem un to piedāvājumiem netiek izpausta. / </w:t>
            </w:r>
          </w:p>
          <w:p w14:paraId="6B618F6A">
            <w:pPr>
              <w:pStyle w:val="28"/>
              <w:jc w:val="left"/>
              <w:rPr>
                <w:color w:val="auto"/>
              </w:rPr>
            </w:pPr>
            <w:r>
              <w:rPr>
                <w:i/>
                <w:iCs/>
                <w:color w:val="auto"/>
              </w:rPr>
              <w:t>The tenderer may amend or withdraw its offer until the deadline by notifying the contracting authority in writing. The opening of offers is not public; until the final decision is taken, no information on other tenderers or their offers is disclosed.</w:t>
            </w:r>
          </w:p>
        </w:tc>
      </w:tr>
      <w:tr w14:paraId="6D2CF887">
        <w:tc>
          <w:tcPr>
            <w:tcW w:w="899" w:type="dxa"/>
          </w:tcPr>
          <w:p w14:paraId="31F61E68">
            <w:pPr>
              <w:pStyle w:val="28"/>
              <w:jc w:val="left"/>
              <w:rPr>
                <w:color w:val="auto"/>
              </w:rPr>
            </w:pPr>
            <w:r>
              <w:rPr>
                <w:color w:val="auto"/>
              </w:rPr>
              <w:t>3.5.</w:t>
            </w:r>
          </w:p>
        </w:tc>
        <w:tc>
          <w:tcPr>
            <w:tcW w:w="9701" w:type="dxa"/>
          </w:tcPr>
          <w:p w14:paraId="63126530">
            <w:pPr>
              <w:pStyle w:val="28"/>
              <w:jc w:val="left"/>
              <w:rPr>
                <w:color w:val="auto"/>
              </w:rPr>
            </w:pPr>
            <w:r>
              <w:rPr>
                <w:color w:val="auto"/>
              </w:rPr>
              <w:t xml:space="preserve">Piedāvājuma valoda – latviešu vai angļu. Ražotāja tehniskā dokumentācija, sertifikāti, reģistrācijas apliecības un kompetento iestāžu izziņas var būt citā valodā. / </w:t>
            </w:r>
          </w:p>
          <w:p w14:paraId="5C380852">
            <w:pPr>
              <w:pStyle w:val="28"/>
              <w:jc w:val="left"/>
              <w:rPr>
                <w:color w:val="auto"/>
              </w:rPr>
            </w:pPr>
            <w:r>
              <w:rPr>
                <w:i/>
                <w:iCs/>
                <w:color w:val="auto"/>
              </w:rPr>
              <w:t>The offer shall be in Latvian or English. Manufacturer’s technical documentation, certificates, registration documents and statements issued by competent authorities may be in another language.</w:t>
            </w:r>
          </w:p>
        </w:tc>
      </w:tr>
      <w:tr w14:paraId="5432FE5B">
        <w:tc>
          <w:tcPr>
            <w:tcW w:w="899" w:type="dxa"/>
          </w:tcPr>
          <w:p w14:paraId="6EC2E97F">
            <w:pPr>
              <w:pStyle w:val="28"/>
              <w:jc w:val="left"/>
              <w:rPr>
                <w:color w:val="auto"/>
              </w:rPr>
            </w:pPr>
            <w:r>
              <w:rPr>
                <w:color w:val="auto"/>
              </w:rPr>
              <w:t>3.6.</w:t>
            </w:r>
          </w:p>
        </w:tc>
        <w:tc>
          <w:tcPr>
            <w:tcW w:w="9701" w:type="dxa"/>
          </w:tcPr>
          <w:p w14:paraId="001BD5F0">
            <w:pPr>
              <w:pStyle w:val="28"/>
              <w:jc w:val="left"/>
              <w:rPr>
                <w:color w:val="auto"/>
              </w:rPr>
            </w:pPr>
            <w:r>
              <w:rPr>
                <w:color w:val="auto"/>
              </w:rPr>
              <w:t xml:space="preserve">Jautājumus var iesniegt rakstiski ne vēlāk kā 5 darbdienas pirms piedāvājumu iesniegšanas termiņa. Atbildi Pasūtītājs sniedz 3 darbdienu laikā, bet ne vēlāk kā 3 darbdienas pirms termiņa, un publicē to Iepirkumu uzraudzības biroja un savā tīmekļvietnē, neizpaužot jautājuma uzdevēju. Pretendentam ir pienākums sekot līdzi publicētajai informācijai. / </w:t>
            </w:r>
          </w:p>
          <w:p w14:paraId="038181A2">
            <w:pPr>
              <w:pStyle w:val="28"/>
              <w:jc w:val="left"/>
              <w:rPr>
                <w:color w:val="auto"/>
              </w:rPr>
            </w:pPr>
            <w:r>
              <w:rPr>
                <w:i/>
                <w:iCs/>
                <w:color w:val="auto"/>
              </w:rPr>
              <w:t>Questions may be submitted in writing no later than 5 working days before the deadline. The contracting authority replies within 3 working days, but no later than 3 working days before the deadline, and publishes the reply on the website of the Procurement Monitoring Bureau and its own website without disclosing the enquirer. The tenderer is responsible for following the published information.</w:t>
            </w:r>
          </w:p>
        </w:tc>
      </w:tr>
      <w:tr w14:paraId="2B015E13">
        <w:tc>
          <w:tcPr>
            <w:tcW w:w="899" w:type="dxa"/>
          </w:tcPr>
          <w:p w14:paraId="5EE79787">
            <w:pPr>
              <w:pStyle w:val="28"/>
              <w:jc w:val="left"/>
              <w:rPr>
                <w:color w:val="auto"/>
              </w:rPr>
            </w:pPr>
            <w:r>
              <w:rPr>
                <w:color w:val="auto"/>
              </w:rPr>
              <w:t>3.7.</w:t>
            </w:r>
          </w:p>
        </w:tc>
        <w:tc>
          <w:tcPr>
            <w:tcW w:w="9701" w:type="dxa"/>
          </w:tcPr>
          <w:p w14:paraId="7A78C8B2">
            <w:pPr>
              <w:pStyle w:val="28"/>
              <w:jc w:val="left"/>
              <w:rPr>
                <w:color w:val="auto"/>
              </w:rPr>
            </w:pPr>
            <w:r>
              <w:rPr>
                <w:color w:val="auto"/>
              </w:rPr>
              <w:t xml:space="preserve">Grozījumus dokumentācijā Pasūtītājs var izdarīt ne vēlāk kā vienu dienu pirms termiņa beigām, atkārtoti publicējot paziņojumu ar grozījumu iemeslu; termiņš pēc atkārtotās publicēšanas nav īsāks par 5 darbdienām. / </w:t>
            </w:r>
          </w:p>
          <w:p w14:paraId="5E974120">
            <w:pPr>
              <w:pStyle w:val="28"/>
              <w:jc w:val="left"/>
              <w:rPr>
                <w:color w:val="auto"/>
              </w:rPr>
            </w:pPr>
            <w:r>
              <w:rPr>
                <w:i/>
                <w:iCs/>
                <w:color w:val="auto"/>
              </w:rPr>
              <w:t>The contracting authority may amend the documentation no later than one day before the deadline by republishing the notice together with the reason for the amendment; the deadline following republication is not shorter than 5 working days.</w:t>
            </w:r>
          </w:p>
        </w:tc>
      </w:tr>
      <w:tr w14:paraId="3C384C05">
        <w:tc>
          <w:tcPr>
            <w:tcW w:w="899" w:type="dxa"/>
          </w:tcPr>
          <w:p w14:paraId="58AA3BB6">
            <w:pPr>
              <w:pStyle w:val="28"/>
              <w:jc w:val="left"/>
              <w:rPr>
                <w:color w:val="auto"/>
              </w:rPr>
            </w:pPr>
            <w:r>
              <w:rPr>
                <w:color w:val="auto"/>
              </w:rPr>
              <w:t>3.8.</w:t>
            </w:r>
          </w:p>
        </w:tc>
        <w:tc>
          <w:tcPr>
            <w:tcW w:w="9701" w:type="dxa"/>
          </w:tcPr>
          <w:p w14:paraId="3D532C30">
            <w:pPr>
              <w:pStyle w:val="75"/>
              <w:keepNext w:val="0"/>
              <w:keepLines w:val="0"/>
              <w:widowControl/>
              <w:suppressLineNumbers w:val="0"/>
              <w:rPr>
                <w:rFonts w:ascii="Calibri" w:hAnsi="Calibri" w:eastAsia="Calibri" w:cs="Calibri"/>
                <w:b/>
                <w:bCs/>
                <w:color w:val="auto"/>
                <w:kern w:val="0"/>
                <w:sz w:val="20"/>
                <w:szCs w:val="20"/>
                <w:lang w:val="lv-LV" w:eastAsia="lv-LV" w:bidi="ar-SA"/>
              </w:rPr>
            </w:pPr>
            <w:r>
              <w:rPr>
                <w:rFonts w:ascii="Calibri" w:hAnsi="Calibri" w:eastAsia="Calibri" w:cs="Calibri"/>
                <w:b/>
                <w:bCs/>
                <w:color w:val="auto"/>
                <w:kern w:val="0"/>
                <w:sz w:val="20"/>
                <w:szCs w:val="20"/>
                <w:lang w:val="lv-LV" w:eastAsia="lv-LV" w:bidi="ar-SA"/>
              </w:rPr>
              <w:t>Finansējuma saņēmējs izvēlas piedāvājumu, kas finansējuma saņēmējam ir ekonomiski</w:t>
            </w:r>
            <w:r>
              <w:rPr>
                <w:rFonts w:hint="default" w:ascii="Calibri" w:hAnsi="Calibri" w:eastAsia="Calibri" w:cs="Calibri"/>
                <w:b/>
                <w:bCs/>
                <w:color w:val="auto"/>
                <w:kern w:val="0"/>
                <w:sz w:val="20"/>
                <w:szCs w:val="20"/>
                <w:lang w:val="en-US" w:eastAsia="lv-LV" w:bidi="ar-SA"/>
              </w:rPr>
              <w:t xml:space="preserve"> </w:t>
            </w:r>
            <w:r>
              <w:rPr>
                <w:rFonts w:ascii="Calibri" w:hAnsi="Calibri" w:eastAsia="Calibri" w:cs="Calibri"/>
                <w:b/>
                <w:bCs/>
                <w:color w:val="auto"/>
                <w:kern w:val="0"/>
                <w:sz w:val="20"/>
                <w:szCs w:val="20"/>
                <w:lang w:val="lv-LV" w:eastAsia="lv-LV" w:bidi="ar-SA"/>
              </w:rPr>
              <w:t>visizdevīgākais un</w:t>
            </w:r>
            <w:r>
              <w:rPr>
                <w:rFonts w:hint="default" w:ascii="Calibri" w:hAnsi="Calibri" w:eastAsia="Calibri" w:cs="Calibri"/>
                <w:b/>
                <w:bCs/>
                <w:color w:val="auto"/>
                <w:kern w:val="0"/>
                <w:sz w:val="20"/>
                <w:szCs w:val="20"/>
                <w:lang w:val="en-US" w:eastAsia="lv-LV" w:bidi="ar-SA"/>
              </w:rPr>
              <w:t xml:space="preserve"> </w:t>
            </w:r>
            <w:r>
              <w:rPr>
                <w:rFonts w:ascii="Calibri" w:hAnsi="Calibri" w:eastAsia="Calibri" w:cs="Calibri"/>
                <w:b/>
                <w:bCs/>
                <w:color w:val="auto"/>
                <w:kern w:val="0"/>
                <w:sz w:val="20"/>
                <w:szCs w:val="20"/>
                <w:lang w:val="lv-LV" w:eastAsia="lv-LV" w:bidi="ar-SA"/>
              </w:rPr>
              <w:t>vislabāk apmierina tā vajadzības, kā arī nodrošina pasūtītāja piešķirtā</w:t>
            </w:r>
            <w:r>
              <w:rPr>
                <w:rFonts w:hint="default" w:ascii="Calibri" w:hAnsi="Calibri" w:eastAsia="Calibri" w:cs="Calibri"/>
                <w:b/>
                <w:bCs/>
                <w:color w:val="auto"/>
                <w:kern w:val="0"/>
                <w:sz w:val="20"/>
                <w:szCs w:val="20"/>
                <w:lang w:val="en-US" w:eastAsia="lv-LV" w:bidi="ar-SA"/>
              </w:rPr>
              <w:t xml:space="preserve"> </w:t>
            </w:r>
            <w:r>
              <w:rPr>
                <w:rFonts w:ascii="Calibri" w:hAnsi="Calibri" w:eastAsia="Calibri" w:cs="Calibri"/>
                <w:b/>
                <w:bCs/>
                <w:color w:val="auto"/>
                <w:kern w:val="0"/>
                <w:sz w:val="20"/>
                <w:szCs w:val="20"/>
                <w:lang w:val="lv-LV" w:eastAsia="lv-LV" w:bidi="ar-SA"/>
              </w:rPr>
              <w:t>finansējuma efektīvu izmantošanu.</w:t>
            </w:r>
          </w:p>
          <w:p w14:paraId="48842101">
            <w:pPr>
              <w:pStyle w:val="75"/>
              <w:keepNext w:val="0"/>
              <w:keepLines w:val="0"/>
              <w:widowControl/>
              <w:suppressLineNumbers w:val="0"/>
              <w:rPr>
                <w:rFonts w:ascii="Calibri" w:hAnsi="Calibri" w:eastAsia="Calibri" w:cs="Calibri"/>
                <w:b/>
                <w:bCs/>
                <w:color w:val="auto"/>
                <w:kern w:val="0"/>
                <w:sz w:val="20"/>
                <w:szCs w:val="20"/>
                <w:lang w:val="lv-LV" w:eastAsia="lv-LV" w:bidi="ar-SA"/>
              </w:rPr>
            </w:pPr>
            <w:r>
              <w:rPr>
                <w:rFonts w:ascii="Calibri" w:hAnsi="Calibri" w:eastAsia="Calibri" w:cs="Calibri"/>
                <w:b/>
                <w:bCs/>
                <w:color w:val="auto"/>
                <w:kern w:val="0"/>
                <w:sz w:val="20"/>
                <w:szCs w:val="20"/>
                <w:lang w:val="en-US" w:eastAsia="zh-CN" w:bidi="ar-SA"/>
              </w:rPr>
              <w:t xml:space="preserve">Piedāvājumu izvēles kritērijs ir viszemākā kopējā līgumcena bez PVN starp piedāvājumiem, kas atbilst šā dokumenta un tehniskās specifikācijas prasībām. </w:t>
            </w:r>
          </w:p>
          <w:p w14:paraId="283BDBBF">
            <w:pPr>
              <w:pStyle w:val="28"/>
              <w:jc w:val="left"/>
              <w:rPr>
                <w:rFonts w:ascii="Calibri" w:hAnsi="Calibri" w:eastAsia="Calibri" w:cs="Calibri"/>
                <w:color w:val="auto"/>
                <w:kern w:val="0"/>
                <w:sz w:val="20"/>
                <w:szCs w:val="20"/>
                <w:lang w:val="lv-LV" w:eastAsia="lv-LV" w:bidi="ar-SA"/>
              </w:rPr>
            </w:pPr>
          </w:p>
          <w:p w14:paraId="61F63552">
            <w:pPr>
              <w:pStyle w:val="75"/>
              <w:keepNext w:val="0"/>
              <w:keepLines w:val="0"/>
              <w:widowControl/>
              <w:suppressLineNumbers w:val="0"/>
              <w:jc w:val="left"/>
              <w:rPr>
                <w:rFonts w:ascii="Calibri" w:hAnsi="Calibri" w:eastAsia="Calibri" w:cs="Calibri"/>
                <w:color w:val="auto"/>
                <w:kern w:val="0"/>
                <w:sz w:val="20"/>
                <w:szCs w:val="20"/>
                <w:lang w:val="lv-LV" w:eastAsia="lv-LV" w:bidi="ar-SA"/>
              </w:rPr>
            </w:pPr>
            <w:r>
              <w:rPr>
                <w:rFonts w:ascii="Calibri" w:hAnsi="Calibri" w:eastAsia="Calibri" w:cs="Calibri"/>
                <w:b/>
                <w:bCs/>
                <w:color w:val="auto"/>
                <w:kern w:val="0"/>
                <w:sz w:val="20"/>
                <w:szCs w:val="20"/>
                <w:lang w:val="en-US" w:eastAsia="zh-CN" w:bidi="ar-SA"/>
              </w:rPr>
              <w:t>The beneficiary of the financing shall select the offer that is economically the most advantageous to the beneficiary and best satisfies its needs, while also ensuring the efficient use of the financing granted by the contracting authority.</w:t>
            </w:r>
            <w:r>
              <w:rPr>
                <w:rFonts w:ascii="Calibri" w:hAnsi="Calibri" w:eastAsia="Calibri" w:cs="Calibri"/>
                <w:color w:val="auto"/>
                <w:kern w:val="0"/>
                <w:sz w:val="20"/>
                <w:szCs w:val="20"/>
                <w:lang w:val="lv-LV" w:eastAsia="lv-LV" w:bidi="ar-SA"/>
              </w:rPr>
              <w:t xml:space="preserve"> </w:t>
            </w:r>
          </w:p>
          <w:p w14:paraId="52E4C4D5">
            <w:pPr>
              <w:keepNext w:val="0"/>
              <w:keepLines w:val="0"/>
              <w:widowControl/>
              <w:suppressLineNumbers w:val="0"/>
              <w:jc w:val="left"/>
              <w:rPr>
                <w:rFonts w:ascii="Calibri" w:hAnsi="Calibri" w:eastAsia="Calibri" w:cs="Calibri"/>
                <w:color w:val="auto"/>
                <w:kern w:val="0"/>
                <w:sz w:val="20"/>
                <w:szCs w:val="20"/>
                <w:lang w:val="lv-LV" w:eastAsia="lv-LV" w:bidi="ar-SA"/>
              </w:rPr>
            </w:pPr>
            <w:r>
              <w:rPr>
                <w:rFonts w:ascii="Calibri" w:hAnsi="Calibri" w:eastAsia="Calibri" w:cs="Calibri"/>
                <w:b/>
                <w:bCs/>
                <w:color w:val="auto"/>
                <w:kern w:val="0"/>
                <w:sz w:val="20"/>
                <w:szCs w:val="20"/>
                <w:lang w:val="en-US" w:eastAsia="zh-CN" w:bidi="ar-SA"/>
              </w:rPr>
              <w:t>The award criterion is the lowest total contract price excluding VAT among the offers that comply with the requirements of this document and of the technical specification.</w:t>
            </w:r>
          </w:p>
        </w:tc>
      </w:tr>
      <w:tr w14:paraId="3A4E362D">
        <w:tc>
          <w:tcPr>
            <w:tcW w:w="899" w:type="dxa"/>
          </w:tcPr>
          <w:p w14:paraId="3F12EC08">
            <w:pPr>
              <w:pStyle w:val="28"/>
              <w:jc w:val="left"/>
              <w:rPr>
                <w:color w:val="auto"/>
              </w:rPr>
            </w:pPr>
            <w:r>
              <w:rPr>
                <w:color w:val="auto"/>
              </w:rPr>
              <w:t>3.9.</w:t>
            </w:r>
          </w:p>
        </w:tc>
        <w:tc>
          <w:tcPr>
            <w:tcW w:w="9701" w:type="dxa"/>
          </w:tcPr>
          <w:p w14:paraId="097EB0C1">
            <w:pPr>
              <w:pStyle w:val="28"/>
              <w:jc w:val="left"/>
              <w:rPr>
                <w:color w:val="auto"/>
              </w:rPr>
            </w:pPr>
            <w:r>
              <w:rPr>
                <w:color w:val="auto"/>
              </w:rPr>
              <w:t xml:space="preserve">Piedāvājums, kura kopējā līgumcena pārsniedz paredzamo līgumcenu, tiek atzīts par Pasūtītāja finansiālajām iespējām neatbilstošu un netiek tālāk vērtēts. Ja piedāvājums varētu būt nepamatoti lēts, Pasūtītājs pieprasa rakstisku skaidrojumu par cenas veidošanos, nosakot termiņu, kas nav īsāks par 5 darbdienām. / </w:t>
            </w:r>
          </w:p>
          <w:p w14:paraId="007F92F7">
            <w:pPr>
              <w:pStyle w:val="28"/>
              <w:jc w:val="left"/>
              <w:rPr>
                <w:color w:val="auto"/>
              </w:rPr>
            </w:pPr>
            <w:r>
              <w:rPr>
                <w:i/>
                <w:iCs/>
                <w:color w:val="auto"/>
              </w:rPr>
              <w:t>An offer whose total contract price exceeds the estimated contract price is deemed to exceed the contracting authority’s financial means and is not evaluated further. If an offer appears abnormally low, the contracting authority requests a written explanation of how the price was formed, setting a deadline of no less than 5 working days.</w:t>
            </w:r>
          </w:p>
        </w:tc>
      </w:tr>
      <w:tr w14:paraId="1DF122AA">
        <w:tc>
          <w:tcPr>
            <w:tcW w:w="899" w:type="dxa"/>
          </w:tcPr>
          <w:p w14:paraId="0DFA654E">
            <w:pPr>
              <w:pStyle w:val="28"/>
              <w:jc w:val="left"/>
              <w:rPr>
                <w:color w:val="auto"/>
              </w:rPr>
            </w:pPr>
            <w:r>
              <w:rPr>
                <w:color w:val="auto"/>
              </w:rPr>
              <w:t>3.10.</w:t>
            </w:r>
          </w:p>
        </w:tc>
        <w:tc>
          <w:tcPr>
            <w:tcW w:w="9701" w:type="dxa"/>
          </w:tcPr>
          <w:p w14:paraId="65343DB2">
            <w:pPr>
              <w:pStyle w:val="28"/>
              <w:jc w:val="left"/>
              <w:rPr>
                <w:color w:val="auto"/>
              </w:rPr>
            </w:pPr>
            <w:r>
              <w:rPr>
                <w:color w:val="auto"/>
              </w:rPr>
              <w:t xml:space="preserve">Pasūtītājs ir tiesīgs veikt sarunas saskaņā ar Ministru kabineta noteikumu Nr. 104 25. un 26. punktu, nemainot iepirkuma priekšmetu, tehniskās specifikācijas minimālās prasības un izvēles kritēriju; sarunas tiek protokolētas. Pēc sarunu pabeigšanas Pretendents apstiprina savu piedāvājumu termiņā, kas nav īsāks par 3 darbdienām. / </w:t>
            </w:r>
          </w:p>
          <w:p w14:paraId="3B56470E">
            <w:pPr>
              <w:pStyle w:val="28"/>
              <w:jc w:val="left"/>
              <w:rPr>
                <w:color w:val="auto"/>
              </w:rPr>
            </w:pPr>
            <w:r>
              <w:rPr>
                <w:i/>
                <w:iCs/>
                <w:color w:val="auto"/>
              </w:rPr>
              <w:t>The contracting authority may hold negotiations under paragraphs 25 and 26 of Cabinet Regulation No. 104 without changing the subject matter of the procurement, the minimum requirements of the technical specification or the award criterion; negotiations are minuted. After the negotiations, the tenderer confirms its offer within a period of no less than 3 working days.</w:t>
            </w:r>
          </w:p>
        </w:tc>
      </w:tr>
      <w:tr w14:paraId="3B6F0E2B">
        <w:tc>
          <w:tcPr>
            <w:tcW w:w="899" w:type="dxa"/>
          </w:tcPr>
          <w:p w14:paraId="03A2F15B">
            <w:pPr>
              <w:pStyle w:val="28"/>
              <w:jc w:val="left"/>
              <w:rPr>
                <w:color w:val="auto"/>
              </w:rPr>
            </w:pPr>
            <w:r>
              <w:rPr>
                <w:color w:val="auto"/>
              </w:rPr>
              <w:t>3.11.</w:t>
            </w:r>
          </w:p>
        </w:tc>
        <w:tc>
          <w:tcPr>
            <w:tcW w:w="9701" w:type="dxa"/>
          </w:tcPr>
          <w:p w14:paraId="6E8A68DC">
            <w:pPr>
              <w:pStyle w:val="28"/>
              <w:jc w:val="left"/>
              <w:rPr>
                <w:color w:val="auto"/>
              </w:rPr>
            </w:pPr>
            <w:r>
              <w:rPr>
                <w:color w:val="auto"/>
              </w:rPr>
              <w:t>Formālus noformējuma trūkumus, kas neietekmē piedāvājuma saturu, Pasūtītājs var atzīt par nebūtiskiem</w:t>
            </w:r>
            <w:r>
              <w:rPr>
                <w:rFonts w:hint="default"/>
                <w:color w:val="auto"/>
                <w:lang w:val="lv-LV"/>
              </w:rPr>
              <w:t>, to labot,</w:t>
            </w:r>
            <w:r>
              <w:rPr>
                <w:color w:val="auto"/>
              </w:rPr>
              <w:t xml:space="preserve"> </w:t>
            </w:r>
            <w:r>
              <w:rPr>
                <w:rFonts w:hint="default"/>
                <w:color w:val="auto"/>
                <w:lang w:val="lv-LV"/>
              </w:rPr>
              <w:t>vai</w:t>
            </w:r>
            <w:r>
              <w:rPr>
                <w:color w:val="auto"/>
              </w:rPr>
              <w:t xml:space="preserve"> lūgt novērst termiņā, kas nav īsāks par 3 darbdienām. Aritmētiskās kļūdas Pasūtītājs labo, par pareizu uzskatot atsevišķo pozīciju summu, un informē Pretendentu. / </w:t>
            </w:r>
          </w:p>
          <w:p w14:paraId="3FDE7C39">
            <w:pPr>
              <w:pStyle w:val="28"/>
              <w:jc w:val="left"/>
              <w:rPr>
                <w:color w:val="auto"/>
              </w:rPr>
            </w:pPr>
            <w:r>
              <w:rPr>
                <w:i/>
                <w:iCs/>
                <w:color w:val="auto"/>
              </w:rPr>
              <w:t>Formal deficiencies that do not affect the substance of the offer may be regarded as non-material</w:t>
            </w:r>
            <w:r>
              <w:rPr>
                <w:rFonts w:hint="default"/>
                <w:i/>
                <w:iCs/>
                <w:color w:val="auto"/>
                <w:lang w:val="lv-LV"/>
              </w:rPr>
              <w:t xml:space="preserve">, </w:t>
            </w:r>
            <w:r>
              <w:rPr>
                <w:i/>
                <w:iCs/>
                <w:color w:val="auto"/>
              </w:rPr>
              <w:t>are corrected</w:t>
            </w:r>
            <w:r>
              <w:rPr>
                <w:rFonts w:hint="default"/>
                <w:i/>
                <w:iCs/>
                <w:color w:val="auto"/>
                <w:lang w:val="lv-LV"/>
              </w:rPr>
              <w:t xml:space="preserve"> or</w:t>
            </w:r>
            <w:r>
              <w:rPr>
                <w:i/>
                <w:iCs/>
                <w:color w:val="auto"/>
              </w:rPr>
              <w:t xml:space="preserve"> the contracting authority may ask for them to be remedied within a period of no less than 3 working days. Arithmetic errors are corrected by treating the sum of the individual items as correct, and the tenderer is informed.</w:t>
            </w:r>
          </w:p>
        </w:tc>
      </w:tr>
      <w:tr w14:paraId="455A2F5B">
        <w:tc>
          <w:tcPr>
            <w:tcW w:w="899" w:type="dxa"/>
          </w:tcPr>
          <w:p w14:paraId="7A7FB69F">
            <w:pPr>
              <w:pStyle w:val="28"/>
              <w:jc w:val="left"/>
              <w:rPr>
                <w:color w:val="auto"/>
              </w:rPr>
            </w:pPr>
            <w:r>
              <w:rPr>
                <w:color w:val="auto"/>
              </w:rPr>
              <w:t>3.12.</w:t>
            </w:r>
          </w:p>
        </w:tc>
        <w:tc>
          <w:tcPr>
            <w:tcW w:w="9701" w:type="dxa"/>
          </w:tcPr>
          <w:p w14:paraId="5713FE21">
            <w:pPr>
              <w:pStyle w:val="28"/>
              <w:jc w:val="left"/>
              <w:rPr>
                <w:color w:val="auto"/>
              </w:rPr>
            </w:pPr>
            <w:r>
              <w:rPr>
                <w:color w:val="auto"/>
              </w:rPr>
              <w:t>Par lēmumu Pasūtītājs rakstveidā informē visus Pretendentus 5 darbdienu laikā, katram neizraudzītajam Pretendentam norādot pamatojumu. Pasūtītājs ir tiesīgs jebkurā brīdī pārtraukt procedūru. Iebildumu par procedūras norisi var iesniegt Pasūtītājam rakstiski; atbildi Pasūtītājs sniedz 10 darbdienu laikā. Procedūra nav pārsūdzama Iepirkumu uzraudzības birojā, jo tā nav publiska iepirkuma procedūra Publisko iepirkumu likuma izpratnē. /</w:t>
            </w:r>
          </w:p>
          <w:p w14:paraId="7211993A">
            <w:pPr>
              <w:pStyle w:val="28"/>
              <w:jc w:val="left"/>
              <w:rPr>
                <w:color w:val="auto"/>
              </w:rPr>
            </w:pPr>
            <w:r>
              <w:rPr>
                <w:i/>
                <w:iCs/>
                <w:color w:val="auto"/>
              </w:rPr>
              <w:t>The contracting authority notifies all tenderers of its decision in writing within 5 working days, stating the reasons to each unsuccessful tenderer. The contracting authority may terminate the procedure at any time. Objections concerning the conduct of the procedure may be submitted to the contracting authority in writing; a reply is given within 10 working days. The procedure is not subject to appeal before the Procurement Monitoring Bureau, as it is not a public procurement procedure within the meaning of the Public Procurement Law.</w:t>
            </w:r>
          </w:p>
        </w:tc>
      </w:tr>
      <w:tr w14:paraId="3EEF85DC">
        <w:tc>
          <w:tcPr>
            <w:tcW w:w="899" w:type="dxa"/>
          </w:tcPr>
          <w:p w14:paraId="42187F5C">
            <w:pPr>
              <w:pStyle w:val="28"/>
              <w:jc w:val="left"/>
              <w:rPr>
                <w:color w:val="auto"/>
              </w:rPr>
            </w:pPr>
            <w:r>
              <w:rPr>
                <w:color w:val="auto"/>
              </w:rPr>
              <w:t>3.13.</w:t>
            </w:r>
          </w:p>
        </w:tc>
        <w:tc>
          <w:tcPr>
            <w:tcW w:w="9701" w:type="dxa"/>
          </w:tcPr>
          <w:p w14:paraId="36AA3309">
            <w:pPr>
              <w:pStyle w:val="28"/>
              <w:jc w:val="left"/>
              <w:rPr>
                <w:color w:val="auto"/>
              </w:rPr>
            </w:pPr>
            <w:r>
              <w:rPr>
                <w:color w:val="auto"/>
              </w:rPr>
              <w:t xml:space="preserve">Visus piedāvājuma sagatavošanas un iesniegšanas izdevumus sedz Pretendents. Piedāvājuma nodrošinājums un saistību izpildes nodrošinājums nav paredzēts. / </w:t>
            </w:r>
          </w:p>
          <w:p w14:paraId="03056CF5">
            <w:pPr>
              <w:pStyle w:val="28"/>
              <w:jc w:val="left"/>
              <w:rPr>
                <w:color w:val="auto"/>
              </w:rPr>
            </w:pPr>
            <w:r>
              <w:rPr>
                <w:i/>
                <w:iCs/>
                <w:color w:val="auto"/>
              </w:rPr>
              <w:t>The tenderer bears all costs of preparing and submitting the offer. No tender security or performance security is required.</w:t>
            </w:r>
          </w:p>
        </w:tc>
      </w:tr>
      <w:bookmarkEnd w:id="3"/>
    </w:tbl>
    <w:p w14:paraId="191F40C2">
      <w:pPr>
        <w:pStyle w:val="4"/>
        <w:rPr>
          <w:color w:val="auto"/>
        </w:rPr>
      </w:pPr>
      <w:bookmarkStart w:id="4" w:name="X0ed41497d9af3c43f38e3b0a7f77edf3efcb839"/>
      <w:r>
        <w:rPr>
          <w:color w:val="auto"/>
        </w:rPr>
        <w:t>4. Vispārīgās prasības un Pretendenta apliecinājumi / General requirements and tenderer’s declarations</w:t>
      </w:r>
    </w:p>
    <w:p w14:paraId="5D0C8CB4">
      <w:pPr>
        <w:pStyle w:val="27"/>
        <w:rPr>
          <w:color w:val="auto"/>
        </w:rPr>
      </w:pPr>
      <w:r>
        <w:rPr>
          <w:color w:val="auto"/>
        </w:rPr>
        <w:t>Pretendents aizpilda ceturto kolonnu: ieraksta “jā” / “yes”, konkrētu vērtību vai atzīmi. Tukša aile tiek uzskatīta par prasības neizpildi.</w:t>
      </w:r>
    </w:p>
    <w:p w14:paraId="0849E090">
      <w:pPr>
        <w:pStyle w:val="3"/>
        <w:rPr>
          <w:color w:val="auto"/>
        </w:rPr>
      </w:pPr>
      <w:r>
        <w:rPr>
          <w:i/>
          <w:iCs/>
          <w:color w:val="auto"/>
        </w:rPr>
        <w:t>The tenderer fills in the fourth column, entering “yes”, a specific value or a mark. A blank cell is treated as non-compliance with the requirement.</w:t>
      </w:r>
    </w:p>
    <w:p w14:paraId="0D02A9DD">
      <w:pPr>
        <w:pStyle w:val="3"/>
        <w:rPr>
          <w:color w:val="auto"/>
        </w:rPr>
      </w:pPr>
      <w:r>
        <w:rPr>
          <w:b/>
          <w:bCs/>
          <w:color w:val="auto"/>
        </w:rPr>
        <w:t>Pretendenta dati / Tenderer’s details</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699"/>
        <w:gridCol w:w="3301"/>
        <w:gridCol w:w="2900"/>
      </w:tblGrid>
      <w:tr w14:paraId="6B0B91FA">
        <w:trPr>
          <w:tblHeader/>
        </w:trPr>
        <w:tc>
          <w:p w14:paraId="57524A44">
            <w:pPr>
              <w:pStyle w:val="28"/>
              <w:jc w:val="left"/>
              <w:rPr>
                <w:color w:val="auto"/>
              </w:rPr>
            </w:pPr>
            <w:r>
              <w:rPr>
                <w:color w:val="auto"/>
              </w:rPr>
              <w:t>#</w:t>
            </w:r>
          </w:p>
        </w:tc>
        <w:tc>
          <w:tcPr>
            <w:tcW w:w="3699" w:type="dxa"/>
          </w:tcPr>
          <w:p w14:paraId="0832F71C">
            <w:pPr>
              <w:pStyle w:val="28"/>
              <w:jc w:val="left"/>
              <w:rPr>
                <w:color w:val="auto"/>
              </w:rPr>
            </w:pPr>
            <w:r>
              <w:rPr>
                <w:color w:val="auto"/>
              </w:rPr>
              <w:t>Prasība / Characteristic</w:t>
            </w:r>
          </w:p>
        </w:tc>
        <w:tc>
          <w:tcPr>
            <w:tcW w:w="3301" w:type="dxa"/>
          </w:tcPr>
          <w:p w14:paraId="73241ED5">
            <w:pPr>
              <w:pStyle w:val="28"/>
              <w:jc w:val="left"/>
              <w:rPr>
                <w:color w:val="auto"/>
              </w:rPr>
            </w:pPr>
            <w:r>
              <w:rPr>
                <w:color w:val="auto"/>
              </w:rPr>
              <w:t>Saturs / Requirement</w:t>
            </w:r>
          </w:p>
        </w:tc>
        <w:tc>
          <w:p w14:paraId="30203655">
            <w:pPr>
              <w:pStyle w:val="28"/>
              <w:jc w:val="left"/>
              <w:rPr>
                <w:color w:val="auto"/>
              </w:rPr>
            </w:pPr>
            <w:r>
              <w:rPr>
                <w:color w:val="auto"/>
              </w:rPr>
              <w:t>Pretendenta atbilde / Tenderer’s response</w:t>
            </w:r>
          </w:p>
        </w:tc>
      </w:tr>
      <w:tr w14:paraId="39504C93">
        <w:tc>
          <w:p w14:paraId="2BCA2E8F">
            <w:pPr>
              <w:pStyle w:val="28"/>
              <w:jc w:val="left"/>
              <w:rPr>
                <w:color w:val="auto"/>
              </w:rPr>
            </w:pPr>
            <w:r>
              <w:rPr>
                <w:color w:val="auto"/>
              </w:rPr>
              <w:t>4.1</w:t>
            </w:r>
          </w:p>
        </w:tc>
        <w:tc>
          <w:tcPr>
            <w:tcW w:w="3699" w:type="dxa"/>
          </w:tcPr>
          <w:p w14:paraId="18EAAA9A">
            <w:pPr>
              <w:pStyle w:val="28"/>
              <w:jc w:val="left"/>
              <w:rPr>
                <w:color w:val="auto"/>
              </w:rPr>
            </w:pPr>
            <w:r>
              <w:rPr>
                <w:color w:val="auto"/>
              </w:rPr>
              <w:t>Nosaukums, reģistrācijas Nr., reģistrācijas valsts / Name, registration number, country of registration</w:t>
            </w:r>
          </w:p>
        </w:tc>
        <w:tc>
          <w:tcPr>
            <w:tcW w:w="3301" w:type="dxa"/>
          </w:tcPr>
          <w:p w14:paraId="55680775">
            <w:pPr>
              <w:pStyle w:val="28"/>
              <w:jc w:val="left"/>
              <w:rPr>
                <w:color w:val="auto"/>
              </w:rPr>
            </w:pPr>
            <w:r>
              <w:rPr>
                <w:color w:val="auto"/>
              </w:rPr>
              <w:t>Aizpilda Pretendents /</w:t>
            </w:r>
          </w:p>
          <w:p w14:paraId="63A11AFE">
            <w:pPr>
              <w:pStyle w:val="28"/>
              <w:jc w:val="left"/>
              <w:rPr>
                <w:color w:val="auto"/>
              </w:rPr>
            </w:pPr>
            <w:r>
              <w:rPr>
                <w:color w:val="auto"/>
              </w:rPr>
              <w:t xml:space="preserve"> </w:t>
            </w:r>
            <w:r>
              <w:rPr>
                <w:i/>
                <w:iCs/>
                <w:color w:val="auto"/>
              </w:rPr>
              <w:t>To be filled in by the tenderer</w:t>
            </w:r>
          </w:p>
        </w:tc>
        <w:tc>
          <w:p w14:paraId="03CE5FDB">
            <w:pPr>
              <w:pStyle w:val="28"/>
              <w:rPr>
                <w:color w:val="auto"/>
              </w:rPr>
            </w:pPr>
          </w:p>
        </w:tc>
      </w:tr>
      <w:tr w14:paraId="08B31914">
        <w:tc>
          <w:p w14:paraId="17C39786">
            <w:pPr>
              <w:pStyle w:val="28"/>
              <w:jc w:val="left"/>
              <w:rPr>
                <w:color w:val="auto"/>
              </w:rPr>
            </w:pPr>
            <w:r>
              <w:rPr>
                <w:color w:val="auto"/>
              </w:rPr>
              <w:t>4.2</w:t>
            </w:r>
          </w:p>
        </w:tc>
        <w:tc>
          <w:tcPr>
            <w:tcW w:w="3699" w:type="dxa"/>
          </w:tcPr>
          <w:p w14:paraId="55D4F163">
            <w:pPr>
              <w:pStyle w:val="28"/>
              <w:jc w:val="left"/>
              <w:rPr>
                <w:color w:val="auto"/>
              </w:rPr>
            </w:pPr>
            <w:r>
              <w:rPr>
                <w:color w:val="auto"/>
              </w:rPr>
              <w:t>Juridiskā adrese; banka un konta Nr. (IBAN) / Legal address; bank and account number (IBAN)</w:t>
            </w:r>
          </w:p>
        </w:tc>
        <w:tc>
          <w:tcPr>
            <w:tcW w:w="3301" w:type="dxa"/>
          </w:tcPr>
          <w:p w14:paraId="2BBAB467">
            <w:pPr>
              <w:pStyle w:val="28"/>
              <w:jc w:val="left"/>
              <w:rPr>
                <w:color w:val="auto"/>
              </w:rPr>
            </w:pPr>
            <w:r>
              <w:rPr>
                <w:color w:val="auto"/>
              </w:rPr>
              <w:t xml:space="preserve">Aizpilda Pretendents / </w:t>
            </w:r>
          </w:p>
          <w:p w14:paraId="100A66D6">
            <w:pPr>
              <w:pStyle w:val="28"/>
              <w:jc w:val="left"/>
              <w:rPr>
                <w:color w:val="auto"/>
              </w:rPr>
            </w:pPr>
            <w:r>
              <w:rPr>
                <w:i/>
                <w:iCs/>
                <w:color w:val="auto"/>
              </w:rPr>
              <w:t>To be filled in by the tenderer</w:t>
            </w:r>
          </w:p>
        </w:tc>
        <w:tc>
          <w:p w14:paraId="71BBA67A">
            <w:pPr>
              <w:pStyle w:val="28"/>
              <w:rPr>
                <w:color w:val="auto"/>
              </w:rPr>
            </w:pPr>
          </w:p>
        </w:tc>
      </w:tr>
      <w:tr w14:paraId="158501A4">
        <w:tc>
          <w:p w14:paraId="2990CF00">
            <w:pPr>
              <w:pStyle w:val="28"/>
              <w:jc w:val="left"/>
              <w:rPr>
                <w:color w:val="auto"/>
              </w:rPr>
            </w:pPr>
            <w:r>
              <w:rPr>
                <w:color w:val="auto"/>
              </w:rPr>
              <w:t>4.3</w:t>
            </w:r>
          </w:p>
        </w:tc>
        <w:tc>
          <w:tcPr>
            <w:tcW w:w="3699" w:type="dxa"/>
          </w:tcPr>
          <w:p w14:paraId="26C75F76">
            <w:pPr>
              <w:pStyle w:val="28"/>
              <w:jc w:val="left"/>
              <w:rPr>
                <w:color w:val="auto"/>
              </w:rPr>
            </w:pPr>
            <w:r>
              <w:rPr>
                <w:color w:val="auto"/>
              </w:rPr>
              <w:t>Kontaktpersona: vārds, uzvārds, amats, tālrunis, e-pasts / Contact person: name, position, phone, e-mail</w:t>
            </w:r>
          </w:p>
        </w:tc>
        <w:tc>
          <w:tcPr>
            <w:tcW w:w="3301" w:type="dxa"/>
          </w:tcPr>
          <w:p w14:paraId="3C9D0615">
            <w:pPr>
              <w:pStyle w:val="28"/>
              <w:jc w:val="left"/>
              <w:rPr>
                <w:color w:val="auto"/>
              </w:rPr>
            </w:pPr>
            <w:r>
              <w:rPr>
                <w:color w:val="auto"/>
              </w:rPr>
              <w:t xml:space="preserve">Aizpilda Pretendents / </w:t>
            </w:r>
          </w:p>
          <w:p w14:paraId="4E69EDF2">
            <w:pPr>
              <w:pStyle w:val="28"/>
              <w:jc w:val="left"/>
              <w:rPr>
                <w:color w:val="auto"/>
              </w:rPr>
            </w:pPr>
            <w:r>
              <w:rPr>
                <w:i/>
                <w:iCs/>
                <w:color w:val="auto"/>
              </w:rPr>
              <w:t>To be filled in by the tenderer</w:t>
            </w:r>
          </w:p>
        </w:tc>
        <w:tc>
          <w:p w14:paraId="111AC378">
            <w:pPr>
              <w:pStyle w:val="28"/>
              <w:rPr>
                <w:color w:val="auto"/>
              </w:rPr>
            </w:pPr>
          </w:p>
        </w:tc>
      </w:tr>
      <w:tr w14:paraId="270EBFE5">
        <w:tc>
          <w:p w14:paraId="2E0BF097">
            <w:pPr>
              <w:pStyle w:val="28"/>
              <w:jc w:val="left"/>
              <w:rPr>
                <w:color w:val="auto"/>
              </w:rPr>
            </w:pPr>
            <w:r>
              <w:rPr>
                <w:color w:val="auto"/>
              </w:rPr>
              <w:t>4.4</w:t>
            </w:r>
          </w:p>
        </w:tc>
        <w:tc>
          <w:tcPr>
            <w:tcW w:w="3699" w:type="dxa"/>
          </w:tcPr>
          <w:p w14:paraId="174F9EC3">
            <w:pPr>
              <w:pStyle w:val="28"/>
              <w:jc w:val="left"/>
              <w:rPr>
                <w:color w:val="auto"/>
              </w:rPr>
            </w:pPr>
            <w:r>
              <w:rPr>
                <w:color w:val="auto"/>
              </w:rPr>
              <w:t>Paraksttiesīgā persona; ja piedāvājumu paraksta pilnvarotā persona – pilnvaras Nr. un datums / Authorised signatory; if signed by a proxy – number and date of the power of attorney</w:t>
            </w:r>
          </w:p>
        </w:tc>
        <w:tc>
          <w:tcPr>
            <w:tcW w:w="3301" w:type="dxa"/>
          </w:tcPr>
          <w:p w14:paraId="0DD9638C">
            <w:pPr>
              <w:pStyle w:val="28"/>
              <w:jc w:val="left"/>
              <w:rPr>
                <w:color w:val="auto"/>
              </w:rPr>
            </w:pPr>
            <w:r>
              <w:rPr>
                <w:color w:val="auto"/>
              </w:rPr>
              <w:t xml:space="preserve">Aizpilda Pretendents / </w:t>
            </w:r>
          </w:p>
          <w:p w14:paraId="79378145">
            <w:pPr>
              <w:pStyle w:val="28"/>
              <w:jc w:val="left"/>
              <w:rPr>
                <w:color w:val="auto"/>
              </w:rPr>
            </w:pPr>
            <w:r>
              <w:rPr>
                <w:i/>
                <w:iCs/>
                <w:color w:val="auto"/>
              </w:rPr>
              <w:t>To be filled in by the tenderer</w:t>
            </w:r>
          </w:p>
        </w:tc>
        <w:tc>
          <w:p w14:paraId="1C9F6FFF">
            <w:pPr>
              <w:pStyle w:val="28"/>
              <w:rPr>
                <w:color w:val="auto"/>
              </w:rPr>
            </w:pPr>
          </w:p>
        </w:tc>
      </w:tr>
      <w:tr w14:paraId="758B0628">
        <w:tc>
          <w:p w14:paraId="1FCE4AFF">
            <w:pPr>
              <w:pStyle w:val="28"/>
              <w:jc w:val="left"/>
              <w:rPr>
                <w:color w:val="auto"/>
              </w:rPr>
            </w:pPr>
            <w:r>
              <w:rPr>
                <w:color w:val="auto"/>
              </w:rPr>
              <w:t>4.5</w:t>
            </w:r>
          </w:p>
        </w:tc>
        <w:tc>
          <w:tcPr>
            <w:tcW w:w="3699" w:type="dxa"/>
          </w:tcPr>
          <w:p w14:paraId="095468FC">
            <w:pPr>
              <w:pStyle w:val="28"/>
              <w:jc w:val="left"/>
              <w:rPr>
                <w:color w:val="auto"/>
              </w:rPr>
            </w:pPr>
            <w:r>
              <w:rPr>
                <w:color w:val="auto"/>
              </w:rPr>
              <w:t>Piedāvājumu iesniedz viens piegādātājs vai personu apvienība / The offer is submitted by a single supplier or a consortium</w:t>
            </w:r>
          </w:p>
        </w:tc>
        <w:tc>
          <w:tcPr>
            <w:tcW w:w="3301" w:type="dxa"/>
          </w:tcPr>
          <w:p w14:paraId="23C130FA">
            <w:pPr>
              <w:pStyle w:val="28"/>
              <w:jc w:val="left"/>
              <w:rPr>
                <w:color w:val="auto"/>
              </w:rPr>
            </w:pPr>
            <w:r>
              <w:rPr>
                <w:color w:val="auto"/>
              </w:rPr>
              <w:t xml:space="preserve">Norāda “viens piegādātājs” vai uzskaita personu apvienības dalībniekus ar veicamo darbu daļu procentos / </w:t>
            </w:r>
          </w:p>
          <w:p w14:paraId="736A8AA0">
            <w:pPr>
              <w:pStyle w:val="28"/>
              <w:jc w:val="left"/>
              <w:rPr>
                <w:color w:val="auto"/>
              </w:rPr>
            </w:pPr>
            <w:r>
              <w:rPr>
                <w:i/>
                <w:iCs/>
                <w:color w:val="auto"/>
              </w:rPr>
              <w:t>State “single supplier” or list the consortium members together with their share of the work as a percentage</w:t>
            </w:r>
          </w:p>
        </w:tc>
        <w:tc>
          <w:p w14:paraId="0B4AE831">
            <w:pPr>
              <w:pStyle w:val="28"/>
              <w:rPr>
                <w:color w:val="auto"/>
              </w:rPr>
            </w:pPr>
          </w:p>
        </w:tc>
      </w:tr>
    </w:tbl>
    <w:p w14:paraId="1ED4CDC1">
      <w:pPr>
        <w:pStyle w:val="3"/>
        <w:rPr>
          <w:color w:val="auto"/>
        </w:rPr>
      </w:pPr>
      <w:r>
        <w:rPr>
          <w:b/>
          <w:bCs/>
          <w:color w:val="auto"/>
        </w:rPr>
        <w:t>Juridiskais statuss / Legal status</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2600"/>
        <w:gridCol w:w="4400"/>
        <w:gridCol w:w="2900"/>
      </w:tblGrid>
      <w:tr w14:paraId="7B819D39">
        <w:trPr>
          <w:tblHeader/>
        </w:trPr>
        <w:tc>
          <w:p w14:paraId="039C6B7E">
            <w:pPr>
              <w:pStyle w:val="28"/>
              <w:jc w:val="left"/>
              <w:rPr>
                <w:color w:val="auto"/>
              </w:rPr>
            </w:pPr>
            <w:r>
              <w:rPr>
                <w:color w:val="auto"/>
              </w:rPr>
              <w:t>#</w:t>
            </w:r>
          </w:p>
        </w:tc>
        <w:tc>
          <w:p w14:paraId="3DE78057">
            <w:pPr>
              <w:pStyle w:val="28"/>
              <w:jc w:val="left"/>
              <w:rPr>
                <w:color w:val="auto"/>
              </w:rPr>
            </w:pPr>
            <w:r>
              <w:rPr>
                <w:color w:val="auto"/>
              </w:rPr>
              <w:t>Prasība / Characteristic</w:t>
            </w:r>
          </w:p>
        </w:tc>
        <w:tc>
          <w:p w14:paraId="12ECD835">
            <w:pPr>
              <w:pStyle w:val="28"/>
              <w:jc w:val="left"/>
              <w:rPr>
                <w:color w:val="auto"/>
              </w:rPr>
            </w:pPr>
            <w:r>
              <w:rPr>
                <w:color w:val="auto"/>
              </w:rPr>
              <w:t>Saturs / Requirement</w:t>
            </w:r>
          </w:p>
        </w:tc>
        <w:tc>
          <w:p w14:paraId="2707B110">
            <w:pPr>
              <w:pStyle w:val="28"/>
              <w:jc w:val="left"/>
              <w:rPr>
                <w:color w:val="auto"/>
              </w:rPr>
            </w:pPr>
            <w:r>
              <w:rPr>
                <w:color w:val="auto"/>
              </w:rPr>
              <w:t>Pretendenta atbilde / Tenderer’s response</w:t>
            </w:r>
          </w:p>
        </w:tc>
      </w:tr>
      <w:tr w14:paraId="2CFF9574">
        <w:tc>
          <w:p w14:paraId="62A75657">
            <w:pPr>
              <w:pStyle w:val="28"/>
              <w:jc w:val="left"/>
              <w:rPr>
                <w:color w:val="auto"/>
              </w:rPr>
            </w:pPr>
            <w:r>
              <w:rPr>
                <w:color w:val="auto"/>
              </w:rPr>
              <w:t>4.6</w:t>
            </w:r>
          </w:p>
        </w:tc>
        <w:tc>
          <w:p w14:paraId="18B90DD1">
            <w:pPr>
              <w:pStyle w:val="28"/>
              <w:jc w:val="left"/>
              <w:rPr>
                <w:color w:val="auto"/>
              </w:rPr>
            </w:pPr>
            <w:r>
              <w:rPr>
                <w:color w:val="auto"/>
              </w:rPr>
              <w:t>Reģistrācija un tiesības veikt darbību / Registration and right to operate</w:t>
            </w:r>
          </w:p>
        </w:tc>
        <w:tc>
          <w:p w14:paraId="000D018E">
            <w:pPr>
              <w:pStyle w:val="28"/>
              <w:jc w:val="left"/>
              <w:rPr>
                <w:color w:val="auto"/>
              </w:rPr>
            </w:pPr>
            <w:r>
              <w:rPr>
                <w:color w:val="auto"/>
              </w:rPr>
              <w:t xml:space="preserve">Pretendents (personu apvienībā – katrs dalībnieks) ir reģistrēts, licencēts vai sertificēts atbilstoši savas valsts prasībām un ir tiesīgs veikt līguma izpildei nepieciešamo saimniecisko darbību / </w:t>
            </w:r>
          </w:p>
          <w:p w14:paraId="3B1297EB">
            <w:pPr>
              <w:pStyle w:val="28"/>
              <w:jc w:val="left"/>
              <w:rPr>
                <w:color w:val="auto"/>
              </w:rPr>
            </w:pPr>
            <w:r>
              <w:rPr>
                <w:i/>
                <w:iCs/>
                <w:color w:val="auto"/>
              </w:rPr>
              <w:t>The tenderer (in a consortium, each member) is registered, licensed or certified in accordance with the requirements of its country and is entitled to carry out the economic activity necessary for performing the contract</w:t>
            </w:r>
          </w:p>
        </w:tc>
        <w:tc>
          <w:p w14:paraId="2F020F17">
            <w:pPr>
              <w:pStyle w:val="28"/>
              <w:rPr>
                <w:color w:val="auto"/>
              </w:rPr>
            </w:pPr>
          </w:p>
        </w:tc>
      </w:tr>
      <w:tr w14:paraId="74E57ED7">
        <w:tc>
          <w:p w14:paraId="47152C1E">
            <w:pPr>
              <w:pStyle w:val="28"/>
              <w:jc w:val="left"/>
              <w:rPr>
                <w:color w:val="auto"/>
              </w:rPr>
            </w:pPr>
            <w:r>
              <w:rPr>
                <w:color w:val="auto"/>
              </w:rPr>
              <w:t>4.7</w:t>
            </w:r>
          </w:p>
        </w:tc>
        <w:tc>
          <w:p w14:paraId="19F086F5">
            <w:pPr>
              <w:pStyle w:val="28"/>
              <w:jc w:val="left"/>
              <w:rPr>
                <w:color w:val="auto"/>
              </w:rPr>
            </w:pPr>
            <w:r>
              <w:rPr>
                <w:color w:val="auto"/>
              </w:rPr>
              <w:t>Reģistrācijas dokuments / Registration document</w:t>
            </w:r>
          </w:p>
        </w:tc>
        <w:tc>
          <w:p w14:paraId="48B8806B">
            <w:pPr>
              <w:pStyle w:val="28"/>
              <w:jc w:val="left"/>
              <w:rPr>
                <w:color w:val="auto"/>
              </w:rPr>
            </w:pPr>
            <w:r>
              <w:rPr>
                <w:color w:val="auto"/>
              </w:rPr>
              <w:t xml:space="preserve">Latvijā reģistrētam Pretendentam nav jāiesniedz – Pasūtītājs pārbauda Uzņēmumu reģistra datos. Ārvalstīs reģistrēts Pretendents pievieno reģistrācijas dokumenta kopiju; tas ir vienīgais papildus iesniedzamais dokuments / </w:t>
            </w:r>
          </w:p>
          <w:p w14:paraId="4410B5A5">
            <w:pPr>
              <w:pStyle w:val="28"/>
              <w:jc w:val="left"/>
              <w:rPr>
                <w:color w:val="auto"/>
              </w:rPr>
            </w:pPr>
            <w:r>
              <w:rPr>
                <w:i/>
                <w:iCs/>
                <w:color w:val="auto"/>
              </w:rPr>
              <w:t>A tenderer registered in Latvia need not submit it – the contracting authority checks the Register of Enterprises. A tenderer registered abroad attaches a copy of its registration document; this is the only additional document required</w:t>
            </w:r>
          </w:p>
        </w:tc>
        <w:tc>
          <w:p w14:paraId="14779C04">
            <w:pPr>
              <w:pStyle w:val="28"/>
              <w:rPr>
                <w:color w:val="auto"/>
              </w:rPr>
            </w:pPr>
          </w:p>
        </w:tc>
      </w:tr>
    </w:tbl>
    <w:p w14:paraId="0D6A31E8">
      <w:pPr>
        <w:pStyle w:val="3"/>
        <w:rPr>
          <w:color w:val="auto"/>
        </w:rPr>
      </w:pPr>
      <w:r>
        <w:rPr>
          <w:b/>
          <w:bCs/>
          <w:color w:val="auto"/>
        </w:rPr>
        <w:t>Kvalifikācija / Qualification</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2600"/>
        <w:gridCol w:w="4400"/>
        <w:gridCol w:w="2900"/>
      </w:tblGrid>
      <w:tr w14:paraId="3E5820A8">
        <w:trPr>
          <w:tblHeader/>
        </w:trPr>
        <w:tc>
          <w:p w14:paraId="68DB233D">
            <w:pPr>
              <w:pStyle w:val="28"/>
              <w:jc w:val="left"/>
              <w:rPr>
                <w:color w:val="auto"/>
              </w:rPr>
            </w:pPr>
            <w:r>
              <w:rPr>
                <w:color w:val="auto"/>
              </w:rPr>
              <w:t>#</w:t>
            </w:r>
          </w:p>
        </w:tc>
        <w:tc>
          <w:p w14:paraId="1E818134">
            <w:pPr>
              <w:pStyle w:val="28"/>
              <w:jc w:val="left"/>
              <w:rPr>
                <w:color w:val="auto"/>
              </w:rPr>
            </w:pPr>
            <w:r>
              <w:rPr>
                <w:color w:val="auto"/>
              </w:rPr>
              <w:t>Prasība / Characteristic</w:t>
            </w:r>
          </w:p>
        </w:tc>
        <w:tc>
          <w:p w14:paraId="3F01D8BB">
            <w:pPr>
              <w:pStyle w:val="28"/>
              <w:jc w:val="left"/>
              <w:rPr>
                <w:color w:val="auto"/>
              </w:rPr>
            </w:pPr>
            <w:r>
              <w:rPr>
                <w:color w:val="auto"/>
              </w:rPr>
              <w:t>Saturs / Requirement</w:t>
            </w:r>
          </w:p>
        </w:tc>
        <w:tc>
          <w:p w14:paraId="1DBD1F9C">
            <w:pPr>
              <w:pStyle w:val="28"/>
              <w:jc w:val="left"/>
              <w:rPr>
                <w:color w:val="auto"/>
              </w:rPr>
            </w:pPr>
            <w:r>
              <w:rPr>
                <w:color w:val="auto"/>
              </w:rPr>
              <w:t>Pretendenta atbilde / Tenderer’s response</w:t>
            </w:r>
          </w:p>
        </w:tc>
      </w:tr>
      <w:tr w14:paraId="03589BFC">
        <w:tc>
          <w:p w14:paraId="6BBA3312">
            <w:pPr>
              <w:pStyle w:val="28"/>
              <w:jc w:val="left"/>
              <w:rPr>
                <w:color w:val="auto"/>
              </w:rPr>
            </w:pPr>
            <w:r>
              <w:rPr>
                <w:color w:val="auto"/>
              </w:rPr>
              <w:t>4.8</w:t>
            </w:r>
          </w:p>
        </w:tc>
        <w:tc>
          <w:p w14:paraId="1E9EE705">
            <w:pPr>
              <w:pStyle w:val="28"/>
              <w:jc w:val="left"/>
              <w:rPr>
                <w:color w:val="auto"/>
              </w:rPr>
            </w:pPr>
            <w:r>
              <w:rPr>
                <w:color w:val="auto"/>
              </w:rPr>
              <w:t>Finanšu apgrozījums / Financial turnover</w:t>
            </w:r>
          </w:p>
        </w:tc>
        <w:tc>
          <w:p w14:paraId="1940A3A9">
            <w:pPr>
              <w:pStyle w:val="28"/>
              <w:jc w:val="left"/>
              <w:rPr>
                <w:color w:val="auto"/>
              </w:rPr>
            </w:pPr>
            <w:r>
              <w:rPr>
                <w:color w:val="auto"/>
              </w:rPr>
              <w:t xml:space="preserve">Vidēji ne mazāk par </w:t>
            </w:r>
            <w:r>
              <w:rPr>
                <w:b/>
                <w:bCs/>
                <w:color w:val="auto"/>
              </w:rPr>
              <w:t>900 000 EUR</w:t>
            </w:r>
            <w:r>
              <w:rPr>
                <w:color w:val="auto"/>
              </w:rPr>
              <w:t xml:space="preserve"> bez PVN gadā pēdējos 3 noslēgtajos finanšu gados vai īsākā laikposmā, ja Pretendents dibināts vēlāk; personu apvienībai prasību var izpildīt dalībnieki kopā. Gada pārskati nav jāiesniedz; Pasūtītājs var tos pieprasīt no Pretendenta, kuram būtu piešķiramas līguma slēgšanas tiesības / </w:t>
            </w:r>
          </w:p>
          <w:p w14:paraId="5C2C805C">
            <w:pPr>
              <w:pStyle w:val="28"/>
              <w:jc w:val="left"/>
              <w:rPr>
                <w:color w:val="auto"/>
              </w:rPr>
            </w:pPr>
            <w:r>
              <w:rPr>
                <w:i/>
                <w:iCs/>
                <w:color w:val="auto"/>
              </w:rPr>
              <w:t>An average of no less than</w:t>
            </w:r>
            <w:r>
              <w:rPr>
                <w:color w:val="auto"/>
              </w:rPr>
              <w:t xml:space="preserve"> </w:t>
            </w:r>
            <w:r>
              <w:rPr>
                <w:b/>
                <w:bCs/>
                <w:i/>
                <w:iCs/>
                <w:color w:val="auto"/>
              </w:rPr>
              <w:t>EUR 900 000</w:t>
            </w:r>
            <w:r>
              <w:rPr>
                <w:color w:val="auto"/>
              </w:rPr>
              <w:t xml:space="preserve"> </w:t>
            </w:r>
            <w:r>
              <w:rPr>
                <w:i/>
                <w:iCs/>
                <w:color w:val="auto"/>
              </w:rPr>
              <w:t>excluding VAT per year over the last 3 closed financial years, or a shorter period if the tenderer was established later; in a consortium the requirement may be met by the members jointly. Annual reports need not be submitted; the contracting authority may request them from the tenderer to whom the contract would be awarded</w:t>
            </w:r>
          </w:p>
        </w:tc>
        <w:tc>
          <w:p w14:paraId="6A4DCEAD">
            <w:pPr>
              <w:pStyle w:val="28"/>
              <w:jc w:val="left"/>
              <w:rPr>
                <w:color w:val="auto"/>
              </w:rPr>
            </w:pPr>
            <w:r>
              <w:rPr>
                <w:color w:val="auto"/>
              </w:rPr>
              <w:t xml:space="preserve">Ierakstīt apgrozījumu par 3 gadiem un vidējo / </w:t>
            </w:r>
            <w:r>
              <w:rPr>
                <w:i/>
                <w:iCs/>
                <w:color w:val="auto"/>
              </w:rPr>
              <w:t>Enter the turnover for 3 years and the average</w:t>
            </w:r>
          </w:p>
        </w:tc>
      </w:tr>
      <w:tr w14:paraId="0468D5F7">
        <w:tc>
          <w:p w14:paraId="1A7AB4C2">
            <w:pPr>
              <w:pStyle w:val="28"/>
              <w:jc w:val="left"/>
              <w:rPr>
                <w:color w:val="auto"/>
              </w:rPr>
            </w:pPr>
            <w:r>
              <w:rPr>
                <w:color w:val="auto"/>
              </w:rPr>
              <w:t>4.9</w:t>
            </w:r>
          </w:p>
        </w:tc>
        <w:tc>
          <w:p w14:paraId="0A52601F">
            <w:pPr>
              <w:pStyle w:val="28"/>
              <w:jc w:val="left"/>
              <w:rPr>
                <w:color w:val="auto"/>
              </w:rPr>
            </w:pPr>
            <w:r>
              <w:rPr>
                <w:color w:val="auto"/>
              </w:rPr>
              <w:t>Pieredze automatizētās sistēmās / Experience in automated systems</w:t>
            </w:r>
          </w:p>
        </w:tc>
        <w:tc>
          <w:p w14:paraId="254EE200">
            <w:pPr>
              <w:pStyle w:val="28"/>
              <w:jc w:val="left"/>
              <w:rPr>
                <w:color w:val="auto"/>
              </w:rPr>
            </w:pPr>
            <w:r>
              <w:rPr>
                <w:color w:val="auto"/>
              </w:rPr>
              <w:t xml:space="preserve">Pēdējos 5 gados izveidota, uzstādīta un nodota ekspluatācijā vismaz </w:t>
            </w:r>
            <w:r>
              <w:rPr>
                <w:b/>
                <w:bCs/>
                <w:color w:val="auto"/>
              </w:rPr>
              <w:t>1</w:t>
            </w:r>
            <w:r>
              <w:rPr>
                <w:color w:val="auto"/>
              </w:rPr>
              <w:t xml:space="preserve"> robotizēta vai automatizēta metināšanas, virsmas apstrādes vai citas materiālu apstrādes sistēma, kas ietver rūpniecisko robotu vai portāla tipa pārvietošanas sistēmu ar vadības programmatūru, vērtībā vismaz 100 000 EUR bez PVN / </w:t>
            </w:r>
          </w:p>
          <w:p w14:paraId="6D49C126">
            <w:pPr>
              <w:pStyle w:val="28"/>
              <w:jc w:val="left"/>
              <w:rPr>
                <w:color w:val="auto"/>
              </w:rPr>
            </w:pPr>
            <w:r>
              <w:rPr>
                <w:i/>
                <w:iCs/>
                <w:color w:val="auto"/>
              </w:rPr>
              <w:t>Within the last 5 years, at least</w:t>
            </w:r>
            <w:r>
              <w:rPr>
                <w:color w:val="auto"/>
              </w:rPr>
              <w:t xml:space="preserve"> </w:t>
            </w:r>
            <w:r>
              <w:rPr>
                <w:b/>
                <w:bCs/>
                <w:i/>
                <w:iCs/>
                <w:color w:val="auto"/>
              </w:rPr>
              <w:t>1</w:t>
            </w:r>
            <w:r>
              <w:rPr>
                <w:color w:val="auto"/>
              </w:rPr>
              <w:t xml:space="preserve"> </w:t>
            </w:r>
            <w:r>
              <w:rPr>
                <w:i/>
                <w:iCs/>
                <w:color w:val="auto"/>
              </w:rPr>
              <w:t>robotised or automated welding, surface treatment or other material processing system has been built, installed and commissioned, comprising an industrial robot or a gantry-type motion system with control software, with a value of at least EUR 100 000 excluding VAT</w:t>
            </w:r>
          </w:p>
        </w:tc>
        <w:tc>
          <w:p w14:paraId="74EF24C6">
            <w:pPr>
              <w:pStyle w:val="28"/>
              <w:jc w:val="left"/>
              <w:rPr>
                <w:color w:val="auto"/>
              </w:rPr>
            </w:pPr>
            <w:r>
              <w:rPr>
                <w:color w:val="auto"/>
              </w:rPr>
              <w:t xml:space="preserve">Norādīt projekta Nr. no 5. sadaļas / </w:t>
            </w:r>
            <w:r>
              <w:rPr>
                <w:i/>
                <w:iCs/>
                <w:color w:val="auto"/>
              </w:rPr>
              <w:t>State the project number from section 5</w:t>
            </w:r>
          </w:p>
        </w:tc>
      </w:tr>
      <w:tr w14:paraId="639C3193">
        <w:tc>
          <w:p w14:paraId="75CA0871">
            <w:pPr>
              <w:pStyle w:val="28"/>
              <w:jc w:val="left"/>
              <w:rPr>
                <w:color w:val="auto"/>
              </w:rPr>
            </w:pPr>
            <w:r>
              <w:rPr>
                <w:color w:val="auto"/>
              </w:rPr>
              <w:t>4.10</w:t>
            </w:r>
          </w:p>
        </w:tc>
        <w:tc>
          <w:p w14:paraId="6133FF14">
            <w:pPr>
              <w:pStyle w:val="28"/>
              <w:jc w:val="left"/>
              <w:rPr>
                <w:color w:val="auto"/>
              </w:rPr>
            </w:pPr>
            <w:r>
              <w:rPr>
                <w:color w:val="auto"/>
              </w:rPr>
              <w:t>Pieredze materiāla apstrādes sistēmās / Experience in material processing systems</w:t>
            </w:r>
          </w:p>
        </w:tc>
        <w:tc>
          <w:p w14:paraId="545FA89D">
            <w:pPr>
              <w:pStyle w:val="28"/>
              <w:jc w:val="left"/>
              <w:rPr>
                <w:color w:val="auto"/>
              </w:rPr>
            </w:pPr>
            <w:r>
              <w:rPr>
                <w:color w:val="auto"/>
              </w:rPr>
              <w:t xml:space="preserve">Pēdējos 7 gados izpildīti vismaz </w:t>
            </w:r>
            <w:r>
              <w:rPr>
                <w:b/>
                <w:bCs/>
                <w:color w:val="auto"/>
              </w:rPr>
              <w:t>3</w:t>
            </w:r>
            <w:r>
              <w:rPr>
                <w:color w:val="auto"/>
              </w:rPr>
              <w:t xml:space="preserve"> atsevišķi līgumi, kuru ietvaros projektēta, izgatavota un nodota ekspluatācijā pusautomatizēta vai pilnībā automatizēta materiāla apstrādes sistēma; katrā iesaistīts vismaz viens robots, portāla tipa pārvietošanas sistēma vai cits automatizēts apstrādes mehānisms, un katra vērtība ir vismaz 100 000 EUR bez PVN / </w:t>
            </w:r>
          </w:p>
          <w:p w14:paraId="2FFD60FB">
            <w:pPr>
              <w:pStyle w:val="28"/>
              <w:jc w:val="left"/>
              <w:rPr>
                <w:color w:val="auto"/>
              </w:rPr>
            </w:pPr>
            <w:r>
              <w:rPr>
                <w:i/>
                <w:iCs/>
                <w:color w:val="auto"/>
              </w:rPr>
              <w:t>Within the last 7 years, at least</w:t>
            </w:r>
            <w:r>
              <w:rPr>
                <w:color w:val="auto"/>
              </w:rPr>
              <w:t xml:space="preserve"> </w:t>
            </w:r>
            <w:r>
              <w:rPr>
                <w:b/>
                <w:bCs/>
                <w:i/>
                <w:iCs/>
                <w:color w:val="auto"/>
              </w:rPr>
              <w:t>3</w:t>
            </w:r>
            <w:r>
              <w:rPr>
                <w:color w:val="auto"/>
              </w:rPr>
              <w:t xml:space="preserve"> </w:t>
            </w:r>
            <w:r>
              <w:rPr>
                <w:i/>
                <w:iCs/>
                <w:color w:val="auto"/>
              </w:rPr>
              <w:t>separate contracts have been performed in which a semi-automated or fully automated material processing system was designed, manufactured and commissioned; each involved at least one robot, a gantry-type motion system or another automated processing mechanism, and each had a value of at least EUR 100 000 excluding VAT</w:t>
            </w:r>
          </w:p>
        </w:tc>
        <w:tc>
          <w:p w14:paraId="3EEC2FB5">
            <w:pPr>
              <w:pStyle w:val="28"/>
              <w:jc w:val="left"/>
              <w:rPr>
                <w:color w:val="auto"/>
              </w:rPr>
            </w:pPr>
            <w:r>
              <w:rPr>
                <w:color w:val="auto"/>
              </w:rPr>
              <w:t xml:space="preserve">Norādīt projektu Nr. no 5. sadaļas / </w:t>
            </w:r>
            <w:r>
              <w:rPr>
                <w:i/>
                <w:iCs/>
                <w:color w:val="auto"/>
              </w:rPr>
              <w:t>State the project numbers from section 5</w:t>
            </w:r>
          </w:p>
        </w:tc>
      </w:tr>
      <w:tr w14:paraId="1ED1477F">
        <w:tc>
          <w:p w14:paraId="3002FAC3">
            <w:pPr>
              <w:pStyle w:val="28"/>
              <w:jc w:val="left"/>
              <w:rPr>
                <w:color w:val="auto"/>
              </w:rPr>
            </w:pPr>
            <w:r>
              <w:rPr>
                <w:color w:val="auto"/>
              </w:rPr>
              <w:t>4.11</w:t>
            </w:r>
          </w:p>
        </w:tc>
        <w:tc>
          <w:p w14:paraId="1EBF43D4">
            <w:pPr>
              <w:pStyle w:val="28"/>
              <w:jc w:val="left"/>
              <w:rPr>
                <w:color w:val="auto"/>
              </w:rPr>
            </w:pPr>
            <w:r>
              <w:rPr>
                <w:color w:val="auto"/>
              </w:rPr>
              <w:t>HDPE process (vēlama prasība) / HDPE process (desirable requirement)</w:t>
            </w:r>
          </w:p>
        </w:tc>
        <w:tc>
          <w:p w14:paraId="5FC0B97E">
            <w:pPr>
              <w:pStyle w:val="28"/>
              <w:jc w:val="left"/>
              <w:rPr>
                <w:color w:val="auto"/>
              </w:rPr>
            </w:pPr>
            <w:r>
              <w:rPr>
                <w:color w:val="auto"/>
              </w:rPr>
              <w:t xml:space="preserve">Vismaz vienā no 4.10. rindā norādītajiem projektiem galvenais apstrādes process bijis HDPE ekstrūzijas vai karstgaisa metināšana. Ja prasība netiek izpildīta, Pretendents pamato, kā piedāvātais risinājums nodrošina pētījuma uzdevumu izpildi ar HDPE metināšanas procesu / </w:t>
            </w:r>
          </w:p>
          <w:p w14:paraId="0DEB529B">
            <w:pPr>
              <w:pStyle w:val="28"/>
              <w:jc w:val="left"/>
              <w:rPr>
                <w:color w:val="auto"/>
              </w:rPr>
            </w:pPr>
            <w:r>
              <w:rPr>
                <w:i/>
                <w:iCs/>
                <w:color w:val="auto"/>
              </w:rPr>
              <w:t>In at least one of the projects stated in row 4.10 the main processing operation was HDPE extrusion or hot-air welding. If the requirement is not met, the tenderer explains how the proposed solution will deliver the research tasks involving the HDPE welding process</w:t>
            </w:r>
          </w:p>
        </w:tc>
        <w:tc>
          <w:p w14:paraId="05EC1925">
            <w:pPr>
              <w:pStyle w:val="28"/>
              <w:jc w:val="left"/>
              <w:rPr>
                <w:color w:val="auto"/>
              </w:rPr>
            </w:pPr>
            <w:r>
              <w:rPr>
                <w:color w:val="auto"/>
              </w:rPr>
              <w:t xml:space="preserve">Norādīt projekta Nr. vai pamatojumu / </w:t>
            </w:r>
            <w:r>
              <w:rPr>
                <w:i/>
                <w:iCs/>
                <w:color w:val="auto"/>
              </w:rPr>
              <w:t>State the project number or the justification</w:t>
            </w:r>
          </w:p>
        </w:tc>
      </w:tr>
      <w:tr w14:paraId="14788A18">
        <w:tc>
          <w:p w14:paraId="61C17108">
            <w:pPr>
              <w:pStyle w:val="28"/>
              <w:jc w:val="left"/>
              <w:rPr>
                <w:color w:val="auto"/>
              </w:rPr>
            </w:pPr>
            <w:r>
              <w:rPr>
                <w:color w:val="auto"/>
              </w:rPr>
              <w:t>4.12</w:t>
            </w:r>
          </w:p>
        </w:tc>
        <w:tc>
          <w:p w14:paraId="369DC07C">
            <w:pPr>
              <w:pStyle w:val="28"/>
              <w:jc w:val="left"/>
              <w:rPr>
                <w:color w:val="auto"/>
              </w:rPr>
            </w:pPr>
            <w:r>
              <w:rPr>
                <w:color w:val="auto"/>
              </w:rPr>
              <w:t>Apakšuzņēmēji / Subcontractors</w:t>
            </w:r>
          </w:p>
        </w:tc>
        <w:tc>
          <w:p w14:paraId="3B1009FC">
            <w:pPr>
              <w:pStyle w:val="28"/>
              <w:jc w:val="left"/>
              <w:rPr>
                <w:color w:val="auto"/>
              </w:rPr>
            </w:pPr>
            <w:r>
              <w:rPr>
                <w:color w:val="auto"/>
              </w:rPr>
              <w:t xml:space="preserve">Norādāmi visi apakšuzņēmēji, kuru veicamo darbu vērtība ir 10 % vai vairāk no līgumcenas, un visas personas, uz kuru iespējām Pretendents balstās: nosaukums, reģistrācijas Nr., nododamie darbi, daļa procentos. Ja tādu nav, ieraksta “nav”. Šo personu parakstītus apliecinājumus piedāvājumam nepievieno; Pasūtītājs var tos pieprasīt no Pretendenta, kuram būtu piešķiramas līguma slēgšanas tiesības / </w:t>
            </w:r>
          </w:p>
          <w:p w14:paraId="6547B354">
            <w:pPr>
              <w:pStyle w:val="28"/>
              <w:jc w:val="left"/>
              <w:rPr>
                <w:color w:val="auto"/>
              </w:rPr>
            </w:pPr>
            <w:r>
              <w:rPr>
                <w:i/>
                <w:iCs/>
                <w:color w:val="auto"/>
              </w:rPr>
              <w:t>All subcontractors whose share of the work amounts to 10 % or more of the contract price, and all entities on whose capacities the tenderer relies, must be stated: name, registration number, work to be assigned, share as a percentage. If there are none, enter “none”. Signed declarations from those entities are not to be attached to the offer; the contracting authority may request them from the tenderer to whom the contract would be awarded</w:t>
            </w:r>
          </w:p>
        </w:tc>
        <w:tc>
          <w:p w14:paraId="07697967">
            <w:pPr>
              <w:pStyle w:val="28"/>
              <w:rPr>
                <w:color w:val="auto"/>
              </w:rPr>
            </w:pPr>
          </w:p>
        </w:tc>
      </w:tr>
      <w:tr w14:paraId="09C643F2">
        <w:tc>
          <w:p w14:paraId="08D8810B">
            <w:pPr>
              <w:pStyle w:val="28"/>
              <w:jc w:val="left"/>
              <w:rPr>
                <w:color w:val="auto"/>
              </w:rPr>
            </w:pPr>
            <w:r>
              <w:rPr>
                <w:color w:val="auto"/>
              </w:rPr>
              <w:t>4.13</w:t>
            </w:r>
          </w:p>
        </w:tc>
        <w:tc>
          <w:p w14:paraId="40FDF55C">
            <w:pPr>
              <w:pStyle w:val="28"/>
              <w:jc w:val="left"/>
              <w:rPr>
                <w:color w:val="auto"/>
              </w:rPr>
            </w:pPr>
            <w:r>
              <w:rPr>
                <w:color w:val="auto"/>
              </w:rPr>
              <w:t>Apakšuzņēmēju gatavība / Commitment of subcontractors</w:t>
            </w:r>
          </w:p>
        </w:tc>
        <w:tc>
          <w:p w14:paraId="6384668D">
            <w:pPr>
              <w:pStyle w:val="28"/>
              <w:jc w:val="left"/>
              <w:rPr>
                <w:color w:val="auto"/>
              </w:rPr>
            </w:pPr>
            <w:r>
              <w:rPr>
                <w:color w:val="auto"/>
              </w:rPr>
              <w:t xml:space="preserve">Katrs 4.12. rindā norādītais apakšuzņēmējs un persona, uz kuras iespējām Pretendents balstās, ir apliecinājis gatavību piedalīties līguma izpildē un nodot resursus norādītajā apjomā, un attiecībā uz tiem nepastāv 4.14.–4.16. rindā minētie izslēgšanas nosacījumi / </w:t>
            </w:r>
            <w:r>
              <w:rPr>
                <w:i/>
                <w:iCs/>
                <w:color w:val="auto"/>
              </w:rPr>
              <w:t>Each subcontractor and each entity on whose capacities the tenderer relies, as stated in row 4.12, has confirmed its readiness to take part in performing the contract and to provide the resources to the extent stated, and none of the exclusion grounds referred to in rows 4.14 to 4.16 applies to them</w:t>
            </w:r>
          </w:p>
        </w:tc>
        <w:tc>
          <w:p w14:paraId="6CA892AB">
            <w:pPr>
              <w:pStyle w:val="28"/>
              <w:rPr>
                <w:color w:val="auto"/>
              </w:rPr>
            </w:pPr>
          </w:p>
        </w:tc>
      </w:tr>
    </w:tbl>
    <w:p w14:paraId="27C2860B">
      <w:pPr>
        <w:pStyle w:val="3"/>
        <w:rPr>
          <w:color w:val="auto"/>
        </w:rPr>
      </w:pPr>
      <w:r>
        <w:rPr>
          <w:b/>
          <w:bCs/>
          <w:color w:val="auto"/>
        </w:rPr>
        <w:t>Izslēgšanas nosacījumi / Exclusion grounds</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2600"/>
        <w:gridCol w:w="4400"/>
        <w:gridCol w:w="2900"/>
      </w:tblGrid>
      <w:tr w14:paraId="7466D44F">
        <w:trPr>
          <w:tblHeader/>
        </w:trPr>
        <w:tc>
          <w:p w14:paraId="1CC21C56">
            <w:pPr>
              <w:pStyle w:val="28"/>
              <w:jc w:val="left"/>
              <w:rPr>
                <w:color w:val="auto"/>
              </w:rPr>
            </w:pPr>
            <w:r>
              <w:rPr>
                <w:color w:val="auto"/>
              </w:rPr>
              <w:t>#</w:t>
            </w:r>
          </w:p>
        </w:tc>
        <w:tc>
          <w:p w14:paraId="5D425292">
            <w:pPr>
              <w:pStyle w:val="28"/>
              <w:jc w:val="left"/>
              <w:rPr>
                <w:color w:val="auto"/>
              </w:rPr>
            </w:pPr>
            <w:r>
              <w:rPr>
                <w:color w:val="auto"/>
              </w:rPr>
              <w:t>Prasība / Characteristic</w:t>
            </w:r>
          </w:p>
        </w:tc>
        <w:tc>
          <w:p w14:paraId="4D85D52E">
            <w:pPr>
              <w:pStyle w:val="28"/>
              <w:jc w:val="left"/>
              <w:rPr>
                <w:color w:val="auto"/>
              </w:rPr>
            </w:pPr>
            <w:r>
              <w:rPr>
                <w:color w:val="auto"/>
              </w:rPr>
              <w:t>Saturs / Requirement</w:t>
            </w:r>
          </w:p>
        </w:tc>
        <w:tc>
          <w:p w14:paraId="7415A333">
            <w:pPr>
              <w:pStyle w:val="28"/>
              <w:jc w:val="left"/>
              <w:rPr>
                <w:color w:val="auto"/>
              </w:rPr>
            </w:pPr>
            <w:r>
              <w:rPr>
                <w:color w:val="auto"/>
              </w:rPr>
              <w:t>Pretendenta atbilde / Tenderer’s response</w:t>
            </w:r>
          </w:p>
        </w:tc>
      </w:tr>
      <w:tr w14:paraId="6F4B08DF">
        <w:tc>
          <w:p w14:paraId="2DCF9E35">
            <w:pPr>
              <w:pStyle w:val="28"/>
              <w:jc w:val="left"/>
              <w:rPr>
                <w:color w:val="auto"/>
              </w:rPr>
            </w:pPr>
            <w:r>
              <w:rPr>
                <w:color w:val="auto"/>
              </w:rPr>
              <w:t>4.14</w:t>
            </w:r>
          </w:p>
        </w:tc>
        <w:tc>
          <w:p w14:paraId="1B994F87">
            <w:pPr>
              <w:pStyle w:val="28"/>
              <w:jc w:val="left"/>
              <w:rPr>
                <w:color w:val="auto"/>
              </w:rPr>
            </w:pPr>
            <w:r>
              <w:rPr>
                <w:color w:val="auto"/>
              </w:rPr>
              <w:t>Maksātnespēja un nodokļu parādi / Insolvency and tax debts</w:t>
            </w:r>
          </w:p>
        </w:tc>
        <w:tc>
          <w:p w14:paraId="4F87AD47">
            <w:pPr>
              <w:pStyle w:val="28"/>
              <w:jc w:val="left"/>
              <w:rPr>
                <w:color w:val="auto"/>
              </w:rPr>
            </w:pPr>
            <w:r>
              <w:rPr>
                <w:color w:val="auto"/>
              </w:rPr>
              <w:t xml:space="preserve">Pretendents nav pasludināts par maksātnespējīgu, neatrodas likvidācijas procesā, tā saimnieciskā darbība nav apturēta vai izbeigta, un attiecībā uz to nav uzsākts vai netiek īstenots tiesiskās aizsardzības process; nokavētie nodokļu un valsts sociālās apdrošināšanas obligāto iemaksu parādi nepārsniedz 150 EUR / </w:t>
            </w:r>
          </w:p>
          <w:p w14:paraId="37BD3B2E">
            <w:pPr>
              <w:pStyle w:val="28"/>
              <w:jc w:val="left"/>
              <w:rPr>
                <w:color w:val="auto"/>
              </w:rPr>
            </w:pPr>
            <w:r>
              <w:rPr>
                <w:i/>
                <w:iCs/>
                <w:color w:val="auto"/>
              </w:rPr>
              <w:t>The tenderer has not been declared insolvent, is not in liquidation, its economic activity has not been suspended or terminated, and no legal protection proceedings have been initiated or are under way in respect of it; overdue tax and mandatory state social insurance contribution debts do not exceed EUR 150</w:t>
            </w:r>
          </w:p>
        </w:tc>
        <w:tc>
          <w:p w14:paraId="3F91156A">
            <w:pPr>
              <w:pStyle w:val="28"/>
              <w:jc w:val="left"/>
              <w:rPr>
                <w:color w:val="auto"/>
              </w:rPr>
            </w:pPr>
            <w:r>
              <w:rPr>
                <w:color w:val="auto"/>
                <w:lang w:val="en-US" w:eastAsia="zh-CN"/>
              </w:rPr>
              <w:t>Apliecinām / Confirmed</w:t>
            </w:r>
          </w:p>
          <w:p w14:paraId="3BF9959B">
            <w:pPr>
              <w:pStyle w:val="28"/>
              <w:jc w:val="left"/>
              <w:rPr>
                <w:color w:val="auto"/>
              </w:rPr>
            </w:pPr>
          </w:p>
        </w:tc>
      </w:tr>
      <w:tr w14:paraId="232988E4">
        <w:tc>
          <w:p w14:paraId="12545116">
            <w:pPr>
              <w:pStyle w:val="28"/>
              <w:jc w:val="left"/>
              <w:rPr>
                <w:color w:val="auto"/>
              </w:rPr>
            </w:pPr>
            <w:r>
              <w:rPr>
                <w:color w:val="auto"/>
              </w:rPr>
              <w:t>4.15</w:t>
            </w:r>
          </w:p>
        </w:tc>
        <w:tc>
          <w:p w14:paraId="5F085112">
            <w:pPr>
              <w:pStyle w:val="28"/>
              <w:jc w:val="left"/>
              <w:rPr>
                <w:color w:val="auto"/>
              </w:rPr>
            </w:pPr>
            <w:r>
              <w:rPr>
                <w:color w:val="auto"/>
              </w:rPr>
              <w:t>Sankcijas / Sanctions</w:t>
            </w:r>
          </w:p>
        </w:tc>
        <w:tc>
          <w:p w14:paraId="24F93DAF">
            <w:pPr>
              <w:pStyle w:val="28"/>
              <w:jc w:val="left"/>
              <w:rPr>
                <w:color w:val="auto"/>
              </w:rPr>
            </w:pPr>
            <w:r>
              <w:rPr>
                <w:color w:val="auto"/>
              </w:rPr>
              <w:t xml:space="preserve">Attiecībā uz Pretendentu, personu apvienības dalībniekiem, apakšuzņēmējiem, personām, uz kuru iespējām Pretendents balstās, un to valdes vai padomes locekļiem, patiesajiem labuma guvējiem un pārstāvēttiesīgajām personām nav noteiktas starptautiskās, nacionālās vai Eiropas Savienības vai NATO dalībvalsts sankcijas, kas kavētu līguma izpildi; tie neatbilst Padomes Regulas (ES) Nr. 833/2014 5.k panta ierobežojumiem / </w:t>
            </w:r>
          </w:p>
          <w:p w14:paraId="612AAE8B">
            <w:pPr>
              <w:pStyle w:val="28"/>
              <w:jc w:val="left"/>
              <w:rPr>
                <w:color w:val="auto"/>
              </w:rPr>
            </w:pPr>
            <w:r>
              <w:rPr>
                <w:i/>
                <w:iCs/>
                <w:color w:val="auto"/>
              </w:rPr>
              <w:t>No international, national or European Union or NATO member state sanctions that would impede performance of the contract have been imposed on the tenderer, the consortium members, the subcontractors, the entities on whose capacities the tenderer relies, or on their board or council members, beneficial owners or authorised representatives; they do not fall within the restrictions of Article 5k of Council Regulation (EU) No 833/2014</w:t>
            </w:r>
          </w:p>
        </w:tc>
        <w:tc>
          <w:p w14:paraId="2E596426">
            <w:pPr>
              <w:pStyle w:val="28"/>
              <w:rPr>
                <w:color w:val="auto"/>
              </w:rPr>
            </w:pPr>
            <w:r>
              <w:rPr>
                <w:color w:val="auto"/>
                <w:lang w:val="en-US" w:eastAsia="zh-CN"/>
              </w:rPr>
              <w:t>Apliecinām / Confirmed</w:t>
            </w:r>
          </w:p>
        </w:tc>
      </w:tr>
      <w:tr w14:paraId="49B3B20A">
        <w:tc>
          <w:p w14:paraId="68ACE628">
            <w:pPr>
              <w:pStyle w:val="28"/>
              <w:jc w:val="left"/>
              <w:rPr>
                <w:color w:val="auto"/>
              </w:rPr>
            </w:pPr>
            <w:r>
              <w:rPr>
                <w:color w:val="auto"/>
              </w:rPr>
              <w:t>4.16</w:t>
            </w:r>
          </w:p>
        </w:tc>
        <w:tc>
          <w:p w14:paraId="59B17A2D">
            <w:pPr>
              <w:pStyle w:val="28"/>
              <w:jc w:val="left"/>
              <w:rPr>
                <w:color w:val="auto"/>
              </w:rPr>
            </w:pPr>
            <w:r>
              <w:rPr>
                <w:color w:val="auto"/>
              </w:rPr>
              <w:t>Interešu konflikts un godīga konkurence / Conflict of interest and fair competition</w:t>
            </w:r>
          </w:p>
        </w:tc>
        <w:tc>
          <w:p w14:paraId="4A2117D1">
            <w:pPr>
              <w:pStyle w:val="28"/>
              <w:jc w:val="left"/>
              <w:rPr>
                <w:color w:val="auto"/>
              </w:rPr>
            </w:pPr>
            <w:r>
              <w:rPr>
                <w:color w:val="auto"/>
              </w:rPr>
              <w:t xml:space="preserve">Nepastāv interešu konflikts Ministru kabineta noteikumu Nr. 104 12. punkta izpratnē; Pretendents nav sniedzis nepatiesu informāciju un nav to noklusējis, nav mēģinājis nelikumīgi ietekmēt Iepirkuma komisiju vai Pasūtītāja darbiniekus, iegūt konfidenciālu informāciju vai noslēgt konkurenci ierobežojošu vienošanos ar citiem pretendentiem; nav būtiski pārkāpis ar Pasūtītāju iepriekš noslēgtu līgumu / </w:t>
            </w:r>
            <w:r>
              <w:rPr>
                <w:i/>
                <w:iCs/>
                <w:color w:val="auto"/>
              </w:rPr>
              <w:t>No conflict of interest within the meaning of paragraph 12 of Cabinet Regulation No. 104 exists; the tenderer has not provided or withheld false information, has not attempted to unlawfully influence the procurement commission or the contracting authority’s staff, to obtain confidential information or to enter into a competition-restricting agreement with other tenderers; and has not materially breached a contract previously concluded with the contracting authority</w:t>
            </w:r>
          </w:p>
        </w:tc>
        <w:tc>
          <w:p w14:paraId="0A43B470">
            <w:pPr>
              <w:pStyle w:val="28"/>
              <w:rPr>
                <w:color w:val="auto"/>
              </w:rPr>
            </w:pPr>
            <w:r>
              <w:rPr>
                <w:color w:val="auto"/>
                <w:lang w:val="en-US" w:eastAsia="zh-CN"/>
              </w:rPr>
              <w:t>Apliecinām / Confirmed</w:t>
            </w:r>
          </w:p>
        </w:tc>
      </w:tr>
      <w:tr w14:paraId="3E72A0EB">
        <w:tc>
          <w:p w14:paraId="01BB6162">
            <w:pPr>
              <w:pStyle w:val="28"/>
              <w:jc w:val="left"/>
              <w:rPr>
                <w:color w:val="auto"/>
              </w:rPr>
            </w:pPr>
            <w:r>
              <w:rPr>
                <w:color w:val="auto"/>
              </w:rPr>
              <w:t>4.17</w:t>
            </w:r>
          </w:p>
        </w:tc>
        <w:tc>
          <w:p w14:paraId="73B61595">
            <w:pPr>
              <w:pStyle w:val="28"/>
              <w:jc w:val="left"/>
              <w:rPr>
                <w:color w:val="auto"/>
              </w:rPr>
            </w:pPr>
            <w:r>
              <w:rPr>
                <w:color w:val="auto"/>
              </w:rPr>
              <w:t>Neatkarīgi izstrādāts piedāvājums / Independently prepared offer</w:t>
            </w:r>
          </w:p>
        </w:tc>
        <w:tc>
          <w:p w14:paraId="52ECE4BF">
            <w:pPr>
              <w:pStyle w:val="28"/>
              <w:jc w:val="left"/>
              <w:rPr>
                <w:color w:val="auto"/>
              </w:rPr>
            </w:pPr>
            <w:r>
              <w:rPr>
                <w:color w:val="auto"/>
              </w:rPr>
              <w:t xml:space="preserve">Piedāvājums izstrādāts un iesniegts neatkarīgi no citiem pretendentiem; tā saturs nav atklāts citam pretendentam vai konkurentam pirms piedāvājumu iesniegšanas termiņa beigām un no tiem nav saņemts; nav notikusi vienošanās par cenu, cenas aprēķināšanas veidu, tirgus sadali, atturēšanos no piedāvājuma iesniegšanas vai piedāvājuma saturu / </w:t>
            </w:r>
            <w:r>
              <w:rPr>
                <w:i/>
                <w:iCs/>
                <w:color w:val="auto"/>
              </w:rPr>
              <w:t>The offer has been prepared and submitted independently of other tenderers; its content has not been disclosed to another tenderer or competitor before the deadline for submission and has not been received from them; there has been no agreement on price, on the method of calculating the price, on market allocation, on abstaining from submitting an offer, or on the content of an offer</w:t>
            </w:r>
          </w:p>
        </w:tc>
        <w:tc>
          <w:p w14:paraId="7FF9C596">
            <w:pPr>
              <w:pStyle w:val="28"/>
              <w:rPr>
                <w:color w:val="auto"/>
              </w:rPr>
            </w:pPr>
            <w:r>
              <w:rPr>
                <w:color w:val="auto"/>
                <w:lang w:val="en-US" w:eastAsia="zh-CN"/>
              </w:rPr>
              <w:t>Apliecinām / Confirmed</w:t>
            </w:r>
          </w:p>
        </w:tc>
      </w:tr>
    </w:tbl>
    <w:p w14:paraId="6D9A8FC2">
      <w:pPr>
        <w:pStyle w:val="3"/>
        <w:rPr>
          <w:color w:val="auto"/>
        </w:rPr>
      </w:pPr>
      <w:r>
        <w:rPr>
          <w:b/>
          <w:bCs/>
          <w:color w:val="auto"/>
        </w:rPr>
        <w:t>Piedāvājuma noteikumi / Terms of the offer</w:t>
      </w:r>
    </w:p>
    <w:tbl>
      <w:tblPr>
        <w:tblStyle w:val="33"/>
        <w:tblW w:w="10600" w:type="dxa"/>
        <w:tblInd w:w="0" w:type="dxa"/>
        <w:tblBorders>
          <w:top w:val="single" w:color="7F7F7F" w:themeColor="background1" w:themeShade="80" w:sz="4" w:space="0"/>
          <w:left w:val="single" w:color="7F7F7F" w:themeColor="background1" w:themeShade="80" w:sz="4" w:space="0"/>
          <w:bottom w:val="single" w:color="7F7F7F" w:themeColor="background1" w:themeShade="80" w:sz="4" w:space="0"/>
          <w:right w:val="single" w:color="7F7F7F" w:themeColor="background1" w:themeShade="80" w:sz="4" w:space="0"/>
          <w:insideH w:val="single" w:color="7F7F7F" w:themeColor="background1" w:themeShade="80" w:sz="4" w:space="0"/>
          <w:insideV w:val="single" w:color="7F7F7F" w:themeColor="background1" w:themeShade="80" w:sz="4" w:space="0"/>
        </w:tblBorders>
        <w:tblLayout w:type="fixed"/>
        <w:tblCellMar>
          <w:top w:w="0" w:type="dxa"/>
          <w:left w:w="108" w:type="dxa"/>
          <w:bottom w:w="0" w:type="dxa"/>
          <w:right w:w="108" w:type="dxa"/>
        </w:tblCellMar>
      </w:tblPr>
      <w:tblGrid>
        <w:gridCol w:w="700"/>
        <w:gridCol w:w="2600"/>
        <w:gridCol w:w="4400"/>
        <w:gridCol w:w="2900"/>
      </w:tblGrid>
      <w:tr w14:paraId="01EED111">
        <w:trPr>
          <w:tblHeader/>
        </w:trPr>
        <w:tc>
          <w:p w14:paraId="792AD90C">
            <w:pPr>
              <w:pStyle w:val="28"/>
              <w:jc w:val="left"/>
              <w:rPr>
                <w:color w:val="auto"/>
              </w:rPr>
            </w:pPr>
            <w:r>
              <w:rPr>
                <w:color w:val="auto"/>
              </w:rPr>
              <w:t>#</w:t>
            </w:r>
          </w:p>
        </w:tc>
        <w:tc>
          <w:p w14:paraId="556B887B">
            <w:pPr>
              <w:pStyle w:val="28"/>
              <w:jc w:val="left"/>
              <w:rPr>
                <w:color w:val="auto"/>
              </w:rPr>
            </w:pPr>
            <w:r>
              <w:rPr>
                <w:color w:val="auto"/>
              </w:rPr>
              <w:t>Prasība / Characteristic</w:t>
            </w:r>
          </w:p>
        </w:tc>
        <w:tc>
          <w:p w14:paraId="00B52996">
            <w:pPr>
              <w:pStyle w:val="28"/>
              <w:jc w:val="left"/>
              <w:rPr>
                <w:color w:val="auto"/>
              </w:rPr>
            </w:pPr>
            <w:r>
              <w:rPr>
                <w:color w:val="auto"/>
              </w:rPr>
              <w:t>Saturs / Requirement</w:t>
            </w:r>
          </w:p>
        </w:tc>
        <w:tc>
          <w:p w14:paraId="7B02B236">
            <w:pPr>
              <w:pStyle w:val="28"/>
              <w:jc w:val="left"/>
              <w:rPr>
                <w:color w:val="auto"/>
              </w:rPr>
            </w:pPr>
            <w:r>
              <w:rPr>
                <w:color w:val="auto"/>
              </w:rPr>
              <w:t>Pretendenta atbilde / Tenderer’s response</w:t>
            </w:r>
          </w:p>
        </w:tc>
      </w:tr>
      <w:tr w14:paraId="4148AB7A">
        <w:tc>
          <w:p w14:paraId="1C5D5D08">
            <w:pPr>
              <w:pStyle w:val="28"/>
              <w:jc w:val="left"/>
              <w:rPr>
                <w:color w:val="auto"/>
              </w:rPr>
            </w:pPr>
            <w:r>
              <w:rPr>
                <w:color w:val="auto"/>
              </w:rPr>
              <w:t>4.18</w:t>
            </w:r>
          </w:p>
        </w:tc>
        <w:tc>
          <w:p w14:paraId="29016FAA">
            <w:pPr>
              <w:pStyle w:val="28"/>
              <w:jc w:val="left"/>
              <w:rPr>
                <w:color w:val="auto"/>
              </w:rPr>
            </w:pPr>
            <w:r>
              <w:rPr>
                <w:color w:val="auto"/>
              </w:rPr>
              <w:t>Piedāvājuma spēkā esība / Validity of the offer</w:t>
            </w:r>
          </w:p>
        </w:tc>
        <w:tc>
          <w:p w14:paraId="6EC11D26">
            <w:pPr>
              <w:pStyle w:val="28"/>
              <w:jc w:val="left"/>
              <w:rPr>
                <w:color w:val="auto"/>
              </w:rPr>
            </w:pPr>
            <w:r>
              <w:rPr>
                <w:color w:val="auto"/>
              </w:rPr>
              <w:t xml:space="preserve">Ne mazāk par 90 dienām no piedāvājumu iesniegšanas termiņa beigām; Pasūtītājs var rakstiski lūgt to pagarināt / </w:t>
            </w:r>
            <w:r>
              <w:rPr>
                <w:i/>
                <w:iCs/>
                <w:color w:val="auto"/>
              </w:rPr>
              <w:t>No less than 90 days from the deadline for submitting offers; the contracting authority may request an extension in writing</w:t>
            </w:r>
          </w:p>
        </w:tc>
        <w:tc>
          <w:p w14:paraId="1D3076A7">
            <w:pPr>
              <w:pStyle w:val="28"/>
              <w:rPr>
                <w:color w:val="auto"/>
              </w:rPr>
            </w:pPr>
            <w:r>
              <w:rPr>
                <w:color w:val="auto"/>
                <w:lang w:val="en-US" w:eastAsia="zh-CN"/>
              </w:rPr>
              <w:t>Apliecinām / Confirmed</w:t>
            </w:r>
          </w:p>
        </w:tc>
      </w:tr>
      <w:tr w14:paraId="09495815">
        <w:tc>
          <w:p w14:paraId="4DB77375">
            <w:pPr>
              <w:pStyle w:val="28"/>
              <w:jc w:val="left"/>
              <w:rPr>
                <w:color w:val="auto"/>
              </w:rPr>
            </w:pPr>
            <w:r>
              <w:rPr>
                <w:color w:val="auto"/>
              </w:rPr>
              <w:t>4.19</w:t>
            </w:r>
          </w:p>
        </w:tc>
        <w:tc>
          <w:p w14:paraId="6EEE3B34">
            <w:pPr>
              <w:pStyle w:val="28"/>
              <w:jc w:val="left"/>
              <w:rPr>
                <w:color w:val="auto"/>
              </w:rPr>
            </w:pPr>
            <w:r>
              <w:rPr>
                <w:color w:val="auto"/>
              </w:rPr>
              <w:t>Iepazīšanās ar dokumentāciju / Familiarity with the documentation</w:t>
            </w:r>
          </w:p>
        </w:tc>
        <w:tc>
          <w:p w14:paraId="5D82AB7F">
            <w:pPr>
              <w:pStyle w:val="28"/>
              <w:jc w:val="left"/>
              <w:rPr>
                <w:color w:val="auto"/>
              </w:rPr>
            </w:pPr>
            <w:r>
              <w:rPr>
                <w:color w:val="auto"/>
              </w:rPr>
              <w:t xml:space="preserve">Pretendents ir iepazinies ar šo dokumentu, tehnisko specifikāciju un iepirkuma līguma projektu; tie ir skaidri un saprotami, iebildumu nav, un līguma slēgšanas tiesību piešķiršanas gadījumā līgums tiks noslēgts saskaņā ar projektu / </w:t>
            </w:r>
            <w:r>
              <w:rPr>
                <w:i/>
                <w:iCs/>
                <w:color w:val="auto"/>
              </w:rPr>
              <w:t>The tenderer has examined this document, the technical specification and the draft procurement contract; they are clear and comprehensible, there are no objections, and if the contract is awarded it will be concluded in accordance with the draft</w:t>
            </w:r>
          </w:p>
        </w:tc>
        <w:tc>
          <w:p w14:paraId="0E39F29A">
            <w:pPr>
              <w:pStyle w:val="28"/>
              <w:rPr>
                <w:color w:val="auto"/>
              </w:rPr>
            </w:pPr>
            <w:r>
              <w:rPr>
                <w:color w:val="auto"/>
                <w:lang w:val="en-US" w:eastAsia="zh-CN"/>
              </w:rPr>
              <w:t>Apliecinām / Confirmed</w:t>
            </w:r>
          </w:p>
        </w:tc>
      </w:tr>
      <w:tr w14:paraId="4267A124">
        <w:tc>
          <w:p w14:paraId="608061A9">
            <w:pPr>
              <w:pStyle w:val="28"/>
              <w:jc w:val="left"/>
              <w:rPr>
                <w:color w:val="auto"/>
              </w:rPr>
            </w:pPr>
            <w:r>
              <w:rPr>
                <w:color w:val="auto"/>
              </w:rPr>
              <w:t>4.20</w:t>
            </w:r>
          </w:p>
        </w:tc>
        <w:tc>
          <w:p w14:paraId="6B0621FE">
            <w:pPr>
              <w:pStyle w:val="28"/>
              <w:jc w:val="left"/>
              <w:rPr>
                <w:color w:val="auto"/>
              </w:rPr>
            </w:pPr>
            <w:r>
              <w:rPr>
                <w:color w:val="auto"/>
              </w:rPr>
              <w:t>Nodevumu termiņi / Deadlines for deliverables</w:t>
            </w:r>
          </w:p>
        </w:tc>
        <w:tc>
          <w:p w14:paraId="1F71EBC9">
            <w:pPr>
              <w:pStyle w:val="28"/>
              <w:jc w:val="left"/>
            </w:pPr>
            <w:r>
              <w:rPr>
                <w:color w:val="auto"/>
                <w:lang w:val="en-US"/>
              </w:rPr>
              <w:t xml:space="preserve">Maksimālie termiņi (nedēļas no līguma spēkā stāšanās): </w:t>
            </w:r>
          </w:p>
          <w:p w14:paraId="7C0C5B31">
            <w:pPr>
              <w:pStyle w:val="28"/>
              <w:jc w:val="left"/>
              <w:rPr>
                <w:color w:val="auto"/>
                <w:lang w:val="en-US"/>
              </w:rPr>
            </w:pPr>
            <w:r>
              <w:rPr>
                <w:color w:val="auto"/>
                <w:lang w:val="en-US"/>
              </w:rPr>
              <w:t xml:space="preserve">(1) </w:t>
            </w:r>
            <w:r>
              <w:rPr>
                <w:color w:val="auto"/>
                <w:lang w:val="en-US" w:eastAsia="zh-CN"/>
              </w:rPr>
              <w:t>Darbu un pētījumu grafiks, pētnieciskās vides tehniskais projekts, digitālā dvīņa projekts</w:t>
            </w:r>
            <w:r>
              <w:rPr>
                <w:rFonts w:hint="default"/>
                <w:color w:val="auto"/>
                <w:lang w:val="lv-LV" w:eastAsia="zh-CN"/>
              </w:rPr>
              <w:t xml:space="preserve"> </w:t>
            </w:r>
            <w:r>
              <w:rPr>
                <w:color w:val="auto"/>
                <w:lang w:val="en-US"/>
              </w:rPr>
              <w:t xml:space="preserve">– </w:t>
            </w:r>
            <w:r>
              <w:rPr>
                <w:rFonts w:hint="default"/>
                <w:color w:val="auto"/>
                <w:lang w:val="lv-LV"/>
              </w:rPr>
              <w:t>4</w:t>
            </w:r>
            <w:r>
              <w:rPr>
                <w:color w:val="auto"/>
                <w:lang w:val="en-US"/>
              </w:rPr>
              <w:t xml:space="preserve">; </w:t>
            </w:r>
          </w:p>
          <w:p w14:paraId="7426863E">
            <w:pPr>
              <w:pStyle w:val="28"/>
              <w:jc w:val="left"/>
              <w:rPr>
                <w:color w:val="auto"/>
                <w:lang w:val="en-US"/>
              </w:rPr>
            </w:pPr>
            <w:r>
              <w:rPr>
                <w:rFonts w:hint="default"/>
                <w:color w:val="auto"/>
                <w:lang w:val="lv-LV"/>
              </w:rPr>
              <w:t>(2</w:t>
            </w:r>
            <w:r>
              <w:rPr>
                <w:color w:val="auto"/>
                <w:lang w:val="en-US"/>
              </w:rPr>
              <w:t xml:space="preserve">) </w:t>
            </w:r>
            <w:r>
              <w:rPr>
                <w:color w:val="auto"/>
                <w:lang w:val="en-US" w:eastAsia="zh-CN"/>
              </w:rPr>
              <w:t>Pētnieciskās vides sagatavošana pētījuma veikšanai: projektēšana, komplektēšana, programmatūras konfigurēšana un licencēšana, integrācija, kalibrēšana, funkcionālā validācija ar akceptēšanas testu un personāla apmācība</w:t>
            </w:r>
            <w:r>
              <w:rPr>
                <w:rFonts w:hint="default"/>
                <w:color w:val="auto"/>
                <w:lang w:val="lv-LV" w:eastAsia="zh-CN"/>
              </w:rPr>
              <w:t xml:space="preserve"> </w:t>
            </w:r>
            <w:r>
              <w:rPr>
                <w:color w:val="auto"/>
                <w:lang w:val="en-US"/>
              </w:rPr>
              <w:t xml:space="preserve">– </w:t>
            </w:r>
            <w:r>
              <w:rPr>
                <w:rFonts w:hint="default"/>
                <w:color w:val="auto"/>
                <w:lang w:val="lv-LV"/>
              </w:rPr>
              <w:t>12</w:t>
            </w:r>
            <w:r>
              <w:rPr>
                <w:color w:val="auto"/>
                <w:lang w:val="en-US"/>
              </w:rPr>
              <w:t>;</w:t>
            </w:r>
          </w:p>
          <w:p w14:paraId="6DDD3E35">
            <w:pPr>
              <w:pStyle w:val="28"/>
              <w:jc w:val="left"/>
              <w:rPr>
                <w:color w:val="auto"/>
                <w:lang w:val="en-US"/>
              </w:rPr>
            </w:pPr>
            <w:r>
              <w:rPr>
                <w:color w:val="auto"/>
                <w:lang w:val="en-US"/>
              </w:rPr>
              <w:t>(</w:t>
            </w:r>
            <w:r>
              <w:rPr>
                <w:rFonts w:hint="default"/>
                <w:color w:val="auto"/>
                <w:lang w:val="lv-LV"/>
              </w:rPr>
              <w:t>3</w:t>
            </w:r>
            <w:r>
              <w:rPr>
                <w:color w:val="auto"/>
                <w:lang w:val="en-US"/>
              </w:rPr>
              <w:t xml:space="preserve">) </w:t>
            </w:r>
            <w:r>
              <w:rPr>
                <w:color w:val="auto"/>
                <w:lang w:val="en-US" w:eastAsia="zh-CN"/>
              </w:rPr>
              <w:t>Daļas 1 1. sadaļas rūpnieciskais pētījums: virsmas apstrādes un šuvju sagatavošanas tehnoloģijas</w:t>
            </w:r>
            <w:r>
              <w:rPr>
                <w:rFonts w:hint="default"/>
                <w:color w:val="auto"/>
                <w:lang w:val="lv-LV" w:eastAsia="zh-CN"/>
              </w:rPr>
              <w:t xml:space="preserve"> </w:t>
            </w:r>
            <w:r>
              <w:rPr>
                <w:color w:val="auto"/>
                <w:lang w:val="en-US"/>
              </w:rPr>
              <w:t xml:space="preserve">– </w:t>
            </w:r>
            <w:r>
              <w:rPr>
                <w:rFonts w:hint="default"/>
                <w:color w:val="auto"/>
                <w:lang w:val="lv-LV"/>
              </w:rPr>
              <w:t>17</w:t>
            </w:r>
            <w:r>
              <w:rPr>
                <w:color w:val="auto"/>
                <w:lang w:val="en-US"/>
              </w:rPr>
              <w:t>;</w:t>
            </w:r>
          </w:p>
          <w:p w14:paraId="10C0577F">
            <w:pPr>
              <w:pStyle w:val="28"/>
              <w:jc w:val="left"/>
              <w:rPr>
                <w:color w:val="auto"/>
                <w:lang w:val="en-US"/>
              </w:rPr>
            </w:pPr>
            <w:r>
              <w:rPr>
                <w:color w:val="auto"/>
                <w:lang w:val="en-US"/>
              </w:rPr>
              <w:t>(</w:t>
            </w:r>
            <w:r>
              <w:rPr>
                <w:rFonts w:hint="default"/>
                <w:color w:val="auto"/>
                <w:lang w:val="lv-LV"/>
              </w:rPr>
              <w:t>4</w:t>
            </w:r>
            <w:r>
              <w:rPr>
                <w:color w:val="auto"/>
                <w:lang w:val="en-US"/>
              </w:rPr>
              <w:t xml:space="preserve">) </w:t>
            </w:r>
            <w:r>
              <w:rPr>
                <w:color w:val="auto"/>
                <w:lang w:val="en-US" w:eastAsia="zh-CN"/>
              </w:rPr>
              <w:t>Daļas 1 2. sadaļas rūpnieciskais pētījums: Edge automatizētā vadība</w:t>
            </w:r>
            <w:r>
              <w:rPr>
                <w:color w:val="auto"/>
                <w:lang w:val="en-US"/>
              </w:rPr>
              <w:t xml:space="preserve"> – </w:t>
            </w:r>
            <w:r>
              <w:rPr>
                <w:rFonts w:hint="default"/>
                <w:color w:val="auto"/>
                <w:lang w:val="lv-LV"/>
              </w:rPr>
              <w:t>19</w:t>
            </w:r>
            <w:r>
              <w:rPr>
                <w:color w:val="auto"/>
                <w:lang w:val="en-US"/>
              </w:rPr>
              <w:t xml:space="preserve">; </w:t>
            </w:r>
          </w:p>
          <w:p w14:paraId="5880B9BF">
            <w:pPr>
              <w:keepNext w:val="0"/>
              <w:keepLines w:val="0"/>
              <w:widowControl/>
              <w:suppressLineNumbers w:val="0"/>
              <w:jc w:val="left"/>
              <w:rPr>
                <w:color w:val="auto"/>
                <w:lang w:val="en-US" w:eastAsia="zh-CN"/>
              </w:rPr>
            </w:pPr>
            <w:r>
              <w:rPr>
                <w:color w:val="auto"/>
                <w:lang w:val="en-US"/>
              </w:rPr>
              <w:t>(</w:t>
            </w:r>
            <w:r>
              <w:rPr>
                <w:rFonts w:hint="default"/>
                <w:color w:val="auto"/>
                <w:lang w:val="lv-LV"/>
              </w:rPr>
              <w:t>5</w:t>
            </w:r>
            <w:r>
              <w:rPr>
                <w:color w:val="auto"/>
                <w:lang w:val="en-US"/>
              </w:rPr>
              <w:t xml:space="preserve">) </w:t>
            </w:r>
            <w:r>
              <w:rPr>
                <w:color w:val="auto"/>
                <w:lang w:val="en-US" w:eastAsia="zh-CN"/>
              </w:rPr>
              <w:t>Kopsavilkuma ziņojums, pilna dokumentācija</w:t>
            </w:r>
            <w:r>
              <w:rPr>
                <w:rFonts w:hint="default"/>
                <w:color w:val="auto"/>
                <w:lang w:val="lv-LV" w:eastAsia="zh-CN"/>
              </w:rPr>
              <w:t xml:space="preserve"> - 21 </w:t>
            </w:r>
            <w:r>
              <w:rPr>
                <w:color w:val="auto"/>
                <w:lang w:val="en-US"/>
              </w:rPr>
              <w:t>(</w:t>
            </w:r>
            <w:r>
              <w:rPr>
                <w:color w:val="auto"/>
                <w:lang w:val="en-US" w:eastAsia="zh-CN"/>
              </w:rPr>
              <w:t>bet ne vēlāk kā 31.03.2027.</w:t>
            </w:r>
            <w:r>
              <w:rPr>
                <w:rFonts w:hint="default"/>
                <w:color w:val="auto"/>
                <w:lang w:val="lv-LV" w:eastAsia="zh-CN"/>
              </w:rPr>
              <w:t>)</w:t>
            </w:r>
            <w:r>
              <w:rPr>
                <w:color w:val="auto"/>
                <w:lang w:val="en-US" w:eastAsia="zh-CN"/>
              </w:rPr>
              <w:t xml:space="preserve"> / </w:t>
            </w:r>
          </w:p>
          <w:p w14:paraId="42DAB45F">
            <w:pPr>
              <w:keepNext w:val="0"/>
              <w:keepLines w:val="0"/>
              <w:widowControl/>
              <w:suppressLineNumbers w:val="0"/>
              <w:jc w:val="left"/>
              <w:rPr>
                <w:rFonts w:ascii="Calibri" w:hAnsi="Calibri" w:eastAsia="Calibri" w:cs="Calibri"/>
                <w:i/>
                <w:iCs/>
                <w:color w:val="auto"/>
                <w:sz w:val="20"/>
                <w:szCs w:val="20"/>
                <w:lang w:val="en-US" w:eastAsia="zh-CN" w:bidi="ar-SA"/>
              </w:rPr>
            </w:pPr>
            <w:r>
              <w:rPr>
                <w:rFonts w:ascii="Calibri" w:hAnsi="Calibri" w:eastAsia="Calibri" w:cs="Calibri"/>
                <w:i/>
                <w:iCs/>
                <w:color w:val="auto"/>
                <w:sz w:val="20"/>
                <w:szCs w:val="20"/>
                <w:lang w:val="en-US" w:eastAsia="zh-CN" w:bidi="ar-SA"/>
              </w:rPr>
              <w:t>Maximum deadlines (weeks from the effective date of the contract):</w:t>
            </w:r>
          </w:p>
          <w:p w14:paraId="405258B1">
            <w:pPr>
              <w:keepNext w:val="0"/>
              <w:keepLines w:val="0"/>
              <w:widowControl/>
              <w:suppressLineNumbers w:val="0"/>
              <w:jc w:val="left"/>
              <w:rPr>
                <w:rFonts w:ascii="Calibri" w:hAnsi="Calibri" w:eastAsia="Calibri" w:cs="Calibri"/>
                <w:i/>
                <w:iCs/>
                <w:color w:val="auto"/>
                <w:sz w:val="20"/>
                <w:szCs w:val="20"/>
                <w:lang w:val="en-US" w:eastAsia="zh-CN" w:bidi="ar-SA"/>
              </w:rPr>
            </w:pPr>
            <w:r>
              <w:rPr>
                <w:rFonts w:ascii="helvetica" w:hAnsi="helvetica" w:eastAsia="helvetica" w:cs="helvetica"/>
                <w:i w:val="0"/>
                <w:iCs w:val="0"/>
                <w:caps w:val="0"/>
                <w:color w:val="0B0B0B"/>
                <w:spacing w:val="0"/>
                <w:kern w:val="0"/>
                <w:sz w:val="22"/>
                <w:szCs w:val="22"/>
                <w:shd w:val="clear" w:fill="FFFFFF"/>
                <w:lang w:val="en-US" w:eastAsia="zh-CN" w:bidi="ar"/>
              </w:rPr>
              <w:t>(</w:t>
            </w:r>
            <w:r>
              <w:rPr>
                <w:rFonts w:ascii="Calibri" w:hAnsi="Calibri" w:eastAsia="Calibri" w:cs="Calibri"/>
                <w:i/>
                <w:iCs/>
                <w:color w:val="auto"/>
                <w:sz w:val="20"/>
                <w:szCs w:val="20"/>
                <w:lang w:val="en-US" w:eastAsia="zh-CN" w:bidi="ar-SA"/>
              </w:rPr>
              <w:t>1) Work and research schedule, technical design of the research environment, digital twin design – 4;</w:t>
            </w:r>
          </w:p>
          <w:p w14:paraId="096F6776">
            <w:pPr>
              <w:keepNext w:val="0"/>
              <w:keepLines w:val="0"/>
              <w:widowControl/>
              <w:suppressLineNumbers w:val="0"/>
              <w:jc w:val="left"/>
              <w:rPr>
                <w:rFonts w:ascii="Calibri" w:hAnsi="Calibri" w:eastAsia="Calibri" w:cs="Calibri"/>
                <w:i/>
                <w:iCs/>
                <w:color w:val="auto"/>
                <w:sz w:val="20"/>
                <w:szCs w:val="20"/>
                <w:lang w:val="en-US" w:eastAsia="zh-CN" w:bidi="ar-SA"/>
              </w:rPr>
            </w:pPr>
            <w:r>
              <w:rPr>
                <w:rFonts w:ascii="Calibri" w:hAnsi="Calibri" w:eastAsia="Calibri" w:cs="Calibri"/>
                <w:i/>
                <w:iCs/>
                <w:color w:val="auto"/>
                <w:sz w:val="20"/>
                <w:szCs w:val="20"/>
                <w:lang w:val="en-US" w:eastAsia="zh-CN" w:bidi="ar-SA"/>
              </w:rPr>
              <w:t>(2) Preparation of the research environment for carrying out the research: design, assembly, software configuration and licensing, integration, calibration, functional validation through the acceptance test and personnel training – 12;</w:t>
            </w:r>
          </w:p>
          <w:p w14:paraId="18C3471C">
            <w:pPr>
              <w:keepNext w:val="0"/>
              <w:keepLines w:val="0"/>
              <w:widowControl/>
              <w:suppressLineNumbers w:val="0"/>
              <w:jc w:val="left"/>
              <w:rPr>
                <w:rFonts w:ascii="Calibri" w:hAnsi="Calibri" w:eastAsia="Calibri" w:cs="Calibri"/>
                <w:i/>
                <w:iCs/>
                <w:color w:val="auto"/>
                <w:sz w:val="20"/>
                <w:szCs w:val="20"/>
                <w:lang w:val="en-US" w:eastAsia="zh-CN" w:bidi="ar-SA"/>
              </w:rPr>
            </w:pPr>
            <w:r>
              <w:rPr>
                <w:rFonts w:ascii="Calibri" w:hAnsi="Calibri" w:eastAsia="Calibri" w:cs="Calibri"/>
                <w:i/>
                <w:iCs/>
                <w:color w:val="auto"/>
                <w:sz w:val="20"/>
                <w:szCs w:val="20"/>
                <w:lang w:val="en-US" w:eastAsia="zh-CN" w:bidi="ar-SA"/>
              </w:rPr>
              <w:t>(3) Part 1 section 1 industrial research: surface treatment and seam preparation technologies – 17;</w:t>
            </w:r>
          </w:p>
          <w:p w14:paraId="01C83C0A">
            <w:pPr>
              <w:keepNext w:val="0"/>
              <w:keepLines w:val="0"/>
              <w:widowControl/>
              <w:suppressLineNumbers w:val="0"/>
              <w:jc w:val="left"/>
              <w:rPr>
                <w:rFonts w:ascii="Calibri" w:hAnsi="Calibri" w:eastAsia="Calibri" w:cs="Calibri"/>
                <w:i/>
                <w:iCs/>
                <w:color w:val="auto"/>
                <w:sz w:val="20"/>
                <w:szCs w:val="20"/>
                <w:lang w:val="en-US" w:eastAsia="zh-CN" w:bidi="ar-SA"/>
              </w:rPr>
            </w:pPr>
            <w:r>
              <w:rPr>
                <w:rFonts w:ascii="Calibri" w:hAnsi="Calibri" w:eastAsia="Calibri" w:cs="Calibri"/>
                <w:i/>
                <w:iCs/>
                <w:color w:val="auto"/>
                <w:sz w:val="20"/>
                <w:szCs w:val="20"/>
                <w:lang w:val="en-US" w:eastAsia="zh-CN" w:bidi="ar-SA"/>
              </w:rPr>
              <w:t>(4) Part 1 section 2 industrial research: Edge automated control – 19;</w:t>
            </w:r>
          </w:p>
          <w:p w14:paraId="04398E5F">
            <w:pPr>
              <w:keepNext w:val="0"/>
              <w:keepLines w:val="0"/>
              <w:widowControl/>
              <w:suppressLineNumbers w:val="0"/>
              <w:jc w:val="left"/>
              <w:rPr>
                <w:color w:val="auto"/>
                <w:lang w:val="en-US"/>
              </w:rPr>
            </w:pPr>
            <w:r>
              <w:rPr>
                <w:rFonts w:ascii="Calibri" w:hAnsi="Calibri" w:eastAsia="Calibri" w:cs="Calibri"/>
                <w:i/>
                <w:iCs/>
                <w:color w:val="auto"/>
                <w:sz w:val="20"/>
                <w:szCs w:val="20"/>
                <w:lang w:val="en-US" w:eastAsia="zh-CN" w:bidi="ar-SA"/>
              </w:rPr>
              <w:t>(5) Summary report, complete documentation – 21 (but no later than 31 March 2027).</w:t>
            </w:r>
          </w:p>
        </w:tc>
        <w:tc>
          <w:p w14:paraId="2A21BDB6">
            <w:pPr>
              <w:pStyle w:val="28"/>
              <w:jc w:val="left"/>
              <w:rPr>
                <w:color w:val="auto"/>
              </w:rPr>
            </w:pPr>
            <w:r>
              <w:rPr>
                <w:color w:val="auto"/>
                <w:lang w:val="en-US" w:eastAsia="zh-CN"/>
              </w:rPr>
              <w:t>Apliecinām / Confirmed</w:t>
            </w:r>
          </w:p>
        </w:tc>
      </w:tr>
      <w:tr w14:paraId="667B8BD9">
        <w:tc>
          <w:p w14:paraId="250BB3D6">
            <w:pPr>
              <w:pStyle w:val="28"/>
              <w:jc w:val="left"/>
              <w:rPr>
                <w:color w:val="auto"/>
              </w:rPr>
            </w:pPr>
            <w:r>
              <w:rPr>
                <w:color w:val="auto"/>
              </w:rPr>
              <w:t>4.21</w:t>
            </w:r>
          </w:p>
        </w:tc>
        <w:tc>
          <w:p w14:paraId="2DFFA973">
            <w:pPr>
              <w:pStyle w:val="28"/>
              <w:jc w:val="left"/>
              <w:rPr>
                <w:color w:val="auto"/>
              </w:rPr>
            </w:pPr>
            <w:r>
              <w:rPr>
                <w:color w:val="auto"/>
              </w:rPr>
              <w:t>Rezultātu izmantošana un intelektuālais īpašums / Use of results and intellectual property</w:t>
            </w:r>
          </w:p>
        </w:tc>
        <w:tc>
          <w:p w14:paraId="2242497C">
            <w:pPr>
              <w:pStyle w:val="28"/>
              <w:jc w:val="left"/>
            </w:pPr>
            <w:r>
              <w:rPr>
                <w:color w:val="auto"/>
                <w:lang w:val="en-US"/>
              </w:rPr>
              <w:t xml:space="preserve">Pasūtītājam pieder tiesības brīvi izmantot un publiskot pētījuma rezultātus, izmantot tos turpmākajā izstrādē un ražošanas attīstībā un nodot IPCEI projekta partneriem un atbildīgajai institūcijai. Izpildītājs nodod neierobežotas lietošanas tiesības programmām, digitālā dvīņa projektu un API dokumentāciju; Izpildītāja iepriekš radītais intelektuālais īpašums paliek Izpildītājam, piešķirot Pasūtītājam neierobežotu lietošanas tiesību. Pētījuma un procesa dati pieder Pasūtītājam / </w:t>
            </w:r>
            <w:r>
              <w:rPr>
                <w:rFonts w:ascii="Calibri" w:hAnsi="Calibri" w:eastAsia="Calibri" w:cs="Calibri"/>
                <w:i/>
                <w:iCs/>
                <w:color w:val="auto"/>
                <w:sz w:val="20"/>
                <w:szCs w:val="20"/>
                <w:lang w:val="en-US" w:eastAsia="lv-LV" w:bidi="ar-SA"/>
              </w:rPr>
              <w:t>The Customer is entitled to freely use and publish the research results, to use them in further development and production scale-up, and to share them with the IPCEI project partners and the responsible authority. The Contractor grants unrestricted rights of use in the programs, the digital twin design and the API documentation; intellectual property created by the Contractor beforehand remains with the Contractor, with an unrestricted right of use granted to the Customer. The research and process data belong to the Customer.</w:t>
            </w:r>
          </w:p>
        </w:tc>
        <w:tc>
          <w:p w14:paraId="1EED1FBA">
            <w:pPr>
              <w:pStyle w:val="28"/>
              <w:rPr>
                <w:color w:val="auto"/>
              </w:rPr>
            </w:pPr>
            <w:r>
              <w:rPr>
                <w:color w:val="auto"/>
                <w:lang w:val="en-US" w:eastAsia="zh-CN"/>
              </w:rPr>
              <w:t>Apliecinām / Confirmed</w:t>
            </w:r>
          </w:p>
        </w:tc>
      </w:tr>
      <w:tr w14:paraId="3324EDEA">
        <w:tc>
          <w:p w14:paraId="4BE398C2">
            <w:pPr>
              <w:pStyle w:val="28"/>
              <w:jc w:val="left"/>
              <w:rPr>
                <w:color w:val="auto"/>
                <w:lang w:val="lv-LV"/>
              </w:rPr>
            </w:pPr>
            <w:r>
              <w:rPr>
                <w:color w:val="auto"/>
              </w:rPr>
              <w:t>4.22</w:t>
            </w:r>
          </w:p>
        </w:tc>
        <w:tc>
          <w:p w14:paraId="192CB618">
            <w:pPr>
              <w:pStyle w:val="28"/>
              <w:jc w:val="left"/>
              <w:rPr>
                <w:color w:val="auto"/>
              </w:rPr>
            </w:pPr>
            <w:r>
              <w:rPr>
                <w:color w:val="auto"/>
              </w:rPr>
              <w:t>Komercnoslēpums / Trade secret</w:t>
            </w:r>
          </w:p>
        </w:tc>
        <w:tc>
          <w:p w14:paraId="2DB40B5C">
            <w:pPr>
              <w:pStyle w:val="28"/>
              <w:jc w:val="left"/>
              <w:rPr>
                <w:color w:val="auto"/>
              </w:rPr>
            </w:pPr>
            <w:r>
              <w:rPr>
                <w:color w:val="auto"/>
              </w:rPr>
              <w:t xml:space="preserve">Ja piedāvājumā ir komercnoslēpums, norāda, kura informācija tā ir, un pamatojumu. Par komercnoslēpumu nevar atzīt vispārpieejamu informāciju, kopējo līgumcenu un informāciju, kas apliecina atbilstību prasībām. Ja komercnoslēpuma nav, ieraksta “nav” / </w:t>
            </w:r>
            <w:r>
              <w:rPr>
                <w:i/>
                <w:iCs/>
                <w:color w:val="auto"/>
              </w:rPr>
              <w:t>If the offer contains a trade secret, state which information it is and the grounds. Publicly available information, the total contract price and information demonstrating compliance with the requirements cannot be treated as a trade secret. If there is none, enter “none”</w:t>
            </w:r>
          </w:p>
        </w:tc>
        <w:tc>
          <w:p w14:paraId="318D09D6">
            <w:pPr>
              <w:pStyle w:val="28"/>
              <w:rPr>
                <w:color w:val="auto"/>
              </w:rPr>
            </w:pPr>
          </w:p>
        </w:tc>
      </w:tr>
      <w:bookmarkEnd w:id="4"/>
    </w:tbl>
    <w:p w14:paraId="75D64E83">
      <w:pPr>
        <w:pStyle w:val="4"/>
        <w:rPr>
          <w:color w:val="auto"/>
        </w:rPr>
      </w:pPr>
      <w:bookmarkStart w:id="5" w:name="pieredzes-projekti-experience-projects"/>
      <w:r>
        <w:rPr>
          <w:color w:val="auto"/>
        </w:rPr>
        <w:t>5. Pieredzes projekti / Experience projects</w:t>
      </w:r>
    </w:p>
    <w:p w14:paraId="71BB7AF9">
      <w:pPr>
        <w:pStyle w:val="27"/>
        <w:rPr>
          <w:color w:val="auto"/>
        </w:rPr>
      </w:pPr>
      <w:r>
        <w:rPr>
          <w:color w:val="auto"/>
        </w:rPr>
        <w:t>Aizpildāms tikai tas rindu skaits, kas nepieciešams 4.9.–4.11. prasību izpildei (vismaz 3</w:t>
      </w:r>
      <w:r>
        <w:rPr>
          <w:rFonts w:hint="default"/>
          <w:color w:val="auto"/>
          <w:lang w:val="lv-LV"/>
        </w:rPr>
        <w:t>, drīkst papildināt ar vairāk projektiem</w:t>
      </w:r>
      <w:r>
        <w:rPr>
          <w:color w:val="auto"/>
        </w:rPr>
        <w:t>). Atsauksmes, izziņas un projektu aprakstus iesniegt nav nepieciešams — Pasūtītājs pārbauda informāciju, sazinoties ar norādītajām kontaktpersonām.</w:t>
      </w:r>
    </w:p>
    <w:p w14:paraId="02179355">
      <w:pPr>
        <w:pStyle w:val="3"/>
        <w:rPr>
          <w:color w:val="auto"/>
        </w:rPr>
      </w:pPr>
      <w:r>
        <w:rPr>
          <w:i/>
          <w:iCs/>
          <w:color w:val="auto"/>
        </w:rPr>
        <w:t>Only the number of rows needed to satisfy the requirements in rows 4.9 to 4.11 (at least 3</w:t>
      </w:r>
      <w:r>
        <w:rPr>
          <w:rFonts w:hint="default"/>
          <w:i/>
          <w:iCs/>
          <w:color w:val="auto"/>
          <w:lang w:val="lv-LV"/>
        </w:rPr>
        <w:t>, more projects can be added</w:t>
      </w:r>
      <w:r>
        <w:rPr>
          <w:i/>
          <w:iCs/>
          <w:color w:val="auto"/>
        </w:rPr>
        <w:t>) is to be completed. References, certificates and project descriptions need not be submitted — the contracting authority verifies the information by contacting the persons stated.</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400"/>
        <w:gridCol w:w="1300"/>
        <w:gridCol w:w="2006"/>
        <w:gridCol w:w="1694"/>
        <w:gridCol w:w="1000"/>
        <w:gridCol w:w="988"/>
        <w:gridCol w:w="1170"/>
        <w:gridCol w:w="2042"/>
      </w:tblGrid>
      <w:tr w14:paraId="6D37CE12">
        <w:trPr>
          <w:tblHeader/>
        </w:trPr>
        <w:tc>
          <w:p w14:paraId="518AB0F7">
            <w:pPr>
              <w:pStyle w:val="28"/>
              <w:jc w:val="left"/>
              <w:rPr>
                <w:color w:val="auto"/>
              </w:rPr>
            </w:pPr>
            <w:r>
              <w:rPr>
                <w:color w:val="auto"/>
              </w:rPr>
              <w:t>#</w:t>
            </w:r>
          </w:p>
        </w:tc>
        <w:tc>
          <w:p w14:paraId="23110AE8">
            <w:pPr>
              <w:pStyle w:val="28"/>
              <w:jc w:val="left"/>
              <w:rPr>
                <w:color w:val="auto"/>
              </w:rPr>
            </w:pPr>
            <w:r>
              <w:rPr>
                <w:color w:val="auto"/>
              </w:rPr>
              <w:t>Pasūtītājs / Client</w:t>
            </w:r>
          </w:p>
        </w:tc>
        <w:tc>
          <w:tcPr>
            <w:tcW w:w="2006" w:type="dxa"/>
          </w:tcPr>
          <w:p w14:paraId="099D7BBF">
            <w:pPr>
              <w:pStyle w:val="28"/>
              <w:jc w:val="left"/>
              <w:rPr>
                <w:color w:val="auto"/>
              </w:rPr>
            </w:pPr>
            <w:r>
              <w:rPr>
                <w:color w:val="auto"/>
              </w:rPr>
              <w:t>Sistēmas apraksts, apstrādes veids un materiāls / System, process and material</w:t>
            </w:r>
          </w:p>
        </w:tc>
        <w:tc>
          <w:tcPr>
            <w:tcW w:w="1694" w:type="dxa"/>
          </w:tcPr>
          <w:p w14:paraId="4E0443F4">
            <w:pPr>
              <w:pStyle w:val="28"/>
              <w:jc w:val="left"/>
              <w:rPr>
                <w:color w:val="auto"/>
              </w:rPr>
            </w:pPr>
            <w:r>
              <w:rPr>
                <w:color w:val="auto"/>
              </w:rPr>
              <w:t>Robots vai portāla sistēma: ražotājs, modelis / Robot or gantry system: make, model</w:t>
            </w:r>
          </w:p>
        </w:tc>
        <w:tc>
          <w:p w14:paraId="640F2F63">
            <w:pPr>
              <w:pStyle w:val="28"/>
              <w:jc w:val="left"/>
              <w:rPr>
                <w:color w:val="auto"/>
              </w:rPr>
            </w:pPr>
            <w:r>
              <w:rPr>
                <w:color w:val="auto"/>
              </w:rPr>
              <w:t>Vērtība, EUR bez PVN / Value, EUR excl. VAT</w:t>
            </w:r>
          </w:p>
        </w:tc>
        <w:tc>
          <w:tcPr>
            <w:tcW w:w="988" w:type="dxa"/>
          </w:tcPr>
          <w:p w14:paraId="6FDC178D">
            <w:pPr>
              <w:pStyle w:val="28"/>
              <w:jc w:val="left"/>
              <w:rPr>
                <w:color w:val="auto"/>
              </w:rPr>
            </w:pPr>
            <w:r>
              <w:rPr>
                <w:color w:val="auto"/>
              </w:rPr>
              <w:t>Nodošanas gads / Year of commissioning</w:t>
            </w:r>
          </w:p>
        </w:tc>
        <w:tc>
          <w:tcPr>
            <w:tcW w:w="1170" w:type="dxa"/>
          </w:tcPr>
          <w:p w14:paraId="06545836">
            <w:pPr>
              <w:pStyle w:val="28"/>
              <w:jc w:val="left"/>
              <w:rPr>
                <w:color w:val="auto"/>
              </w:rPr>
            </w:pPr>
            <w:r>
              <w:rPr>
                <w:color w:val="auto"/>
              </w:rPr>
              <w:t>HDPE metināšana (jā / nē) / HDPE welding (yes / no)</w:t>
            </w:r>
          </w:p>
        </w:tc>
        <w:tc>
          <w:tcPr>
            <w:tcW w:w="2042" w:type="dxa"/>
          </w:tcPr>
          <w:p w14:paraId="4651833C">
            <w:pPr>
              <w:pStyle w:val="28"/>
              <w:jc w:val="left"/>
              <w:rPr>
                <w:color w:val="auto"/>
              </w:rPr>
            </w:pPr>
            <w:r>
              <w:rPr>
                <w:color w:val="auto"/>
              </w:rPr>
              <w:t>Kontaktpersona: vārds, tālrunis, e-pasts / Client contact: name, phone, e-mail</w:t>
            </w:r>
          </w:p>
        </w:tc>
      </w:tr>
      <w:tr w14:paraId="2DD3FDA1">
        <w:tc>
          <w:p w14:paraId="2505A41E">
            <w:pPr>
              <w:pStyle w:val="28"/>
              <w:jc w:val="left"/>
              <w:rPr>
                <w:color w:val="auto"/>
              </w:rPr>
            </w:pPr>
            <w:r>
              <w:rPr>
                <w:color w:val="auto"/>
              </w:rPr>
              <w:t>1</w:t>
            </w:r>
          </w:p>
        </w:tc>
        <w:tc>
          <w:p w14:paraId="490223FE">
            <w:pPr>
              <w:pStyle w:val="28"/>
              <w:rPr>
                <w:color w:val="auto"/>
              </w:rPr>
            </w:pPr>
          </w:p>
        </w:tc>
        <w:tc>
          <w:tcPr>
            <w:tcW w:w="2006" w:type="dxa"/>
          </w:tcPr>
          <w:p w14:paraId="49FE2E12">
            <w:pPr>
              <w:pStyle w:val="28"/>
              <w:rPr>
                <w:color w:val="auto"/>
              </w:rPr>
            </w:pPr>
          </w:p>
        </w:tc>
        <w:tc>
          <w:tcPr>
            <w:tcW w:w="1694" w:type="dxa"/>
          </w:tcPr>
          <w:p w14:paraId="7FF74C9B">
            <w:pPr>
              <w:pStyle w:val="28"/>
              <w:rPr>
                <w:color w:val="auto"/>
              </w:rPr>
            </w:pPr>
          </w:p>
        </w:tc>
        <w:tc>
          <w:p w14:paraId="0FB72326">
            <w:pPr>
              <w:pStyle w:val="28"/>
              <w:rPr>
                <w:color w:val="auto"/>
              </w:rPr>
            </w:pPr>
          </w:p>
        </w:tc>
        <w:tc>
          <w:tcPr>
            <w:tcW w:w="988" w:type="dxa"/>
          </w:tcPr>
          <w:p w14:paraId="33C38192">
            <w:pPr>
              <w:pStyle w:val="28"/>
              <w:rPr>
                <w:color w:val="auto"/>
              </w:rPr>
            </w:pPr>
          </w:p>
        </w:tc>
        <w:tc>
          <w:tcPr>
            <w:tcW w:w="1170" w:type="dxa"/>
          </w:tcPr>
          <w:p w14:paraId="3DDF246E">
            <w:pPr>
              <w:pStyle w:val="28"/>
              <w:rPr>
                <w:color w:val="auto"/>
              </w:rPr>
            </w:pPr>
          </w:p>
        </w:tc>
        <w:tc>
          <w:tcPr>
            <w:tcW w:w="2042" w:type="dxa"/>
          </w:tcPr>
          <w:p w14:paraId="4C90662D">
            <w:pPr>
              <w:pStyle w:val="28"/>
              <w:rPr>
                <w:color w:val="auto"/>
              </w:rPr>
            </w:pPr>
          </w:p>
        </w:tc>
      </w:tr>
      <w:tr w14:paraId="6FE02234">
        <w:tc>
          <w:p w14:paraId="348128ED">
            <w:pPr>
              <w:pStyle w:val="28"/>
              <w:jc w:val="left"/>
              <w:rPr>
                <w:color w:val="auto"/>
              </w:rPr>
            </w:pPr>
            <w:r>
              <w:rPr>
                <w:color w:val="auto"/>
              </w:rPr>
              <w:t>2</w:t>
            </w:r>
          </w:p>
        </w:tc>
        <w:tc>
          <w:p w14:paraId="2EAF8339">
            <w:pPr>
              <w:pStyle w:val="28"/>
              <w:rPr>
                <w:color w:val="auto"/>
              </w:rPr>
            </w:pPr>
          </w:p>
        </w:tc>
        <w:tc>
          <w:tcPr>
            <w:tcW w:w="2006" w:type="dxa"/>
          </w:tcPr>
          <w:p w14:paraId="0FD5673F">
            <w:pPr>
              <w:pStyle w:val="28"/>
              <w:rPr>
                <w:color w:val="auto"/>
              </w:rPr>
            </w:pPr>
          </w:p>
        </w:tc>
        <w:tc>
          <w:tcPr>
            <w:tcW w:w="1694" w:type="dxa"/>
          </w:tcPr>
          <w:p w14:paraId="5E3F525E">
            <w:pPr>
              <w:pStyle w:val="28"/>
              <w:rPr>
                <w:color w:val="auto"/>
              </w:rPr>
            </w:pPr>
          </w:p>
        </w:tc>
        <w:tc>
          <w:p w14:paraId="34F0A0E1">
            <w:pPr>
              <w:pStyle w:val="28"/>
              <w:rPr>
                <w:color w:val="auto"/>
              </w:rPr>
            </w:pPr>
          </w:p>
        </w:tc>
        <w:tc>
          <w:tcPr>
            <w:tcW w:w="988" w:type="dxa"/>
          </w:tcPr>
          <w:p w14:paraId="5F04D4EC">
            <w:pPr>
              <w:pStyle w:val="28"/>
              <w:rPr>
                <w:color w:val="auto"/>
              </w:rPr>
            </w:pPr>
          </w:p>
        </w:tc>
        <w:tc>
          <w:tcPr>
            <w:tcW w:w="1170" w:type="dxa"/>
          </w:tcPr>
          <w:p w14:paraId="4E4AFD04">
            <w:pPr>
              <w:pStyle w:val="28"/>
              <w:rPr>
                <w:color w:val="auto"/>
              </w:rPr>
            </w:pPr>
          </w:p>
        </w:tc>
        <w:tc>
          <w:tcPr>
            <w:tcW w:w="2042" w:type="dxa"/>
          </w:tcPr>
          <w:p w14:paraId="5B2C65FF">
            <w:pPr>
              <w:pStyle w:val="28"/>
              <w:rPr>
                <w:color w:val="auto"/>
              </w:rPr>
            </w:pPr>
          </w:p>
        </w:tc>
      </w:tr>
      <w:tr w14:paraId="2F985CF6">
        <w:tc>
          <w:p w14:paraId="4BDA3D04">
            <w:pPr>
              <w:pStyle w:val="28"/>
              <w:jc w:val="left"/>
              <w:rPr>
                <w:color w:val="auto"/>
              </w:rPr>
            </w:pPr>
            <w:r>
              <w:rPr>
                <w:color w:val="auto"/>
              </w:rPr>
              <w:t>3</w:t>
            </w:r>
          </w:p>
        </w:tc>
        <w:tc>
          <w:p w14:paraId="2D7FEC5E">
            <w:pPr>
              <w:pStyle w:val="28"/>
              <w:rPr>
                <w:color w:val="auto"/>
              </w:rPr>
            </w:pPr>
          </w:p>
        </w:tc>
        <w:tc>
          <w:tcPr>
            <w:tcW w:w="2006" w:type="dxa"/>
          </w:tcPr>
          <w:p w14:paraId="2671CC5A">
            <w:pPr>
              <w:pStyle w:val="28"/>
              <w:rPr>
                <w:color w:val="auto"/>
              </w:rPr>
            </w:pPr>
          </w:p>
        </w:tc>
        <w:tc>
          <w:tcPr>
            <w:tcW w:w="1694" w:type="dxa"/>
          </w:tcPr>
          <w:p w14:paraId="0A573BF3">
            <w:pPr>
              <w:pStyle w:val="28"/>
              <w:rPr>
                <w:color w:val="auto"/>
              </w:rPr>
            </w:pPr>
          </w:p>
        </w:tc>
        <w:tc>
          <w:p w14:paraId="44B5D688">
            <w:pPr>
              <w:pStyle w:val="28"/>
              <w:rPr>
                <w:color w:val="auto"/>
              </w:rPr>
            </w:pPr>
          </w:p>
        </w:tc>
        <w:tc>
          <w:tcPr>
            <w:tcW w:w="988" w:type="dxa"/>
          </w:tcPr>
          <w:p w14:paraId="76F93186">
            <w:pPr>
              <w:pStyle w:val="28"/>
              <w:rPr>
                <w:color w:val="auto"/>
              </w:rPr>
            </w:pPr>
          </w:p>
        </w:tc>
        <w:tc>
          <w:tcPr>
            <w:tcW w:w="1170" w:type="dxa"/>
          </w:tcPr>
          <w:p w14:paraId="6A26E0E4">
            <w:pPr>
              <w:pStyle w:val="28"/>
              <w:rPr>
                <w:color w:val="auto"/>
              </w:rPr>
            </w:pPr>
          </w:p>
        </w:tc>
        <w:tc>
          <w:tcPr>
            <w:tcW w:w="2042" w:type="dxa"/>
          </w:tcPr>
          <w:p w14:paraId="1B7144B5">
            <w:pPr>
              <w:pStyle w:val="28"/>
              <w:rPr>
                <w:color w:val="auto"/>
              </w:rPr>
            </w:pPr>
          </w:p>
        </w:tc>
      </w:tr>
      <w:tr w14:paraId="11EBF0C7">
        <w:tc>
          <w:p w14:paraId="5DEA29E3">
            <w:pPr>
              <w:pStyle w:val="28"/>
              <w:jc w:val="left"/>
              <w:rPr>
                <w:color w:val="auto"/>
              </w:rPr>
            </w:pPr>
            <w:r>
              <w:rPr>
                <w:color w:val="auto"/>
              </w:rPr>
              <w:t>4</w:t>
            </w:r>
          </w:p>
        </w:tc>
        <w:tc>
          <w:p w14:paraId="001690C8">
            <w:pPr>
              <w:pStyle w:val="28"/>
              <w:rPr>
                <w:color w:val="auto"/>
              </w:rPr>
            </w:pPr>
          </w:p>
        </w:tc>
        <w:tc>
          <w:tcPr>
            <w:tcW w:w="2006" w:type="dxa"/>
          </w:tcPr>
          <w:p w14:paraId="43EDBA19">
            <w:pPr>
              <w:pStyle w:val="28"/>
              <w:rPr>
                <w:color w:val="auto"/>
              </w:rPr>
            </w:pPr>
          </w:p>
        </w:tc>
        <w:tc>
          <w:tcPr>
            <w:tcW w:w="1694" w:type="dxa"/>
          </w:tcPr>
          <w:p w14:paraId="56C82051">
            <w:pPr>
              <w:pStyle w:val="28"/>
              <w:rPr>
                <w:color w:val="auto"/>
              </w:rPr>
            </w:pPr>
          </w:p>
        </w:tc>
        <w:tc>
          <w:p w14:paraId="314D0D65">
            <w:pPr>
              <w:pStyle w:val="28"/>
              <w:rPr>
                <w:color w:val="auto"/>
              </w:rPr>
            </w:pPr>
          </w:p>
        </w:tc>
        <w:tc>
          <w:tcPr>
            <w:tcW w:w="988" w:type="dxa"/>
          </w:tcPr>
          <w:p w14:paraId="5E379368">
            <w:pPr>
              <w:pStyle w:val="28"/>
              <w:rPr>
                <w:color w:val="auto"/>
              </w:rPr>
            </w:pPr>
          </w:p>
        </w:tc>
        <w:tc>
          <w:tcPr>
            <w:tcW w:w="1170" w:type="dxa"/>
          </w:tcPr>
          <w:p w14:paraId="2EB6FBF2">
            <w:pPr>
              <w:pStyle w:val="28"/>
              <w:rPr>
                <w:color w:val="auto"/>
              </w:rPr>
            </w:pPr>
          </w:p>
          <w:bookmarkEnd w:id="5"/>
        </w:tc>
        <w:tc>
          <w:tcPr>
            <w:tcW w:w="2042" w:type="dxa"/>
          </w:tcPr>
          <w:p w14:paraId="14332E27">
            <w:pPr>
              <w:pStyle w:val="28"/>
              <w:rPr>
                <w:color w:val="auto"/>
              </w:rPr>
            </w:pPr>
          </w:p>
        </w:tc>
      </w:tr>
    </w:tbl>
    <w:p w14:paraId="52B9FB08">
      <w:pPr>
        <w:pStyle w:val="4"/>
        <w:rPr>
          <w:color w:val="auto"/>
        </w:rPr>
      </w:pPr>
      <w:bookmarkStart w:id="6" w:name="finanšu-piedāvājums-financial-offer"/>
      <w:r>
        <w:rPr>
          <w:rFonts w:hint="default"/>
          <w:color w:val="auto"/>
          <w:lang w:val="lv-LV"/>
        </w:rPr>
        <w:t>6</w:t>
      </w:r>
      <w:r>
        <w:rPr>
          <w:color w:val="auto"/>
        </w:rPr>
        <w:t>. Finanšu piedāvājums / Financial offer</w:t>
      </w:r>
    </w:p>
    <w:p w14:paraId="70D40E61">
      <w:pPr>
        <w:pStyle w:val="27"/>
        <w:rPr>
          <w:color w:val="auto"/>
        </w:rPr>
      </w:pPr>
      <w:r>
        <w:rPr>
          <w:color w:val="auto"/>
        </w:rPr>
        <w:t xml:space="preserve">Cenas norādāmas euro bez PVN ar divām zīmēm pēc komata. Cenā iekļaujamas visas izmaksas: pētījuma veikšana, personāls, laboratorijas testi un mērījumi, iekārtas, programmatūras licences, materiāli, projektēšana, integrācija, kalibrēšana, dokumentācija, tulkojumi </w:t>
      </w:r>
      <w:r>
        <w:rPr>
          <w:rFonts w:hint="default"/>
          <w:color w:val="auto"/>
          <w:lang w:val="lv-LV"/>
        </w:rPr>
        <w:t>un citas ar izpildi saistītās izmaksas</w:t>
      </w:r>
      <w:r>
        <w:rPr>
          <w:color w:val="auto"/>
        </w:rPr>
        <w:t>, kā arī visi nodokļi un nodevas, izņemot PVN.</w:t>
      </w:r>
    </w:p>
    <w:p w14:paraId="5E427CC0">
      <w:pPr>
        <w:pStyle w:val="3"/>
      </w:pPr>
      <w:r>
        <w:rPr>
          <w:i/>
          <w:iCs/>
          <w:color w:val="auto"/>
          <w:lang w:val="en-US" w:eastAsia="zh-CN"/>
        </w:rPr>
        <w:t xml:space="preserve">Prices shall be stated in euro excluding VAT with two decimal places. The price shall include all costs: carrying out the research, personnel, laboratory tests and measurements, equipment, software </w:t>
      </w:r>
      <w:r>
        <w:rPr>
          <w:i/>
          <w:iCs/>
          <w:color w:val="auto"/>
          <w:lang w:val="lv-LV" w:eastAsia="zh-CN"/>
        </w:rPr>
        <w:t>licenses</w:t>
      </w:r>
      <w:r>
        <w:rPr>
          <w:i/>
          <w:iCs/>
          <w:color w:val="auto"/>
          <w:lang w:val="en-US" w:eastAsia="zh-CN"/>
        </w:rPr>
        <w:t>, materials, design, integration, calibration, documentation, translations, and other costs related to performance, as well as all taxes and duties other than VAT.</w:t>
      </w:r>
    </w:p>
    <w:p w14:paraId="5803A288">
      <w:pPr>
        <w:pStyle w:val="3"/>
        <w:rPr>
          <w:color w:val="auto"/>
        </w:rPr>
      </w:pP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900"/>
        <w:gridCol w:w="7669"/>
        <w:gridCol w:w="2031"/>
      </w:tblGrid>
      <w:tr w14:paraId="059A9182">
        <w:tc>
          <w:tcPr>
            <w:tcW w:w="900" w:type="dxa"/>
          </w:tcPr>
          <w:p w14:paraId="0B198B99">
            <w:pPr>
              <w:pStyle w:val="28"/>
              <w:spacing w:after="40"/>
              <w:jc w:val="left"/>
              <w:rPr>
                <w:color w:val="auto"/>
              </w:rPr>
            </w:pPr>
            <w:r>
              <w:rPr>
                <w:b/>
                <w:color w:val="auto"/>
              </w:rPr>
              <w:t>Poz. / Item</w:t>
            </w:r>
          </w:p>
        </w:tc>
        <w:tc>
          <w:tcPr>
            <w:tcW w:w="7669" w:type="dxa"/>
          </w:tcPr>
          <w:p w14:paraId="4708DE07">
            <w:pPr>
              <w:pStyle w:val="28"/>
              <w:spacing w:after="40"/>
              <w:jc w:val="left"/>
              <w:rPr>
                <w:color w:val="auto"/>
              </w:rPr>
            </w:pPr>
            <w:r>
              <w:rPr>
                <w:b/>
                <w:color w:val="auto"/>
              </w:rPr>
              <w:t>Nodevums / Deliverable</w:t>
            </w:r>
          </w:p>
        </w:tc>
        <w:tc>
          <w:tcPr>
            <w:tcW w:w="2031" w:type="dxa"/>
          </w:tcPr>
          <w:p w14:paraId="133E7D85">
            <w:pPr>
              <w:pStyle w:val="28"/>
              <w:spacing w:after="40"/>
              <w:rPr>
                <w:color w:val="auto"/>
              </w:rPr>
            </w:pPr>
            <w:r>
              <w:rPr>
                <w:b/>
                <w:color w:val="auto"/>
              </w:rPr>
              <w:t>Cena, EUR bez PVN / Price, EUR excl. VAT</w:t>
            </w:r>
          </w:p>
        </w:tc>
      </w:tr>
      <w:tr w14:paraId="67BB554C">
        <w:tc>
          <w:tcPr>
            <w:tcW w:w="900" w:type="dxa"/>
          </w:tcPr>
          <w:p w14:paraId="5A0506F8">
            <w:pPr>
              <w:pStyle w:val="28"/>
              <w:spacing w:after="40"/>
              <w:jc w:val="left"/>
              <w:rPr>
                <w:color w:val="auto"/>
              </w:rPr>
            </w:pPr>
            <w:r>
              <w:rPr>
                <w:b w:val="0"/>
                <w:color w:val="auto"/>
              </w:rPr>
              <w:t>1</w:t>
            </w:r>
          </w:p>
        </w:tc>
        <w:tc>
          <w:tcPr>
            <w:tcW w:w="7669" w:type="dxa"/>
          </w:tcPr>
          <w:p w14:paraId="73F11D49">
            <w:pPr>
              <w:pStyle w:val="28"/>
              <w:spacing w:after="40"/>
              <w:jc w:val="left"/>
              <w:rPr>
                <w:color w:val="auto"/>
              </w:rPr>
            </w:pPr>
            <w:r>
              <w:rPr>
                <w:b w:val="0"/>
                <w:color w:val="auto"/>
              </w:rPr>
              <w:t>Darbu un pētījumu grafiks, pētnieciskās vides tehniskais projekts, digitālā dvīņa projekts / Work and research schedule, technical design of the research environment, digital twin design</w:t>
            </w:r>
          </w:p>
        </w:tc>
        <w:tc>
          <w:tcPr>
            <w:tcW w:w="2031" w:type="dxa"/>
          </w:tcPr>
          <w:p w14:paraId="076AE221">
            <w:pPr>
              <w:pStyle w:val="28"/>
              <w:spacing w:after="40"/>
              <w:rPr>
                <w:color w:val="auto"/>
              </w:rPr>
            </w:pPr>
          </w:p>
        </w:tc>
      </w:tr>
      <w:tr w14:paraId="1E85971F">
        <w:tc>
          <w:tcPr>
            <w:tcW w:w="900" w:type="dxa"/>
          </w:tcPr>
          <w:p w14:paraId="058D6BD7">
            <w:pPr>
              <w:pStyle w:val="28"/>
              <w:spacing w:after="40"/>
              <w:jc w:val="left"/>
              <w:rPr>
                <w:rFonts w:hint="default"/>
                <w:color w:val="auto"/>
                <w:lang w:val="lv-LV"/>
              </w:rPr>
            </w:pPr>
            <w:r>
              <w:rPr>
                <w:rFonts w:hint="default"/>
                <w:color w:val="auto"/>
                <w:lang w:val="lv-LV"/>
              </w:rPr>
              <w:t>2</w:t>
            </w:r>
          </w:p>
        </w:tc>
        <w:tc>
          <w:tcPr>
            <w:tcW w:w="7669" w:type="dxa"/>
            <w:shd w:val="clear" w:color="auto" w:fill="auto"/>
            <w:vAlign w:val="top"/>
          </w:tcPr>
          <w:p w14:paraId="4FB62707">
            <w:pPr>
              <w:pStyle w:val="28"/>
              <w:spacing w:after="40"/>
              <w:jc w:val="left"/>
              <w:rPr>
                <w:rFonts w:ascii="Calibri" w:hAnsi="Calibri" w:eastAsia="Calibri" w:cs="Calibri"/>
                <w:b w:val="0"/>
                <w:bCs w:val="0"/>
                <w:color w:val="auto"/>
                <w:sz w:val="20"/>
                <w:szCs w:val="20"/>
                <w:lang w:val="en-US" w:eastAsia="lv-LV" w:bidi="ar-SA"/>
              </w:rPr>
            </w:pPr>
            <w:r>
              <w:rPr>
                <w:lang w:val="en-US"/>
              </w:rPr>
              <w:t>Pētnieciskās vides sagatavošana pētījuma veikšanai: projektēšana, komplektēšana, programmatūras konfigurēšana un licencēšana, integrācija, kalibrēšana, funkcionālā validācija ar akceptēšanas testu un personāla apmācība/ Preparation of the research environment for carrying out the research: design, assembly, software configuration and licensing, integration, calibration, functional validation through the acceptance test and personnel training</w:t>
            </w:r>
          </w:p>
        </w:tc>
        <w:tc>
          <w:tcPr>
            <w:tcW w:w="2031" w:type="dxa"/>
          </w:tcPr>
          <w:p w14:paraId="55570087">
            <w:pPr>
              <w:pStyle w:val="28"/>
              <w:spacing w:after="40"/>
              <w:rPr>
                <w:color w:val="auto"/>
              </w:rPr>
            </w:pPr>
          </w:p>
        </w:tc>
      </w:tr>
      <w:tr w14:paraId="1FF580B3">
        <w:trPr>
          <w:trHeight w:val="796" w:hRule="atLeast"/>
        </w:trPr>
        <w:tc>
          <w:tcPr>
            <w:tcW w:w="900" w:type="dxa"/>
          </w:tcPr>
          <w:p w14:paraId="5E0173F0">
            <w:pPr>
              <w:pStyle w:val="28"/>
              <w:spacing w:after="40"/>
              <w:jc w:val="left"/>
              <w:rPr>
                <w:rFonts w:hint="default"/>
                <w:color w:val="auto"/>
                <w:lang w:val="lv-LV"/>
              </w:rPr>
            </w:pPr>
            <w:r>
              <w:rPr>
                <w:rFonts w:hint="default"/>
                <w:color w:val="auto"/>
                <w:lang w:val="lv-LV"/>
              </w:rPr>
              <w:t>3</w:t>
            </w:r>
          </w:p>
        </w:tc>
        <w:tc>
          <w:tcPr>
            <w:tcW w:w="7669" w:type="dxa"/>
          </w:tcPr>
          <w:p w14:paraId="2201FD8B">
            <w:pPr>
              <w:pStyle w:val="28"/>
              <w:spacing w:after="40"/>
              <w:jc w:val="left"/>
              <w:rPr>
                <w:color w:val="auto"/>
              </w:rPr>
            </w:pPr>
            <w:r>
              <w:rPr>
                <w:b w:val="0"/>
                <w:color w:val="auto"/>
              </w:rPr>
              <w:t>Daļas 1 1. sadaļas rūpnieciskais pētījums: virsmas apstrādes un šuvju sagatavošanas tehnoloģijas / Part 1 section 1 industrial research: surface treatment and seam preparation technologies</w:t>
            </w:r>
          </w:p>
        </w:tc>
        <w:tc>
          <w:tcPr>
            <w:tcW w:w="2031" w:type="dxa"/>
          </w:tcPr>
          <w:p w14:paraId="49A47E91">
            <w:pPr>
              <w:pStyle w:val="28"/>
              <w:spacing w:after="40"/>
              <w:rPr>
                <w:color w:val="auto"/>
              </w:rPr>
            </w:pPr>
          </w:p>
        </w:tc>
      </w:tr>
      <w:tr w14:paraId="44EA622C">
        <w:tc>
          <w:tcPr>
            <w:tcW w:w="900" w:type="dxa"/>
          </w:tcPr>
          <w:p w14:paraId="4CD042EA">
            <w:pPr>
              <w:pStyle w:val="28"/>
              <w:spacing w:after="40"/>
              <w:jc w:val="left"/>
              <w:rPr>
                <w:rFonts w:hint="default"/>
                <w:color w:val="auto"/>
                <w:lang w:val="lv-LV"/>
              </w:rPr>
            </w:pPr>
            <w:r>
              <w:rPr>
                <w:rFonts w:hint="default"/>
                <w:color w:val="auto"/>
                <w:lang w:val="lv-LV"/>
              </w:rPr>
              <w:t>4</w:t>
            </w:r>
          </w:p>
        </w:tc>
        <w:tc>
          <w:tcPr>
            <w:tcW w:w="7669" w:type="dxa"/>
          </w:tcPr>
          <w:p w14:paraId="2D5CAF8B">
            <w:pPr>
              <w:pStyle w:val="28"/>
              <w:spacing w:after="40"/>
              <w:jc w:val="left"/>
              <w:rPr>
                <w:color w:val="auto"/>
              </w:rPr>
            </w:pPr>
            <w:r>
              <w:rPr>
                <w:b w:val="0"/>
                <w:color w:val="auto"/>
              </w:rPr>
              <w:t>Daļas 1 2. sadaļas rūpnieciskais pētījums: Edge automatizētā vadība / Part 1 section 2 industrial research: Edge automated control</w:t>
            </w:r>
          </w:p>
        </w:tc>
        <w:tc>
          <w:tcPr>
            <w:tcW w:w="2031" w:type="dxa"/>
          </w:tcPr>
          <w:p w14:paraId="788BD359">
            <w:pPr>
              <w:pStyle w:val="28"/>
              <w:spacing w:after="40"/>
              <w:rPr>
                <w:color w:val="auto"/>
              </w:rPr>
            </w:pPr>
          </w:p>
        </w:tc>
      </w:tr>
      <w:tr w14:paraId="50435B7E">
        <w:tc>
          <w:tcPr>
            <w:tcW w:w="900" w:type="dxa"/>
          </w:tcPr>
          <w:p w14:paraId="054A67BC">
            <w:pPr>
              <w:pStyle w:val="28"/>
              <w:spacing w:after="40"/>
              <w:jc w:val="left"/>
              <w:rPr>
                <w:rFonts w:hint="default"/>
                <w:color w:val="auto"/>
                <w:lang w:val="lv-LV"/>
              </w:rPr>
            </w:pPr>
            <w:r>
              <w:rPr>
                <w:rFonts w:hint="default"/>
                <w:color w:val="auto"/>
                <w:lang w:val="lv-LV"/>
              </w:rPr>
              <w:t>5</w:t>
            </w:r>
          </w:p>
        </w:tc>
        <w:tc>
          <w:tcPr>
            <w:tcW w:w="7669" w:type="dxa"/>
          </w:tcPr>
          <w:p w14:paraId="5ED38146">
            <w:pPr>
              <w:pStyle w:val="28"/>
              <w:spacing w:after="40"/>
              <w:jc w:val="left"/>
              <w:rPr>
                <w:b w:val="0"/>
                <w:bCs w:val="0"/>
                <w:color w:val="auto"/>
                <w:lang w:val="en-US"/>
              </w:rPr>
            </w:pPr>
            <w:r>
              <w:rPr>
                <w:b w:val="0"/>
                <w:bCs w:val="0"/>
                <w:color w:val="auto"/>
                <w:lang w:val="en-US"/>
              </w:rPr>
              <w:t>Kopsavilkuma ziņojums, pilna dokumentācija / Summary report, complete documentation</w:t>
            </w:r>
          </w:p>
        </w:tc>
        <w:tc>
          <w:tcPr>
            <w:tcW w:w="2031" w:type="dxa"/>
          </w:tcPr>
          <w:p w14:paraId="229639B1">
            <w:pPr>
              <w:pStyle w:val="28"/>
              <w:spacing w:after="40"/>
              <w:rPr>
                <w:color w:val="auto"/>
              </w:rPr>
            </w:pPr>
          </w:p>
        </w:tc>
      </w:tr>
      <w:tr w14:paraId="1B8B6186">
        <w:tc>
          <w:tcPr>
            <w:tcW w:w="8569" w:type="dxa"/>
            <w:gridSpan w:val="2"/>
          </w:tcPr>
          <w:p w14:paraId="6B1508A0">
            <w:pPr>
              <w:pStyle w:val="28"/>
              <w:spacing w:after="40"/>
              <w:jc w:val="right"/>
              <w:rPr>
                <w:b/>
                <w:color w:val="auto"/>
              </w:rPr>
            </w:pPr>
            <w:r>
              <w:rPr>
                <w:b/>
                <w:color w:val="auto"/>
              </w:rPr>
              <w:t>KOPĒJĀ LĪGUMCENA, EUR bez PVN /</w:t>
            </w:r>
          </w:p>
          <w:p w14:paraId="626FF9B9">
            <w:pPr>
              <w:pStyle w:val="28"/>
              <w:spacing w:after="40"/>
              <w:jc w:val="right"/>
              <w:rPr>
                <w:color w:val="auto"/>
              </w:rPr>
            </w:pPr>
            <w:r>
              <w:rPr>
                <w:b/>
                <w:color w:val="auto"/>
              </w:rPr>
              <w:t>TOTAL CONTRACT PRICE, EUR excl. VAT</w:t>
            </w:r>
          </w:p>
        </w:tc>
        <w:tc>
          <w:tcPr>
            <w:tcW w:w="2031" w:type="dxa"/>
          </w:tcPr>
          <w:p w14:paraId="5602F584">
            <w:pPr>
              <w:pStyle w:val="28"/>
              <w:spacing w:after="40"/>
              <w:rPr>
                <w:color w:val="auto"/>
              </w:rPr>
            </w:pPr>
          </w:p>
        </w:tc>
      </w:tr>
      <w:tr w14:paraId="39DBAD52">
        <w:tc>
          <w:tcPr>
            <w:tcW w:w="8569" w:type="dxa"/>
            <w:gridSpan w:val="2"/>
          </w:tcPr>
          <w:p w14:paraId="79B7D3BE">
            <w:pPr>
              <w:keepNext w:val="0"/>
              <w:keepLines w:val="0"/>
              <w:widowControl/>
              <w:suppressLineNumbers w:val="0"/>
              <w:jc w:val="right"/>
              <w:rPr>
                <w:rFonts w:hint="default" w:ascii="Calibri" w:hAnsi="Calibri" w:eastAsia="Calibri" w:cs="Calibri"/>
                <w:b/>
                <w:color w:val="auto"/>
                <w:sz w:val="20"/>
                <w:szCs w:val="20"/>
                <w:lang w:val="lv-LV" w:eastAsia="lv-LV" w:bidi="ar-SA"/>
              </w:rPr>
            </w:pPr>
            <w:r>
              <w:rPr>
                <w:rFonts w:hint="default" w:ascii="Calibri" w:hAnsi="Calibri" w:eastAsia="Calibri" w:cs="Calibri"/>
                <w:b/>
                <w:color w:val="auto"/>
                <w:sz w:val="20"/>
                <w:szCs w:val="20"/>
                <w:lang w:val="lv-LV" w:eastAsia="lv-LV" w:bidi="ar-SA"/>
              </w:rPr>
              <w:t>Pieprasītais avanss (ne vairāk kā 30% no līgumcenas), EUR/</w:t>
            </w:r>
          </w:p>
          <w:p w14:paraId="4D4F8DE0">
            <w:pPr>
              <w:keepNext w:val="0"/>
              <w:keepLines w:val="0"/>
              <w:widowControl/>
              <w:suppressLineNumbers w:val="0"/>
              <w:jc w:val="right"/>
              <w:rPr>
                <w:rFonts w:hint="default"/>
                <w:b/>
                <w:color w:val="auto"/>
                <w:lang w:val="lv-LV"/>
              </w:rPr>
            </w:pPr>
            <w:r>
              <w:rPr>
                <w:rFonts w:ascii="Calibri" w:hAnsi="Calibri" w:eastAsia="Calibri" w:cs="Calibri"/>
                <w:b/>
                <w:color w:val="auto"/>
                <w:sz w:val="20"/>
                <w:szCs w:val="20"/>
                <w:lang w:val="en-US" w:eastAsia="zh-CN" w:bidi="ar-SA"/>
              </w:rPr>
              <w:t>Requested advance payment (not exceeding 30% of the contract price), EUR</w:t>
            </w:r>
          </w:p>
        </w:tc>
        <w:tc>
          <w:tcPr>
            <w:tcW w:w="2031" w:type="dxa"/>
          </w:tcPr>
          <w:p w14:paraId="01F4313E">
            <w:pPr>
              <w:pStyle w:val="28"/>
              <w:spacing w:after="40"/>
              <w:rPr>
                <w:color w:val="auto"/>
              </w:rPr>
            </w:pPr>
          </w:p>
        </w:tc>
      </w:tr>
    </w:tbl>
    <w:p w14:paraId="6CF87CDC">
      <w:pPr>
        <w:keepNext w:val="0"/>
        <w:keepLines w:val="0"/>
        <w:widowControl/>
        <w:suppressLineNumbers w:val="0"/>
        <w:jc w:val="left"/>
        <w:rPr>
          <w:rFonts w:ascii="SimSun" w:hAnsi="SimSun" w:eastAsia="SimSun" w:cs="SimSun"/>
          <w:kern w:val="0"/>
          <w:sz w:val="24"/>
          <w:szCs w:val="24"/>
          <w:lang w:val="en-US" w:eastAsia="zh-CN" w:bidi="ar"/>
        </w:rPr>
      </w:pPr>
    </w:p>
    <w:p w14:paraId="3CF25D79">
      <w:pPr>
        <w:pStyle w:val="3"/>
        <w:rPr>
          <w:color w:val="auto"/>
          <w:lang w:val="en-US" w:eastAsia="zh-CN"/>
        </w:rPr>
      </w:pPr>
      <w:r>
        <w:rPr>
          <w:color w:val="auto"/>
          <w:lang w:val="en-US" w:eastAsia="zh-CN"/>
        </w:rPr>
        <w:t>Samaksa tiek veikta pa daļām pēc katras finanšu piedāvājumā norādītās pozīcijas izpildes. Katra maksājuma apmērs ir attiecīgajai pozīcijai finanšu piedāvājumā norādītā cena. Maksājum</w:t>
      </w:r>
      <w:r>
        <w:rPr>
          <w:rFonts w:hint="default"/>
          <w:color w:val="auto"/>
          <w:lang w:val="lv-LV" w:eastAsia="zh-CN"/>
        </w:rPr>
        <w:t>s</w:t>
      </w:r>
      <w:r>
        <w:rPr>
          <w:color w:val="auto"/>
          <w:lang w:val="en-US" w:eastAsia="zh-CN"/>
        </w:rPr>
        <w:t xml:space="preserve"> </w:t>
      </w:r>
      <w:r>
        <w:rPr>
          <w:rFonts w:hint="default"/>
          <w:color w:val="auto"/>
          <w:lang w:val="lv-LV" w:eastAsia="zh-CN"/>
        </w:rPr>
        <w:t xml:space="preserve">tiek veikts pēc </w:t>
      </w:r>
      <w:r>
        <w:rPr>
          <w:color w:val="auto"/>
          <w:lang w:val="en-US" w:eastAsia="zh-CN"/>
        </w:rPr>
        <w:t>attiecīgās pozīcijas nodevuma pieņemšana</w:t>
      </w:r>
      <w:r>
        <w:rPr>
          <w:rFonts w:hint="default"/>
          <w:color w:val="auto"/>
          <w:lang w:val="lv-LV" w:eastAsia="zh-CN"/>
        </w:rPr>
        <w:t>s.</w:t>
      </w:r>
      <w:r>
        <w:rPr>
          <w:color w:val="auto"/>
          <w:lang w:val="en-US" w:eastAsia="zh-CN"/>
        </w:rPr>
        <w:t xml:space="preserve"> </w:t>
      </w:r>
    </w:p>
    <w:p w14:paraId="42E00772">
      <w:pPr>
        <w:pStyle w:val="3"/>
        <w:rPr>
          <w:rFonts w:hint="default"/>
          <w:color w:val="auto"/>
          <w:lang w:val="lv-LV" w:eastAsia="zh-CN"/>
        </w:rPr>
      </w:pPr>
      <w:r>
        <w:rPr>
          <w:color w:val="auto"/>
          <w:lang w:val="en-US" w:eastAsia="zh-CN"/>
        </w:rPr>
        <w:t>Ja Pretendents finanšu piedāvājumā pieprasījis avansu, tas tiek izmaksāts pēc līguma spēkā stāšanās. Turpmākie maksājumi par izpildītajām pozīcijām tiek veikti pilnā apmērā tik ilgi, kamēr kopējā izmaksātā summa, ieskaitot avansu, nesasniedz līgumcenu. Kopējā izmaksātā summa nevar pārsniegt līgumcenu.</w:t>
      </w:r>
    </w:p>
    <w:p w14:paraId="744AD146">
      <w:pPr>
        <w:pStyle w:val="3"/>
        <w:rPr>
          <w:i/>
          <w:iCs/>
          <w:color w:val="auto"/>
          <w:lang w:val="en-US" w:eastAsia="zh-CN"/>
        </w:rPr>
      </w:pPr>
      <w:r>
        <w:rPr>
          <w:i/>
          <w:iCs/>
          <w:color w:val="auto"/>
          <w:lang w:val="en-US" w:eastAsia="zh-CN"/>
        </w:rPr>
        <w:t xml:space="preserve">Payment is made in instalments upon completion of each item stated in the financial offer. The amount of each payment is the price stated for that item in the financial offer. Payment is made after acceptance of the deliverable for that item. </w:t>
      </w:r>
    </w:p>
    <w:p w14:paraId="7A0FA1E8">
      <w:pPr>
        <w:pStyle w:val="3"/>
        <w:rPr>
          <w:i/>
          <w:iCs/>
          <w:color w:val="auto"/>
        </w:rPr>
      </w:pPr>
      <w:r>
        <w:rPr>
          <w:i/>
          <w:iCs/>
          <w:color w:val="auto"/>
          <w:lang w:val="en-US" w:eastAsia="zh-CN"/>
        </w:rPr>
        <w:t>If the tenderer has requested an advance in its financial offer, it is paid after entry into force of the contract. Subsequent payments for completed items are made in full for as long as the total amount paid, including the advance, does not reach the contract price. The total amount paid may not exceed the contract price.</w:t>
      </w:r>
    </w:p>
    <w:p w14:paraId="651630D9">
      <w:pPr>
        <w:pStyle w:val="3"/>
        <w:rPr>
          <w:color w:val="auto"/>
        </w:rPr>
      </w:pPr>
    </w:p>
    <w:p w14:paraId="63A098BD">
      <w:pPr>
        <w:pStyle w:val="3"/>
        <w:rPr>
          <w:color w:val="auto"/>
        </w:rPr>
      </w:pPr>
      <w:r>
        <w:rPr>
          <w:color w:val="auto"/>
        </w:rPr>
        <w:t>Cenām jābūt fiksētām visā līguma izpildes laikā, un tās nav pakļaujamas nekādai turpmākai korekcijai.</w:t>
      </w:r>
    </w:p>
    <w:p w14:paraId="725181AB">
      <w:pPr>
        <w:pStyle w:val="3"/>
        <w:rPr>
          <w:i/>
          <w:iCs/>
          <w:color w:val="auto"/>
        </w:rPr>
      </w:pPr>
      <w:r>
        <w:rPr>
          <w:i/>
          <w:iCs/>
          <w:color w:val="auto"/>
        </w:rPr>
        <w:t>Prices must be fixed for the entire period of performance of the contract and are not subject to any subsequent adjustment.</w:t>
      </w:r>
    </w:p>
    <w:p w14:paraId="4015890B">
      <w:pPr>
        <w:pStyle w:val="28"/>
        <w:jc w:val="left"/>
        <w:rPr>
          <w:rFonts w:hint="default" w:ascii="Calibri" w:hAnsi="Calibri" w:eastAsia="Calibri" w:cs="Calibri"/>
          <w:color w:val="auto"/>
          <w:lang w:val="lv-LV" w:eastAsia="zh-CN"/>
        </w:rPr>
      </w:pPr>
      <w:r>
        <w:rPr>
          <w:rFonts w:ascii="Calibri" w:hAnsi="Calibri" w:eastAsia="Calibri" w:cs="Calibri"/>
          <w:color w:val="auto"/>
          <w:lang w:val="en-US" w:eastAsia="zh-CN"/>
        </w:rPr>
        <w:t xml:space="preserve">Pasūtītājam ir tiesības atteikties slēgt līgumu iepirkuma ietvaros, kā arī samazināt vai palielināt </w:t>
      </w:r>
      <w:r>
        <w:rPr>
          <w:rFonts w:hint="default" w:ascii="Calibri" w:hAnsi="Calibri" w:eastAsia="Calibri" w:cs="Calibri"/>
          <w:color w:val="auto"/>
          <w:lang w:val="lv-LV" w:eastAsia="zh-CN"/>
        </w:rPr>
        <w:t>līguma</w:t>
      </w:r>
      <w:r>
        <w:rPr>
          <w:rFonts w:ascii="Calibri" w:hAnsi="Calibri" w:eastAsia="Calibri" w:cs="Calibri"/>
          <w:color w:val="auto"/>
          <w:lang w:val="en-US" w:eastAsia="zh-CN"/>
        </w:rPr>
        <w:t xml:space="preserve"> apjomu (jebkurā apakšpozīcijā) līdz 10 % no kopējās līgumcenas atbilstoši finanšu piedāvājuma pozīcijām apakšpozīciju dalījumā, nemainot Pretendenta finanšu piedāvājumā norādītās </w:t>
      </w:r>
      <w:r>
        <w:rPr>
          <w:rFonts w:hint="default" w:ascii="Calibri" w:hAnsi="Calibri" w:eastAsia="Calibri" w:cs="Calibri"/>
          <w:color w:val="auto"/>
          <w:lang w:val="lv-LV" w:eastAsia="zh-CN"/>
        </w:rPr>
        <w:t>pozīciju</w:t>
      </w:r>
      <w:r>
        <w:rPr>
          <w:rFonts w:ascii="Calibri" w:hAnsi="Calibri" w:eastAsia="Calibri" w:cs="Calibri"/>
          <w:color w:val="auto"/>
          <w:lang w:val="en-US" w:eastAsia="zh-CN"/>
        </w:rPr>
        <w:t xml:space="preserve"> cenas.</w:t>
      </w:r>
    </w:p>
    <w:p w14:paraId="32D319B9">
      <w:pPr>
        <w:pStyle w:val="3"/>
        <w:rPr>
          <w:i/>
          <w:iCs/>
          <w:color w:val="auto"/>
        </w:rPr>
      </w:pPr>
      <w:r>
        <w:rPr>
          <w:rFonts w:hint="default" w:ascii="Calibri" w:hAnsi="Calibri" w:eastAsia="Calibri" w:cs="Calibri"/>
          <w:i/>
          <w:iCs/>
          <w:color w:val="auto"/>
          <w:lang w:val="lv-LV" w:eastAsia="zh-CN"/>
        </w:rPr>
        <w:t>The contracting authority has the right to refuse to conclude the agreement within the framework of the tender, as well as to reduce or increase (from any sub-position) up to 10% of the total contract price in accordance with the positions of the financial offer, without changing the position prices indicated in the tenderer's financial offer.</w:t>
      </w:r>
    </w:p>
    <w:bookmarkEnd w:id="6"/>
    <w:p w14:paraId="4E71B3AD">
      <w:pPr>
        <w:pStyle w:val="4"/>
        <w:rPr>
          <w:color w:val="auto"/>
        </w:rPr>
      </w:pPr>
      <w:bookmarkStart w:id="7" w:name="paraksts-signature"/>
      <w:r>
        <w:rPr>
          <w:rFonts w:hint="default"/>
          <w:color w:val="auto"/>
          <w:lang w:val="lv-LV"/>
        </w:rPr>
        <w:t>7</w:t>
      </w:r>
      <w:r>
        <w:rPr>
          <w:color w:val="auto"/>
        </w:rPr>
        <w:t>. Paraksts / Signature</w:t>
      </w:r>
    </w:p>
    <w:p w14:paraId="12B2EA12">
      <w:pPr>
        <w:pStyle w:val="27"/>
        <w:rPr>
          <w:color w:val="auto"/>
        </w:rPr>
      </w:pPr>
      <w:r>
        <w:rPr>
          <w:color w:val="auto"/>
        </w:rPr>
        <w:t>Parakstot šo dokumentu, Pretendents apliecina visu 4. sadaļā norādīto un iesniedz piedāvājumu saskaņā ar to.</w:t>
      </w:r>
    </w:p>
    <w:p w14:paraId="6E878D3D">
      <w:pPr>
        <w:pStyle w:val="3"/>
        <w:rPr>
          <w:color w:val="auto"/>
        </w:rPr>
      </w:pPr>
      <w:r>
        <w:rPr>
          <w:i/>
          <w:iCs/>
          <w:color w:val="auto"/>
        </w:rPr>
        <w:t>By signing this document, the tenderer confirms all the statements set out in section 4 and submits its offer accordingly.</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3000"/>
        <w:gridCol w:w="7600"/>
      </w:tblGrid>
      <w:tr w14:paraId="7DBFDE06">
        <w:trPr>
          <w:tblHeader/>
        </w:trPr>
        <w:tc>
          <w:p w14:paraId="072A9921">
            <w:pPr>
              <w:pStyle w:val="28"/>
              <w:jc w:val="left"/>
              <w:rPr>
                <w:color w:val="auto"/>
              </w:rPr>
            </w:pPr>
            <w:r>
              <w:rPr>
                <w:color w:val="auto"/>
              </w:rPr>
              <w:t>Pretendents / Tenderer</w:t>
            </w:r>
          </w:p>
        </w:tc>
        <w:tc>
          <w:p w14:paraId="301ABE07">
            <w:pPr>
              <w:pStyle w:val="28"/>
              <w:rPr>
                <w:color w:val="auto"/>
              </w:rPr>
            </w:pPr>
          </w:p>
        </w:tc>
      </w:tr>
      <w:tr w14:paraId="3E1E9077">
        <w:tc>
          <w:p w14:paraId="1EF9ECBA">
            <w:pPr>
              <w:pStyle w:val="28"/>
              <w:jc w:val="left"/>
              <w:rPr>
                <w:color w:val="auto"/>
              </w:rPr>
            </w:pPr>
            <w:r>
              <w:rPr>
                <w:color w:val="auto"/>
              </w:rPr>
              <w:t>Pilnvarotā persona / Authorised representative</w:t>
            </w:r>
          </w:p>
        </w:tc>
        <w:tc>
          <w:p w14:paraId="043E0D3A">
            <w:pPr>
              <w:pStyle w:val="28"/>
              <w:rPr>
                <w:color w:val="auto"/>
              </w:rPr>
            </w:pPr>
          </w:p>
        </w:tc>
      </w:tr>
      <w:tr w14:paraId="16AC6370">
        <w:tc>
          <w:p w14:paraId="2555E783">
            <w:pPr>
              <w:pStyle w:val="28"/>
              <w:jc w:val="left"/>
              <w:rPr>
                <w:color w:val="auto"/>
              </w:rPr>
            </w:pPr>
            <w:r>
              <w:rPr>
                <w:color w:val="auto"/>
              </w:rPr>
              <w:t>Amats / Position</w:t>
            </w:r>
          </w:p>
        </w:tc>
        <w:tc>
          <w:p w14:paraId="0CD317AD">
            <w:pPr>
              <w:pStyle w:val="28"/>
              <w:rPr>
                <w:color w:val="auto"/>
              </w:rPr>
            </w:pPr>
          </w:p>
        </w:tc>
      </w:tr>
      <w:tr w14:paraId="4B2825C7">
        <w:tc>
          <w:p w14:paraId="076C8BB4">
            <w:pPr>
              <w:pStyle w:val="28"/>
              <w:jc w:val="left"/>
              <w:rPr>
                <w:color w:val="auto"/>
              </w:rPr>
            </w:pPr>
            <w:r>
              <w:rPr>
                <w:color w:val="auto"/>
              </w:rPr>
              <w:t>Paraksts / Signature</w:t>
            </w:r>
          </w:p>
        </w:tc>
        <w:tc>
          <w:p w14:paraId="4CE86EDC">
            <w:pPr>
              <w:pStyle w:val="28"/>
              <w:rPr>
                <w:color w:val="auto"/>
              </w:rPr>
            </w:pPr>
          </w:p>
        </w:tc>
      </w:tr>
      <w:tr w14:paraId="6D85A1A1">
        <w:tc>
          <w:p w14:paraId="1BC68018">
            <w:pPr>
              <w:pStyle w:val="28"/>
              <w:jc w:val="left"/>
              <w:rPr>
                <w:color w:val="auto"/>
              </w:rPr>
            </w:pPr>
            <w:r>
              <w:rPr>
                <w:color w:val="auto"/>
              </w:rPr>
              <w:t>Datums / Date</w:t>
            </w:r>
          </w:p>
        </w:tc>
        <w:tc>
          <w:p w14:paraId="484F59E1">
            <w:pPr>
              <w:pStyle w:val="28"/>
              <w:rPr>
                <w:color w:val="auto"/>
              </w:rPr>
            </w:pPr>
          </w:p>
        </w:tc>
      </w:tr>
      <w:bookmarkEnd w:id="7"/>
    </w:tbl>
    <w:p w14:paraId="594D5569">
      <w:pPr>
        <w:pStyle w:val="4"/>
        <w:rPr>
          <w:color w:val="auto"/>
        </w:rPr>
      </w:pPr>
      <w:bookmarkStart w:id="8" w:name="X975f070eb3fb0a34a9b27be037c97c1f15a2003"/>
      <w:r>
        <w:rPr>
          <w:rFonts w:hint="default"/>
          <w:color w:val="auto"/>
          <w:lang w:val="lv-LV"/>
        </w:rPr>
        <w:t>8</w:t>
      </w:r>
      <w:r>
        <w:rPr>
          <w:color w:val="auto"/>
        </w:rPr>
        <w:t>. Tehniskā specifikācija / Technical specification</w:t>
      </w:r>
    </w:p>
    <w:p w14:paraId="32AAA001">
      <w:pPr>
        <w:pStyle w:val="27"/>
        <w:rPr>
          <w:color w:val="auto"/>
        </w:rPr>
      </w:pPr>
      <w:r>
        <w:rPr>
          <w:color w:val="auto"/>
        </w:rPr>
        <w:t>Tehniskā specifikācija pievienota kā 1. pielikums. Pretendents aizpilda katras prasības atbilstības kolonnu, norādot “Atbilst” vai “Neatbilst” un īsu izpildes aprakstu</w:t>
      </w:r>
      <w:r>
        <w:rPr>
          <w:rFonts w:hint="default"/>
          <w:color w:val="auto"/>
          <w:lang w:val="lv-LV"/>
        </w:rPr>
        <w:t xml:space="preserve"> (kur prasīts)</w:t>
      </w:r>
      <w:r>
        <w:rPr>
          <w:color w:val="auto"/>
        </w:rPr>
        <w:t xml:space="preserve">: ražotāju, modeli vai tipu un galvenos tehniskos parametrus ar skaitlisko vērtību, ja prasība noteikta skaitliski. </w:t>
      </w:r>
    </w:p>
    <w:p w14:paraId="154C980D">
      <w:pPr>
        <w:pStyle w:val="3"/>
        <w:rPr>
          <w:color w:val="auto"/>
          <w:lang w:val="en-US"/>
        </w:rPr>
      </w:pPr>
      <w:r>
        <w:rPr>
          <w:i/>
          <w:iCs/>
          <w:color w:val="auto"/>
          <w:lang w:val="en-US"/>
        </w:rPr>
        <w:t xml:space="preserve">The technical specification is attached as Annex 1. The tenderer completes the compliance column for every requirement, stating “Complies” or “Does not comply” together with a short description </w:t>
      </w:r>
      <w:r>
        <w:rPr>
          <w:rFonts w:hint="default"/>
          <w:i/>
          <w:iCs/>
          <w:color w:val="auto"/>
          <w:lang w:val="lv-LV"/>
        </w:rPr>
        <w:t xml:space="preserve">(where applicable) </w:t>
      </w:r>
      <w:r>
        <w:rPr>
          <w:i/>
          <w:iCs/>
          <w:color w:val="auto"/>
          <w:lang w:val="en-US"/>
        </w:rPr>
        <w:t xml:space="preserve">of how it is met: the manufacturer, model or type and the main technical parameters with numerical values where the requirement is expressed numerically. </w:t>
      </w:r>
      <w:bookmarkEnd w:id="0"/>
      <w:bookmarkEnd w:id="8"/>
    </w:p>
    <w:p w14:paraId="77CDC81C">
      <w:pPr>
        <w:rPr>
          <w:color w:val="auto"/>
        </w:rPr>
      </w:pPr>
      <w:bookmarkStart w:id="9" w:name="Xb1d5fcfe8bab9f7b47398e786e83d5e2d8d4e61"/>
      <w:r>
        <w:rPr>
          <w:color w:val="auto"/>
        </w:rPr>
        <w:br w:type="page"/>
      </w:r>
    </w:p>
    <w:p w14:paraId="702B323F">
      <w:pPr>
        <w:pStyle w:val="3"/>
      </w:pPr>
    </w:p>
    <w:p w14:paraId="47C6E1D2">
      <w:pPr>
        <w:pStyle w:val="2"/>
        <w:rPr>
          <w:color w:val="auto"/>
        </w:rPr>
      </w:pPr>
      <w:r>
        <w:rPr>
          <w:color w:val="auto"/>
        </w:rPr>
        <w:t>1. pielikums — TEHNISKĀ SPECIFIKĀCIJA / ANNEX 1 — TECHNICAL SPECIFICATION</w:t>
      </w:r>
    </w:p>
    <w:p w14:paraId="5C0219DA">
      <w:pPr>
        <w:pStyle w:val="27"/>
        <w:rPr>
          <w:color w:val="auto"/>
        </w:rPr>
      </w:pPr>
      <w:r>
        <w:rPr>
          <w:i/>
          <w:iCs/>
          <w:color w:val="auto"/>
        </w:rPr>
        <w:t>1. pielikums iepirkuma procedūras nolikumam, id. Nr.</w:t>
      </w:r>
      <w:r>
        <w:rPr>
          <w:rFonts w:ascii="Calibri" w:hAnsi="Calibri" w:eastAsia="Calibri" w:cs="Calibri"/>
          <w:color w:val="auto"/>
          <w:lang w:val="en-US" w:eastAsia="zh-CN"/>
        </w:rPr>
        <w:t xml:space="preserve"> K/202</w:t>
      </w:r>
      <w:r>
        <w:rPr>
          <w:rFonts w:ascii="Calibri" w:hAnsi="Calibri" w:eastAsia="Calibri" w:cs="Calibri"/>
          <w:color w:val="auto"/>
          <w:lang w:val="lv-LV" w:eastAsia="zh-CN"/>
        </w:rPr>
        <w:t>6</w:t>
      </w:r>
      <w:r>
        <w:rPr>
          <w:rFonts w:ascii="Calibri" w:hAnsi="Calibri" w:eastAsia="Calibri" w:cs="Calibri"/>
          <w:color w:val="auto"/>
          <w:lang w:val="en-US" w:eastAsia="zh-CN"/>
        </w:rPr>
        <w:t>/11</w:t>
      </w:r>
      <w:r>
        <w:rPr>
          <w:rFonts w:ascii="Calibri" w:hAnsi="Calibri" w:eastAsia="Calibri" w:cs="Calibri"/>
          <w:color w:val="auto"/>
          <w:lang w:val="lv-LV" w:eastAsia="zh-CN"/>
        </w:rPr>
        <w:t>09</w:t>
      </w:r>
      <w:r>
        <w:rPr>
          <w:rFonts w:ascii="Calibri" w:hAnsi="Calibri" w:eastAsia="Calibri" w:cs="Calibri"/>
          <w:color w:val="auto"/>
          <w:lang w:val="en-US" w:eastAsia="zh-CN"/>
        </w:rPr>
        <w:t>2</w:t>
      </w:r>
      <w:r>
        <w:rPr>
          <w:rFonts w:ascii="Calibri" w:hAnsi="Calibri" w:eastAsia="Calibri" w:cs="Calibri"/>
          <w:color w:val="auto"/>
          <w:lang w:val="lv-LV" w:eastAsia="zh-CN"/>
        </w:rPr>
        <w:t>6</w:t>
      </w:r>
      <w:r>
        <w:rPr>
          <w:rFonts w:ascii="Calibri" w:hAnsi="Calibri" w:eastAsia="Calibri" w:cs="Calibri"/>
          <w:color w:val="auto"/>
          <w:lang w:val="en-US" w:eastAsia="zh-CN"/>
        </w:rPr>
        <w:t>/1</w:t>
      </w:r>
      <w:r>
        <w:rPr>
          <w:i/>
          <w:iCs/>
          <w:color w:val="auto"/>
        </w:rPr>
        <w:t xml:space="preserve"> Annex 1 to the Procurement Regulations</w:t>
      </w:r>
    </w:p>
    <w:p w14:paraId="6433E5AF">
      <w:pPr>
        <w:pStyle w:val="3"/>
        <w:rPr>
          <w:color w:val="auto"/>
        </w:rPr>
      </w:pPr>
      <w:r>
        <w:rPr>
          <w:b/>
          <w:bCs/>
          <w:color w:val="auto"/>
        </w:rPr>
        <w:t xml:space="preserve">Tehniskā specifikācija vienlaikus ir tehniskā piedāvājuma veidlapa. Pretendents aizpilda tabulu ceturto kolonnu “Pretendenta atbilstības apraksts”, norādot “Atbilst” vai “Neatbilst” un īsu izpildes aprakstu </w:t>
      </w:r>
      <w:r>
        <w:rPr>
          <w:rFonts w:hint="default"/>
          <w:b/>
          <w:bCs/>
          <w:color w:val="auto"/>
          <w:lang w:val="lv-LV"/>
        </w:rPr>
        <w:t xml:space="preserve">(kur atbilst) </w:t>
      </w:r>
      <w:r>
        <w:rPr>
          <w:b/>
          <w:bCs/>
          <w:color w:val="auto"/>
        </w:rPr>
        <w:t>atbilstoši šā dokumenta 8. sadaļai.</w:t>
      </w:r>
    </w:p>
    <w:p w14:paraId="154F6B3F">
      <w:pPr>
        <w:pStyle w:val="3"/>
        <w:rPr>
          <w:color w:val="auto"/>
        </w:rPr>
      </w:pPr>
      <w:r>
        <w:rPr>
          <w:i/>
          <w:iCs/>
          <w:color w:val="auto"/>
        </w:rPr>
        <w:t xml:space="preserve">The technical specification also serves as the technical tender form. The Tenderer shall complete the fourth column “Supplier compliance statement”, stating “Complies” or “Does not comply” together with a brief description </w:t>
      </w:r>
      <w:r>
        <w:rPr>
          <w:rFonts w:hint="default"/>
          <w:i/>
          <w:iCs/>
          <w:color w:val="auto"/>
          <w:lang w:val="lv-LV"/>
        </w:rPr>
        <w:t xml:space="preserve">(where applicable) </w:t>
      </w:r>
      <w:r>
        <w:rPr>
          <w:i/>
          <w:iCs/>
          <w:color w:val="auto"/>
        </w:rPr>
        <w:t>of how the requirement is met, in accordance with Section 8 of this document.</w:t>
      </w:r>
    </w:p>
    <w:p w14:paraId="41626DA0">
      <w:pPr>
        <w:pStyle w:val="3"/>
        <w:rPr>
          <w:color w:val="auto"/>
        </w:rPr>
      </w:pPr>
      <w:r>
        <w:rPr>
          <w:i/>
          <w:iCs/>
          <w:color w:val="auto"/>
        </w:rPr>
        <w:t>1.pielikums iepirkuma procedūras nolikumam / Annex 1 to the Procurement Regulations</w:t>
      </w:r>
    </w:p>
    <w:p w14:paraId="7E4869C5">
      <w:pPr>
        <w:pStyle w:val="3"/>
        <w:jc w:val="center"/>
        <w:rPr>
          <w:b/>
          <w:bCs/>
          <w:color w:val="auto"/>
        </w:rPr>
      </w:pPr>
    </w:p>
    <w:p w14:paraId="4291E7E6">
      <w:pPr>
        <w:pStyle w:val="3"/>
        <w:jc w:val="center"/>
        <w:rPr>
          <w:color w:val="auto"/>
        </w:rPr>
      </w:pPr>
      <w:r>
        <w:rPr>
          <w:b/>
          <w:bCs/>
          <w:color w:val="auto"/>
        </w:rPr>
        <w:t>TEHNISKĀ SPECIFIKĀCIJA</w:t>
      </w:r>
    </w:p>
    <w:p w14:paraId="7BA973C8">
      <w:pPr>
        <w:pStyle w:val="3"/>
        <w:jc w:val="center"/>
        <w:rPr>
          <w:color w:val="auto"/>
        </w:rPr>
      </w:pPr>
      <w:r>
        <w:rPr>
          <w:b/>
          <w:bCs/>
          <w:i/>
          <w:iCs/>
          <w:color w:val="auto"/>
        </w:rPr>
        <w:t>TECHNICAL SPECIFICATIONS</w:t>
      </w:r>
    </w:p>
    <w:p w14:paraId="4DB63B4C">
      <w:pPr>
        <w:pStyle w:val="3"/>
        <w:jc w:val="center"/>
        <w:rPr>
          <w:color w:val="auto"/>
        </w:rPr>
      </w:pPr>
      <w:r>
        <w:rPr>
          <w:b/>
          <w:bCs/>
          <w:color w:val="auto"/>
        </w:rPr>
        <w:t>“Mikroražotnes automatizētās HDPE Edge izmēģinājuma līnijas rūpnieciskais pētījums un izveide”</w:t>
      </w:r>
    </w:p>
    <w:p w14:paraId="4077C2CE">
      <w:pPr>
        <w:pStyle w:val="3"/>
        <w:jc w:val="center"/>
        <w:rPr>
          <w:color w:val="auto"/>
        </w:rPr>
      </w:pPr>
      <w:r>
        <w:rPr>
          <w:i/>
          <w:iCs/>
          <w:color w:val="auto"/>
        </w:rPr>
        <w:t>“Industrial Research and Creation of the Automated HDPE Edge Pilot Line for the Micro-Factory”</w:t>
      </w:r>
    </w:p>
    <w:p w14:paraId="342D40A0">
      <w:pPr>
        <w:pStyle w:val="3"/>
        <w:jc w:val="center"/>
        <w:rPr>
          <w:color w:val="auto"/>
        </w:rPr>
      </w:pPr>
      <w:r>
        <w:rPr>
          <w:color w:val="auto"/>
        </w:rPr>
        <w:t>IPCEI CIS: NextGen Microfactories Nr. 5.1.1.2.i.0/4/24/A/CFLA/003 | Pasūtītājs / Contracting Authority: SIA Aspired</w:t>
      </w:r>
    </w:p>
    <w:p w14:paraId="21AF34C3">
      <w:pPr>
        <w:pStyle w:val="3"/>
        <w:jc w:val="center"/>
        <w:rPr>
          <w:b/>
          <w:bCs/>
          <w:color w:val="auto"/>
        </w:rPr>
      </w:pPr>
    </w:p>
    <w:p w14:paraId="5E1CB91F">
      <w:pPr>
        <w:pStyle w:val="3"/>
        <w:jc w:val="center"/>
        <w:rPr>
          <w:b/>
          <w:bCs/>
          <w:color w:val="auto"/>
        </w:rPr>
      </w:pPr>
    </w:p>
    <w:p w14:paraId="1DD20F45">
      <w:pPr>
        <w:pStyle w:val="3"/>
        <w:jc w:val="center"/>
        <w:rPr>
          <w:color w:val="auto"/>
        </w:rPr>
      </w:pPr>
      <w:r>
        <w:rPr>
          <w:b/>
          <w:bCs/>
          <w:color w:val="auto"/>
        </w:rPr>
        <w:t>Dokumenta struktūra / Document structure</w:t>
      </w:r>
    </w:p>
    <w:p w14:paraId="06BC2384">
      <w:pPr>
        <w:pStyle w:val="3"/>
        <w:rPr>
          <w:color w:val="auto"/>
        </w:rPr>
      </w:pPr>
    </w:p>
    <w:p w14:paraId="718F7DB1">
      <w:pPr>
        <w:pStyle w:val="3"/>
        <w:rPr>
          <w:color w:val="auto"/>
        </w:rPr>
      </w:pPr>
      <w:r>
        <w:rPr>
          <w:color w:val="auto"/>
        </w:rPr>
        <w:t>IEVADS - Pamata informācija</w:t>
      </w:r>
    </w:p>
    <w:p w14:paraId="6E211142">
      <w:pPr>
        <w:pStyle w:val="3"/>
        <w:rPr>
          <w:color w:val="auto"/>
        </w:rPr>
      </w:pPr>
      <w:r>
        <w:rPr>
          <w:i/>
          <w:iCs/>
          <w:color w:val="auto"/>
        </w:rPr>
        <w:t>INTRODUCTION— general information</w:t>
      </w:r>
    </w:p>
    <w:p w14:paraId="2C5F6158">
      <w:pPr>
        <w:pStyle w:val="3"/>
        <w:rPr>
          <w:color w:val="auto"/>
        </w:rPr>
      </w:pPr>
      <w:r>
        <w:rPr>
          <w:color w:val="auto"/>
        </w:rPr>
        <w:t>DAĻA 1 — Rūpnieciskais pētījums: virsmas apstrādes tehnoloģijas un Edge automatizētā vadība</w:t>
      </w:r>
    </w:p>
    <w:p w14:paraId="6B2FDB28">
      <w:pPr>
        <w:pStyle w:val="3"/>
        <w:rPr>
          <w:i/>
          <w:iCs/>
          <w:color w:val="auto"/>
        </w:rPr>
      </w:pPr>
      <w:r>
        <w:rPr>
          <w:i/>
          <w:iCs/>
          <w:color w:val="auto"/>
        </w:rPr>
        <w:t>PART 1 — Industrial research: surface treatment technologies and Edge automated control</w:t>
      </w:r>
    </w:p>
    <w:p w14:paraId="14821ED5">
      <w:pPr>
        <w:pStyle w:val="3"/>
        <w:suppressLineNumbers w:val="0"/>
        <w:bidi w:val="0"/>
        <w:spacing w:before="180" w:beforeAutospacing="0" w:after="180" w:afterAutospacing="0" w:line="240" w:lineRule="auto"/>
        <w:ind w:left="0" w:right="0"/>
        <w:jc w:val="left"/>
      </w:pPr>
      <w:r>
        <w:rPr>
          <w:color w:val="auto"/>
        </w:rPr>
        <w:t>DAĻA 2 — Rūpnieciskā pētījuma veikšana, izmantojot pētnieciski izstrādātu automatizētu HDPE Edge vidi</w:t>
      </w:r>
    </w:p>
    <w:p w14:paraId="32646C96">
      <w:pPr>
        <w:pStyle w:val="3"/>
      </w:pPr>
      <w:r>
        <w:rPr>
          <w:i/>
          <w:iCs/>
          <w:color w:val="auto"/>
          <w:lang w:val="en-US"/>
        </w:rPr>
        <w:t>PART 2 — Carrying out of industrial research using a purpose-developed automated HDPE Edge environment</w:t>
      </w:r>
    </w:p>
    <w:p w14:paraId="5AF9A99B">
      <w:pPr>
        <w:pStyle w:val="3"/>
        <w:rPr>
          <w:color w:val="auto"/>
        </w:rPr>
      </w:pPr>
    </w:p>
    <w:p w14:paraId="5C7DBB85">
      <w:pPr>
        <w:rPr>
          <w:b/>
          <w:bCs/>
          <w:color w:val="auto"/>
        </w:rPr>
      </w:pPr>
      <w:r>
        <w:rPr>
          <w:b/>
          <w:bCs/>
          <w:color w:val="auto"/>
        </w:rPr>
        <w:br w:type="page"/>
      </w:r>
    </w:p>
    <w:p w14:paraId="63497E6B">
      <w:pPr>
        <w:pStyle w:val="3"/>
        <w:jc w:val="center"/>
        <w:rPr>
          <w:color w:val="auto"/>
        </w:rPr>
      </w:pPr>
      <w:r>
        <w:rPr>
          <w:b/>
          <w:bCs/>
          <w:color w:val="auto"/>
        </w:rPr>
        <w:t>IEVADS / INTRODUCTION</w:t>
      </w:r>
    </w:p>
    <w:p w14:paraId="0BC1FA8E">
      <w:pPr>
        <w:pStyle w:val="3"/>
        <w:rPr>
          <w:color w:val="auto"/>
        </w:rPr>
      </w:pPr>
      <w:r>
        <w:rPr>
          <w:color w:val="auto"/>
        </w:rPr>
        <w:t>Šī tehniskā specifikācija sagatavota IPCEI CIS projekta “Nākamās paaudzes mikroražotnes” (NextGen Microfactories, Nr. 5.1.1.2.i.0/4/24/A/CFLA/003) ietvaros, kura vadošais partneris ir SIA Aspired. Projekta darbības 2.2. “Rūpnieciskās ražošanas mākoņmalas rūpnieciskais pētījums” rezultātā nepieciešams sagatavot rūpnieciskos pētījumus un izveidot automatizētu mikroražotnes Edge izmēģinājuma līniju.</w:t>
      </w:r>
      <w:r>
        <w:rPr>
          <w:rFonts w:hint="default"/>
          <w:color w:val="auto"/>
          <w:lang w:val="lv-LV"/>
        </w:rPr>
        <w:t xml:space="preserve"> </w:t>
      </w:r>
      <w:r>
        <w:rPr>
          <w:color w:val="auto"/>
        </w:rPr>
        <w:t>Dokuments nosaka tehniskās un metodoloģiskās prasības pētījuma veikšanai.</w:t>
      </w:r>
    </w:p>
    <w:p w14:paraId="1AC0B935">
      <w:pPr>
        <w:pStyle w:val="3"/>
        <w:rPr>
          <w:color w:val="auto"/>
        </w:rPr>
      </w:pPr>
      <w:r>
        <w:rPr>
          <w:i/>
          <w:iCs/>
          <w:color w:val="auto"/>
        </w:rPr>
        <w:t>This technical specification has been prepared within the IPCEI CIS project “Next Generation Micro-factories” (NextGen Microfactories, No. 5.1.1.2.i.0/4/24/A/CFLA/003), whose lead partner is SIA Aspired. Project activity 2.2 “Industrial production cloud-edge industrial research” requires the preparation of industrial research studies and the development of automated micro-factory Edge pilot line. This document sets out the technical and methodological requirements.</w:t>
      </w:r>
    </w:p>
    <w:p w14:paraId="0143C6C5">
      <w:pPr>
        <w:pStyle w:val="3"/>
        <w:rPr>
          <w:color w:val="auto"/>
        </w:rPr>
      </w:pPr>
      <w:r>
        <w:rPr>
          <w:color w:val="auto"/>
        </w:rPr>
        <w:t>Iepirkuma līguma priekšmets pēc būtības ir rūpnieciskais pētījums Komisijas Regulas (ES) Nr. 651/2014 2. panta 85. punkta un Ministru kabineta 2024. gada 20. februāra noteikumu Nr. 116 37.1. punkta izpratnē — proti, plānota izpēte, kas vērsta uz jaunu zināšanu iegūšanu par HDPE laivu korpusu sekciju metināšanas šuvju sagatavošanas tehnoloģijām un par Edge automatizētās vadības arhitektūru dažādām robotu sistēmām. Pētījuma aktivitāšu īstenošanai un tā rezultātu validācijai ir nepieciešams izveidot automatizētu HDPE ekstrūzijas izmēģinājuma līniju, kas aprīkota ar dažādām robotiskām sistēmām un mērinstrumentiem, lai tā varētu tikt savienota vienā EDGE arhitektūras sistēmā.</w:t>
      </w:r>
    </w:p>
    <w:p w14:paraId="3C1F213A">
      <w:pPr>
        <w:pStyle w:val="3"/>
        <w:rPr>
          <w:color w:val="auto"/>
        </w:rPr>
      </w:pPr>
      <w:r>
        <w:rPr>
          <w:color w:val="auto"/>
        </w:rPr>
        <w:t>The subject of this procurement/contract is, in substance, industrial research within the meaning of Article 2(85) of Commission Regulation (EU) No 651/2014 and point 37.1 of Cabinet Regulation No 116 of 20 February 2024 — that is, planned research activities aimed at acquiring new knowledge on HDPE hull-section weld-seam preparation technologies and on the Edge automated control architecture for heterogeneous robotics. Conducting the research and validating its results requires a development of a physical pilot HDPE line and instruments and connected with an Edge based architecture control platform.</w:t>
      </w:r>
    </w:p>
    <w:p w14:paraId="6594D422">
      <w:pPr>
        <w:pStyle w:val="3"/>
        <w:rPr>
          <w:color w:val="auto"/>
        </w:rPr>
      </w:pPr>
      <w:r>
        <w:rPr>
          <w:color w:val="auto"/>
        </w:rPr>
        <w:t>Šādi dokuments ir sadalīts divās daļās, kur pirmā daļa (Daļa Nr.1) nosaka prasības rūpnieciskā pētījuma veikšanai - definē pētījuma jautājumus, hipotēzes, metodoloģiju un sagaidāmos nodevumus, savukārt otrā daļa (Daļa Nr.2) nosaka prasības pašai izmēģinājuma līnijai un Edge platformai kā pētījuma instrumentam.</w:t>
      </w:r>
    </w:p>
    <w:p w14:paraId="5DCE06F9">
      <w:pPr>
        <w:pStyle w:val="3"/>
        <w:rPr>
          <w:color w:val="auto"/>
        </w:rPr>
      </w:pPr>
      <w:r>
        <w:rPr>
          <w:i/>
          <w:iCs/>
          <w:color w:val="auto"/>
        </w:rPr>
        <w:t>The document consists of two parts where Part 1 sets out the requirements for industrial research proper - defines the research questions, hypotheses, methodology, and expected deliverables, and Part 2 sets out the requirements for the pilot line and Edge platform themselves as the research instrument.</w:t>
      </w:r>
    </w:p>
    <w:p w14:paraId="48CF9D57">
      <w:pPr>
        <w:rPr>
          <w:b/>
          <w:bCs/>
          <w:color w:val="auto"/>
        </w:rPr>
      </w:pPr>
      <w:r>
        <w:rPr>
          <w:b/>
          <w:bCs/>
          <w:color w:val="auto"/>
        </w:rPr>
        <w:br w:type="page"/>
      </w:r>
    </w:p>
    <w:p w14:paraId="42555D1E">
      <w:pPr>
        <w:pStyle w:val="3"/>
        <w:jc w:val="center"/>
        <w:rPr>
          <w:color w:val="auto"/>
        </w:rPr>
      </w:pPr>
      <w:r>
        <w:rPr>
          <w:b/>
          <w:bCs/>
          <w:color w:val="auto"/>
        </w:rPr>
        <w:t>DAĻA 1 / PART 1</w:t>
      </w:r>
    </w:p>
    <w:p w14:paraId="36379715">
      <w:pPr>
        <w:pStyle w:val="3"/>
        <w:jc w:val="center"/>
        <w:rPr>
          <w:color w:val="auto"/>
        </w:rPr>
      </w:pPr>
      <w:r>
        <w:rPr>
          <w:b/>
          <w:bCs/>
          <w:color w:val="auto"/>
        </w:rPr>
        <w:t>RŪPNIECISKAIS PĒTĪJUMS: VIRSMAS APSTRĀDES TEHNOLOĢIJAS UN EDGE AUTOMATIZĒTĀ VADĪBA</w:t>
      </w:r>
    </w:p>
    <w:p w14:paraId="29ABA59C">
      <w:pPr>
        <w:pStyle w:val="3"/>
        <w:jc w:val="center"/>
        <w:rPr>
          <w:i/>
          <w:iCs/>
          <w:color w:val="auto"/>
        </w:rPr>
      </w:pPr>
      <w:r>
        <w:rPr>
          <w:i/>
          <w:iCs/>
          <w:color w:val="auto"/>
        </w:rPr>
        <w:t>INDUSTRIAL RESEARCH: SURFACE TREATMENT TECHNOLOGIES AND EDGE AUTOMATED CONTROL</w:t>
      </w:r>
    </w:p>
    <w:p w14:paraId="56B005AC">
      <w:pPr>
        <w:pStyle w:val="3"/>
        <w:jc w:val="center"/>
        <w:rPr>
          <w:i/>
          <w:iCs/>
          <w:color w:val="auto"/>
        </w:rPr>
      </w:pPr>
    </w:p>
    <w:p w14:paraId="2E1C4A9E">
      <w:pPr>
        <w:pStyle w:val="3"/>
        <w:rPr>
          <w:color w:val="auto"/>
        </w:rPr>
      </w:pPr>
      <w:r>
        <w:rPr>
          <w:b/>
          <w:bCs/>
          <w:color w:val="auto"/>
        </w:rPr>
        <w:t>1. VIRSMAS APSTRĀDES UN ŠUVJU SAGATAVOŠANAS TEHNOLOĢIJU RŪPNIECISKAIS PĒTĪJUMS</w:t>
      </w:r>
    </w:p>
    <w:p w14:paraId="456236DD">
      <w:pPr>
        <w:pStyle w:val="3"/>
        <w:rPr>
          <w:color w:val="auto"/>
        </w:rPr>
      </w:pPr>
      <w:r>
        <w:rPr>
          <w:b/>
          <w:bCs/>
          <w:i/>
          <w:iCs/>
          <w:color w:val="auto"/>
        </w:rPr>
        <w:t>1. INDUSTRIAL RESEARCH — SURFACE TREATMENT AND SEAM PREPARATION TECHNOLOGIES</w:t>
      </w:r>
    </w:p>
    <w:p w14:paraId="60FAF7FC">
      <w:pPr>
        <w:pStyle w:val="3"/>
        <w:rPr>
          <w:color w:val="auto"/>
        </w:rPr>
      </w:pPr>
      <w:r>
        <w:rPr>
          <w:b/>
          <w:bCs/>
          <w:color w:val="auto"/>
        </w:rPr>
        <w:t>1.1 Mērķis un konteksts / Objective and context</w:t>
      </w:r>
    </w:p>
    <w:p w14:paraId="7F89D1A3">
      <w:pPr>
        <w:pStyle w:val="3"/>
        <w:rPr>
          <w:color w:val="auto"/>
        </w:rPr>
      </w:pPr>
      <w:r>
        <w:rPr>
          <w:color w:val="auto"/>
        </w:rPr>
        <w:t>Pētījuma mērķis ir noteikt, kura HDPE šuvju virsmas sagatavošanas tehnoloģija (vai tehnoloģiju kombinācija) nodrošina optimālu adhēzijas, mehāniskās stiprības, drošības un ražošanas laika kombināciju ekstrūzijas metināšanas procesam laivu (un citu) korpusu sekciju savienošanai, un vai identificēto tehnoloģiju iespējams droši un ekonomiski integrēt robotizētā izmēģinājuma līnijā.</w:t>
      </w:r>
    </w:p>
    <w:p w14:paraId="3946D4FF">
      <w:pPr>
        <w:pStyle w:val="3"/>
        <w:rPr>
          <w:color w:val="auto"/>
        </w:rPr>
      </w:pPr>
      <w:r>
        <w:rPr>
          <w:i/>
          <w:iCs/>
          <w:color w:val="auto"/>
        </w:rPr>
        <w:t>The research objective is to determine which HDPE seam surface-preparation technology (or combination thereof) provides the optimal combination of adhesion, mechanical strength, safety, and production cycle time for the extrusion welding process used to join hull sections, and whether the identified technology can be safely and economically integrated into a robotised pilot line.</w:t>
      </w:r>
    </w:p>
    <w:p w14:paraId="005C9C90">
      <w:pPr>
        <w:pStyle w:val="3"/>
        <w:rPr>
          <w:color w:val="auto"/>
        </w:rPr>
      </w:pPr>
      <w:r>
        <w:rPr>
          <w:b/>
          <w:bCs/>
          <w:color w:val="auto"/>
        </w:rPr>
        <w:t>1.2 Identificētās tehnoloģiskās nepilnības / Identified technology gaps</w:t>
      </w:r>
    </w:p>
    <w:p w14:paraId="248A4DB0">
      <w:pPr>
        <w:pStyle w:val="3"/>
        <w:rPr>
          <w:color w:val="auto"/>
        </w:rPr>
      </w:pPr>
      <w:r>
        <w:rPr>
          <w:color w:val="auto"/>
        </w:rPr>
        <w:t>Iepriekš veiktā tirgus izpēte (tajā skaitā Tehniski ekonomiskā priekšizpēte) apstiprina, ka tirgū nav gatavu un pārbaudītu risinājumu, kas nodrošinātu šādu tehnoloģisko un zinātnisko nepilnību risināšanu:</w:t>
      </w:r>
    </w:p>
    <w:p w14:paraId="35AB71A9">
      <w:pPr>
        <w:pStyle w:val="3"/>
        <w:rPr>
          <w:color w:val="auto"/>
        </w:rPr>
      </w:pPr>
      <w:r>
        <w:rPr>
          <w:i/>
          <w:iCs/>
          <w:color w:val="auto"/>
        </w:rPr>
        <w:t>The market research carried out previously (including the technical and economic feasibility study) confirms that no ready-made and validated solutions are available on the market to address the following technological and scientific gaps:</w:t>
      </w:r>
    </w:p>
    <w:p w14:paraId="11C27F7A">
      <w:pPr>
        <w:numPr>
          <w:ilvl w:val="0"/>
          <w:numId w:val="1"/>
        </w:numPr>
        <w:rPr>
          <w:color w:val="auto"/>
        </w:rPr>
      </w:pPr>
      <w:r>
        <w:rPr>
          <w:color w:val="auto"/>
        </w:rPr>
        <w:t>Nav publiski pieejamu salīdzinošu datu par lāzera darbības parametriem (jauda, fokusa attālums, ātrums) lielizmēra HDPE konstrukciju biezumiem 10–20 mm diapazonā - esošie dati galvenokārt attiecas uz metālu vai plāniem plastmasas izstrādājumiem.</w:t>
      </w:r>
    </w:p>
    <w:p w14:paraId="2397994D">
      <w:pPr>
        <w:numPr>
          <w:ilvl w:val="0"/>
          <w:numId w:val="0"/>
        </w:numPr>
        <w:ind w:left="240" w:leftChars="0"/>
        <w:rPr>
          <w:color w:val="auto"/>
        </w:rPr>
      </w:pPr>
      <w:r>
        <w:rPr>
          <w:i/>
          <w:iCs/>
          <w:color w:val="auto"/>
        </w:rPr>
        <w:t>No publicly available comparative data exists on laser-ablation parameters (power, focal distance, speed) for large scale HDPE structures in the 10–20 mm thickness range - existing data mostly concerns metals or thin plastic parts.</w:t>
      </w:r>
    </w:p>
    <w:p w14:paraId="71C1D2C3">
      <w:pPr>
        <w:numPr>
          <w:ilvl w:val="0"/>
          <w:numId w:val="1"/>
        </w:numPr>
        <w:rPr>
          <w:color w:val="auto"/>
        </w:rPr>
      </w:pPr>
      <w:r>
        <w:rPr>
          <w:color w:val="auto"/>
        </w:rPr>
        <w:t>Nav zināms droša darbības metode (jaudas/siltuma ievades sliekšņi), kurā lāzera apstrāde nerada materiāla degradāciju, izgarojumus vai aizdegšanās risku.</w:t>
      </w:r>
    </w:p>
    <w:p w14:paraId="54D65428">
      <w:pPr>
        <w:numPr>
          <w:ilvl w:val="0"/>
          <w:numId w:val="0"/>
        </w:numPr>
        <w:ind w:left="240" w:leftChars="0"/>
        <w:rPr>
          <w:color w:val="auto"/>
        </w:rPr>
      </w:pPr>
      <w:r>
        <w:rPr>
          <w:i/>
          <w:iCs/>
          <w:color w:val="auto"/>
        </w:rPr>
        <w:t>The safe operating window (power/heat-input thresholds) at which laser treatment avoids material degradation, fumes, or ignition risk is unknown.</w:t>
      </w:r>
    </w:p>
    <w:p w14:paraId="1F068752">
      <w:pPr>
        <w:numPr>
          <w:ilvl w:val="0"/>
          <w:numId w:val="1"/>
        </w:numPr>
        <w:rPr>
          <w:color w:val="auto"/>
        </w:rPr>
      </w:pPr>
      <w:r>
        <w:rPr>
          <w:color w:val="auto"/>
        </w:rPr>
        <w:t>Nav novērtēts, vai virsmas sagatavošanas instrumentu (lāzera galviņu vai slīpēšanas instrumentu) var integrēt vienā robota TCP (Tool Centre Point – references punkts koordinātu sistēmā) sistēmā ar ekstrūzijas metināšanas instrumentu neradot papildus riskus vai bīstamības.</w:t>
      </w:r>
    </w:p>
    <w:p w14:paraId="03C00F41">
      <w:pPr>
        <w:numPr>
          <w:ilvl w:val="0"/>
          <w:numId w:val="0"/>
        </w:numPr>
        <w:ind w:left="240" w:leftChars="0"/>
        <w:rPr>
          <w:color w:val="auto"/>
        </w:rPr>
      </w:pPr>
      <w:r>
        <w:rPr>
          <w:i/>
          <w:iCs/>
          <w:color w:val="auto"/>
        </w:rPr>
        <w:t xml:space="preserve">It has not been assessed whether a surface-preparation tool (laser head or grinding tool) can be integrated into a single robot TCP sequence together with the extrusion welding tool without unacceptable risks. </w:t>
      </w:r>
    </w:p>
    <w:p w14:paraId="02170AFF">
      <w:pPr>
        <w:numPr>
          <w:ilvl w:val="0"/>
          <w:numId w:val="1"/>
        </w:numPr>
        <w:rPr>
          <w:color w:val="auto"/>
        </w:rPr>
      </w:pPr>
      <w:r>
        <w:rPr>
          <w:color w:val="auto"/>
        </w:rPr>
        <w:t>Nav kvantitatīva salīdzinājuma starp mehānisko un lāzera sagatavošanas metodi pēc adhēzijas rādītājiem un pēc metināšanas stiprības uz identiska HDPE materiāla un identiskas šuves ģeometrijas.</w:t>
      </w:r>
    </w:p>
    <w:p w14:paraId="51D01B81">
      <w:pPr>
        <w:ind w:left="240" w:leftChars="0"/>
        <w:rPr>
          <w:color w:val="auto"/>
        </w:rPr>
      </w:pPr>
      <w:r>
        <w:rPr>
          <w:color w:val="auto"/>
        </w:rPr>
        <w:t>No quantitative comparison exists between mechanical and laser preparation methods in terms of adhesion indicators (contact angle) and post-weld strength on identical HDPE material and seam geometry.</w:t>
      </w:r>
    </w:p>
    <w:p w14:paraId="1F31B918">
      <w:pPr>
        <w:pStyle w:val="27"/>
        <w:rPr>
          <w:color w:val="auto"/>
        </w:rPr>
      </w:pPr>
      <w:r>
        <w:rPr>
          <w:b/>
          <w:bCs/>
          <w:color w:val="auto"/>
        </w:rPr>
        <w:t>1.3 Pētījuma hipotēzes / Research hypotheses</w:t>
      </w:r>
    </w:p>
    <w:p w14:paraId="50109FA8">
      <w:pPr>
        <w:pStyle w:val="3"/>
        <w:rPr>
          <w:color w:val="auto"/>
        </w:rPr>
      </w:pPr>
      <w:r>
        <w:rPr>
          <w:b/>
          <w:bCs/>
          <w:color w:val="auto"/>
        </w:rPr>
        <w:t xml:space="preserve">H1: </w:t>
      </w:r>
      <w:r>
        <w:rPr>
          <w:color w:val="auto"/>
        </w:rPr>
        <w:t>Lāzera noārdīšanās ar kontrolētiem parametriem (jauda ≤ X W, fokusa attālums Y mm, ātrums Z mm/s — precīzās vērtības jānosaka eksperimentāli) var sasniegt virsmas raupjumu, kas ir salīdzināms ar mehānisko frēzēšanu/slīpēšanu, nepārsniedzot drošu siltuma ievadi HDPE materiālā.</w:t>
      </w:r>
    </w:p>
    <w:p w14:paraId="16D0F614">
      <w:pPr>
        <w:pStyle w:val="3"/>
        <w:rPr>
          <w:color w:val="auto"/>
        </w:rPr>
      </w:pPr>
      <w:r>
        <w:rPr>
          <w:i/>
          <w:iCs/>
          <w:color w:val="auto"/>
        </w:rPr>
        <w:t>Laser ablation with controlled parameters (power ≤ X W, focal distance Y mm, speed Z mm/s — exact values to be determined experimentally) can achieve a surface roughness Ra comparable to mechanical milling/grinding, without exceeding a safe heat input into the HDPE material.</w:t>
      </w:r>
    </w:p>
    <w:p w14:paraId="411AD518">
      <w:pPr>
        <w:pStyle w:val="3"/>
        <w:rPr>
          <w:color w:val="auto"/>
        </w:rPr>
      </w:pPr>
      <w:r>
        <w:rPr>
          <w:b/>
          <w:bCs/>
          <w:color w:val="auto"/>
        </w:rPr>
        <w:t xml:space="preserve">H2: </w:t>
      </w:r>
      <w:r>
        <w:rPr>
          <w:color w:val="auto"/>
        </w:rPr>
        <w:t>Robotizēts abrazīvās apstrādes instruments var tikt integrēts ar ekstrūzijas metināšanas instrumentu (secīga sagatavošana + metināšana) būtiski neietekmējot kopējo apstrādes laiku.</w:t>
      </w:r>
    </w:p>
    <w:p w14:paraId="117CB836">
      <w:pPr>
        <w:pStyle w:val="3"/>
        <w:rPr>
          <w:color w:val="auto"/>
        </w:rPr>
      </w:pPr>
      <w:r>
        <w:rPr>
          <w:i/>
          <w:iCs/>
          <w:color w:val="auto"/>
        </w:rPr>
        <w:t>A robotic abrasive machining tool can be integrated with an extrusion welding tool (sequential preparation + welding) without significantly affecting the overall machining time.</w:t>
      </w:r>
    </w:p>
    <w:p w14:paraId="3AE547BD">
      <w:pPr>
        <w:pStyle w:val="3"/>
        <w:rPr>
          <w:color w:val="auto"/>
        </w:rPr>
      </w:pPr>
      <w:r>
        <w:rPr>
          <w:b/>
          <w:bCs/>
          <w:color w:val="auto"/>
        </w:rPr>
        <w:t xml:space="preserve">H3: </w:t>
      </w:r>
      <w:r>
        <w:rPr>
          <w:color w:val="auto"/>
        </w:rPr>
        <w:t>Nevienai no tehnoloģijām atsevišķi nav pilnīgas pārsvara visos kritērijos vienlaikus (stiprība, drošība, cikla laiks, izmaksas) — optimālais risinājums, iespējams, ir tehnoloģiju kombinācija atkarībā no šuves tipa un pieejamības prasībām.</w:t>
      </w:r>
    </w:p>
    <w:p w14:paraId="2978368B">
      <w:pPr>
        <w:pStyle w:val="3"/>
        <w:rPr>
          <w:color w:val="auto"/>
        </w:rPr>
      </w:pPr>
      <w:r>
        <w:rPr>
          <w:i/>
          <w:iCs/>
          <w:color w:val="auto"/>
        </w:rPr>
        <w:t>No single one of the technologies dominates on all criteria simultaneously (strength, safety, cycle time, cost) — the optimal solution may be a combination of technologies depending on seam type and accessibility requirements.</w:t>
      </w:r>
    </w:p>
    <w:p w14:paraId="6C79956A">
      <w:pPr>
        <w:pStyle w:val="3"/>
        <w:rPr>
          <w:color w:val="auto"/>
        </w:rPr>
      </w:pPr>
      <w:r>
        <w:rPr>
          <w:b/>
          <w:bCs/>
          <w:color w:val="auto"/>
        </w:rPr>
        <w:t>1.4 Pētījuma uzdevumi / Research tasks</w:t>
      </w:r>
    </w:p>
    <w:p w14:paraId="058CCD78">
      <w:pPr>
        <w:pStyle w:val="3"/>
        <w:rPr>
          <w:color w:val="auto"/>
        </w:rPr>
      </w:pPr>
      <w:r>
        <w:rPr>
          <w:color w:val="auto"/>
        </w:rPr>
        <w:t>Izpildītājs veic rūpniecisko pētījumu, obligāti aptverot šādas tehnoloģiju grupas un darbības:</w:t>
      </w:r>
    </w:p>
    <w:p w14:paraId="6865ECDC">
      <w:pPr>
        <w:pStyle w:val="3"/>
        <w:rPr>
          <w:color w:val="auto"/>
        </w:rPr>
      </w:pPr>
      <w:r>
        <w:rPr>
          <w:i/>
          <w:iCs/>
          <w:color w:val="auto"/>
        </w:rPr>
        <w:t>The contractor shall carry out the industrial research, covering as a minimum the following technology groups and activities:</w:t>
      </w:r>
    </w:p>
    <w:p w14:paraId="61A0C8A8">
      <w:pPr>
        <w:pStyle w:val="3"/>
        <w:rPr>
          <w:color w:val="auto"/>
        </w:rPr>
      </w:pPr>
      <w:r>
        <w:rPr>
          <w:b/>
          <w:bCs/>
          <w:color w:val="auto"/>
        </w:rPr>
        <w:t>1.4.1 Tehnoloģiju grupas / Technology groups</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899"/>
        <w:gridCol w:w="3216"/>
        <w:gridCol w:w="3585"/>
        <w:gridCol w:w="2900"/>
      </w:tblGrid>
      <w:tr w14:paraId="0052FC0C">
        <w:trPr>
          <w:tblHeader/>
        </w:trPr>
        <w:tc>
          <w:tcPr>
            <w:tcW w:w="899" w:type="dxa"/>
          </w:tcPr>
          <w:p w14:paraId="53038381">
            <w:pPr>
              <w:pStyle w:val="28"/>
              <w:jc w:val="left"/>
              <w:rPr>
                <w:color w:val="auto"/>
              </w:rPr>
            </w:pPr>
            <w:r>
              <w:rPr>
                <w:b/>
                <w:bCs/>
                <w:color w:val="auto"/>
              </w:rPr>
              <w:t>Nr.</w:t>
            </w:r>
          </w:p>
        </w:tc>
        <w:tc>
          <w:tcPr>
            <w:tcW w:w="3216" w:type="dxa"/>
          </w:tcPr>
          <w:p w14:paraId="0AC078FA">
            <w:pPr>
              <w:pStyle w:val="28"/>
              <w:jc w:val="left"/>
              <w:rPr>
                <w:color w:val="auto"/>
              </w:rPr>
            </w:pPr>
            <w:r>
              <w:rPr>
                <w:b/>
                <w:bCs/>
                <w:color w:val="auto"/>
              </w:rPr>
              <w:t>Prasība (Latviešu) / Requirement (Latvian)</w:t>
            </w:r>
          </w:p>
        </w:tc>
        <w:tc>
          <w:tcPr>
            <w:tcW w:w="3585" w:type="dxa"/>
          </w:tcPr>
          <w:p w14:paraId="5905A341">
            <w:pPr>
              <w:pStyle w:val="28"/>
              <w:jc w:val="left"/>
              <w:rPr>
                <w:color w:val="auto"/>
              </w:rPr>
            </w:pPr>
            <w:r>
              <w:rPr>
                <w:b/>
                <w:bCs/>
                <w:color w:val="auto"/>
              </w:rPr>
              <w:t>Requirement (English)</w:t>
            </w:r>
          </w:p>
        </w:tc>
        <w:tc>
          <w:p w14:paraId="36D0F0FF">
            <w:pPr>
              <w:pStyle w:val="28"/>
              <w:jc w:val="left"/>
              <w:rPr>
                <w:color w:val="auto"/>
              </w:rPr>
            </w:pPr>
            <w:r>
              <w:rPr>
                <w:b/>
                <w:bCs/>
                <w:color w:val="auto"/>
              </w:rPr>
              <w:t>Pretendenta atbilstības apraksts / Supplier compliance statement</w:t>
            </w:r>
          </w:p>
        </w:tc>
      </w:tr>
      <w:tr w14:paraId="1380BCFF">
        <w:tc>
          <w:tcPr>
            <w:tcW w:w="899" w:type="dxa"/>
          </w:tcPr>
          <w:p w14:paraId="20F2494A">
            <w:pPr>
              <w:pStyle w:val="28"/>
              <w:jc w:val="left"/>
              <w:rPr>
                <w:color w:val="auto"/>
              </w:rPr>
            </w:pPr>
            <w:r>
              <w:rPr>
                <w:b/>
                <w:bCs/>
                <w:color w:val="auto"/>
              </w:rPr>
              <w:t>1.4.1.1</w:t>
            </w:r>
          </w:p>
        </w:tc>
        <w:tc>
          <w:tcPr>
            <w:tcW w:w="3216" w:type="dxa"/>
          </w:tcPr>
          <w:p w14:paraId="15DF7D76">
            <w:pPr>
              <w:pStyle w:val="28"/>
              <w:jc w:val="left"/>
              <w:rPr>
                <w:color w:val="auto"/>
              </w:rPr>
            </w:pPr>
            <w:r>
              <w:rPr>
                <w:color w:val="auto"/>
              </w:rPr>
              <w:t>Mehāniskā sagatavošana: robotizēta slīpēšana/skrāpēšana ar piemērotu instrumenta ģeometriju HDPE detaļām. Nepieciešams novērtēt robota vadītu slīpēšanu kā primāro mehānisko metodi.</w:t>
            </w:r>
          </w:p>
        </w:tc>
        <w:tc>
          <w:tcPr>
            <w:tcW w:w="3585" w:type="dxa"/>
          </w:tcPr>
          <w:p w14:paraId="1A378EE6">
            <w:pPr>
              <w:pStyle w:val="28"/>
              <w:jc w:val="left"/>
              <w:rPr>
                <w:color w:val="auto"/>
              </w:rPr>
            </w:pPr>
            <w:r>
              <w:rPr>
                <w:color w:val="auto"/>
              </w:rPr>
              <w:t>Mechanical preparation: robot-guided grinding/scraping with suitable tool geometry for HDPE parts. Robotic grinding as the primary mechanical method needs to be evaluated.</w:t>
            </w:r>
          </w:p>
        </w:tc>
        <w:tc>
          <w:p w14:paraId="70E812A9">
            <w:pPr>
              <w:pStyle w:val="28"/>
              <w:jc w:val="left"/>
              <w:rPr>
                <w:color w:val="auto"/>
              </w:rPr>
            </w:pPr>
            <w:r>
              <w:rPr>
                <w:color w:val="auto"/>
                <w:lang w:val="en-US" w:eastAsia="zh-CN"/>
              </w:rPr>
              <w:t>Atbilst / Complies</w:t>
            </w:r>
          </w:p>
        </w:tc>
      </w:tr>
      <w:tr w14:paraId="29164537">
        <w:tc>
          <w:tcPr>
            <w:tcW w:w="899" w:type="dxa"/>
          </w:tcPr>
          <w:p w14:paraId="2E32D41A">
            <w:pPr>
              <w:pStyle w:val="28"/>
              <w:jc w:val="left"/>
              <w:rPr>
                <w:color w:val="auto"/>
              </w:rPr>
            </w:pPr>
            <w:r>
              <w:rPr>
                <w:b/>
                <w:bCs/>
                <w:color w:val="auto"/>
              </w:rPr>
              <w:t>1.4.1.2</w:t>
            </w:r>
          </w:p>
        </w:tc>
        <w:tc>
          <w:tcPr>
            <w:tcW w:w="3216" w:type="dxa"/>
          </w:tcPr>
          <w:p w14:paraId="14453134">
            <w:pPr>
              <w:pStyle w:val="28"/>
              <w:jc w:val="left"/>
              <w:rPr>
                <w:color w:val="auto"/>
              </w:rPr>
            </w:pPr>
            <w:r>
              <w:rPr>
                <w:color w:val="auto"/>
              </w:rPr>
              <w:t>Lāzera virsmas apstrāde (ablācija): eksperimentāla jaudas (W), fokusa attāluma (mm), apstrādes ātruma (mm/s) un apstrādes joslu pārklājuma optimizācija, ietverot obligātu drošības priekšizpēti (skat. 1.4.2) pirms fizisku testu uzsākšanas.</w:t>
            </w:r>
          </w:p>
        </w:tc>
        <w:tc>
          <w:tcPr>
            <w:tcW w:w="3585" w:type="dxa"/>
          </w:tcPr>
          <w:p w14:paraId="0C4B4C2A">
            <w:pPr>
              <w:pStyle w:val="28"/>
              <w:jc w:val="left"/>
              <w:rPr>
                <w:color w:val="auto"/>
              </w:rPr>
            </w:pPr>
            <w:r>
              <w:rPr>
                <w:i/>
                <w:iCs/>
                <w:color w:val="auto"/>
              </w:rPr>
              <w:t>Laser surface treatment (ablation): experimental optimisation of power (W), focal distance (mm), scan speed (mm/s), and pass overlap, including a mandatory safety pre-assessment (see 1.4.2) before physical testing begins.</w:t>
            </w:r>
          </w:p>
        </w:tc>
        <w:tc>
          <w:tcPr>
            <w:shd w:val="clear" w:color="auto" w:fill="auto"/>
            <w:vAlign w:val="top"/>
          </w:tcPr>
          <w:p w14:paraId="6DC9C980">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bl>
    <w:p w14:paraId="72A115BD">
      <w:pPr>
        <w:pStyle w:val="3"/>
        <w:rPr>
          <w:color w:val="auto"/>
        </w:rPr>
      </w:pPr>
      <w:r>
        <w:rPr>
          <w:b/>
          <w:bCs/>
          <w:color w:val="auto"/>
        </w:rPr>
        <w:t>1.4.2 Drošības priekšizpēte (obligāta pirms fiziskiem lāzera testiem) / Safety pre-assessment (mandatory before physical laser tests)</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899"/>
        <w:gridCol w:w="3216"/>
        <w:gridCol w:w="3585"/>
        <w:gridCol w:w="2900"/>
      </w:tblGrid>
      <w:tr w14:paraId="10744530">
        <w:trPr>
          <w:tblHeader/>
        </w:trPr>
        <w:tc>
          <w:tcPr>
            <w:tcW w:w="899" w:type="dxa"/>
          </w:tcPr>
          <w:p w14:paraId="757CFABC">
            <w:pPr>
              <w:pStyle w:val="28"/>
              <w:jc w:val="left"/>
              <w:rPr>
                <w:color w:val="auto"/>
              </w:rPr>
            </w:pPr>
            <w:r>
              <w:rPr>
                <w:b/>
                <w:bCs/>
                <w:color w:val="auto"/>
              </w:rPr>
              <w:t>Nr.</w:t>
            </w:r>
          </w:p>
        </w:tc>
        <w:tc>
          <w:tcPr>
            <w:tcW w:w="3216" w:type="dxa"/>
          </w:tcPr>
          <w:p w14:paraId="5A5DE5D2">
            <w:pPr>
              <w:pStyle w:val="28"/>
              <w:jc w:val="left"/>
              <w:rPr>
                <w:color w:val="auto"/>
              </w:rPr>
            </w:pPr>
            <w:r>
              <w:rPr>
                <w:b/>
                <w:bCs/>
                <w:color w:val="auto"/>
              </w:rPr>
              <w:t>Prasība (Latviešu) / Requirement (Latvian)</w:t>
            </w:r>
          </w:p>
        </w:tc>
        <w:tc>
          <w:tcPr>
            <w:tcW w:w="3585" w:type="dxa"/>
          </w:tcPr>
          <w:p w14:paraId="00236C83">
            <w:pPr>
              <w:pStyle w:val="28"/>
              <w:jc w:val="left"/>
              <w:rPr>
                <w:color w:val="auto"/>
              </w:rPr>
            </w:pPr>
            <w:r>
              <w:rPr>
                <w:b/>
                <w:bCs/>
                <w:color w:val="auto"/>
              </w:rPr>
              <w:t>Requirement (English)</w:t>
            </w:r>
          </w:p>
        </w:tc>
        <w:tc>
          <w:p w14:paraId="68B29CB8">
            <w:pPr>
              <w:pStyle w:val="28"/>
              <w:jc w:val="left"/>
              <w:rPr>
                <w:color w:val="auto"/>
              </w:rPr>
            </w:pPr>
            <w:r>
              <w:rPr>
                <w:b/>
                <w:bCs/>
                <w:color w:val="auto"/>
              </w:rPr>
              <w:t>Pretendenta atbilstības apraksts / Supplier compliance statement</w:t>
            </w:r>
          </w:p>
        </w:tc>
      </w:tr>
      <w:tr w14:paraId="711C3666">
        <w:tc>
          <w:tcPr>
            <w:tcW w:w="899" w:type="dxa"/>
          </w:tcPr>
          <w:p w14:paraId="4AF54759">
            <w:pPr>
              <w:pStyle w:val="28"/>
              <w:jc w:val="left"/>
              <w:rPr>
                <w:color w:val="auto"/>
              </w:rPr>
            </w:pPr>
            <w:r>
              <w:rPr>
                <w:b/>
                <w:bCs/>
                <w:color w:val="auto"/>
              </w:rPr>
              <w:t>1.4.2.1</w:t>
            </w:r>
          </w:p>
        </w:tc>
        <w:tc>
          <w:tcPr>
            <w:tcW w:w="3216" w:type="dxa"/>
          </w:tcPr>
          <w:p w14:paraId="723422EE">
            <w:pPr>
              <w:pStyle w:val="28"/>
              <w:jc w:val="left"/>
              <w:rPr>
                <w:color w:val="auto"/>
              </w:rPr>
            </w:pPr>
            <w:r>
              <w:rPr>
                <w:color w:val="auto"/>
              </w:rPr>
              <w:t>Izpildītājs veic teorētisku un/vai mazapjoma laboratorijas riska novērtējumu par HDPE materiāla termisko degradāciju un aizdegšanās risku dažādos lāzera jaudas/ātruma kombinācijās, pirms tiek noteikts pilna apjoma testēšanas parametru diapazons.</w:t>
            </w:r>
          </w:p>
        </w:tc>
        <w:tc>
          <w:tcPr>
            <w:tcW w:w="3585" w:type="dxa"/>
          </w:tcPr>
          <w:p w14:paraId="5FD6A1F1">
            <w:pPr>
              <w:pStyle w:val="28"/>
              <w:jc w:val="left"/>
              <w:rPr>
                <w:color w:val="auto"/>
              </w:rPr>
            </w:pPr>
            <w:r>
              <w:rPr>
                <w:i/>
                <w:iCs/>
                <w:color w:val="auto"/>
              </w:rPr>
              <w:t xml:space="preserve">The </w:t>
            </w:r>
            <w:r>
              <w:rPr>
                <w:rFonts w:hint="default"/>
                <w:i/>
                <w:iCs/>
                <w:color w:val="auto"/>
                <w:lang w:val="lv-LV"/>
              </w:rPr>
              <w:t>contractor</w:t>
            </w:r>
            <w:r>
              <w:rPr>
                <w:i/>
                <w:iCs/>
                <w:color w:val="auto"/>
              </w:rPr>
              <w:t xml:space="preserve"> shall conduct a theoretical and/or small-scale laboratory risk assessment of HDPE thermal degradation, and ignition risk across various laser power/speed combinations, before the full-scale testing parameter range is fixed.</w:t>
            </w:r>
          </w:p>
        </w:tc>
        <w:tc>
          <w:tcPr>
            <w:shd w:val="clear" w:color="auto" w:fill="auto"/>
            <w:vAlign w:val="top"/>
          </w:tcPr>
          <w:p w14:paraId="53049AE5">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r w14:paraId="06773A1A">
        <w:tc>
          <w:tcPr>
            <w:tcW w:w="899" w:type="dxa"/>
          </w:tcPr>
          <w:p w14:paraId="407759ED">
            <w:pPr>
              <w:pStyle w:val="28"/>
              <w:jc w:val="left"/>
              <w:rPr>
                <w:color w:val="auto"/>
              </w:rPr>
            </w:pPr>
            <w:r>
              <w:rPr>
                <w:b/>
                <w:bCs/>
                <w:color w:val="auto"/>
              </w:rPr>
              <w:t>1.4.2.2</w:t>
            </w:r>
          </w:p>
        </w:tc>
        <w:tc>
          <w:tcPr>
            <w:tcW w:w="3216" w:type="dxa"/>
          </w:tcPr>
          <w:p w14:paraId="32FDB481">
            <w:pPr>
              <w:pStyle w:val="28"/>
              <w:jc w:val="left"/>
              <w:rPr>
                <w:color w:val="auto"/>
              </w:rPr>
            </w:pPr>
            <w:r>
              <w:rPr>
                <w:color w:val="auto"/>
              </w:rPr>
              <w:t>Rezultātā jānosaka drošs testēšanas parametru diapazonu (max. jauda, min. ātrums), kas kalpo kā ievades dati 1.4.1.2.testiem.</w:t>
            </w:r>
          </w:p>
        </w:tc>
        <w:tc>
          <w:tcPr>
            <w:tcW w:w="3585" w:type="dxa"/>
          </w:tcPr>
          <w:p w14:paraId="1CDF8059">
            <w:pPr>
              <w:pStyle w:val="28"/>
              <w:jc w:val="left"/>
              <w:rPr>
                <w:color w:val="auto"/>
              </w:rPr>
            </w:pPr>
            <w:r>
              <w:rPr>
                <w:i/>
                <w:iCs/>
                <w:color w:val="auto"/>
              </w:rPr>
              <w:t>The result shall define a safe testing parameter window (max. power, min. speed), which serves as input data for the 1.4.1.2. tests.</w:t>
            </w:r>
          </w:p>
        </w:tc>
        <w:tc>
          <w:tcPr>
            <w:shd w:val="clear" w:color="auto" w:fill="auto"/>
            <w:vAlign w:val="top"/>
          </w:tcPr>
          <w:p w14:paraId="676501D9">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bl>
    <w:p w14:paraId="5229E1A0">
      <w:pPr>
        <w:pStyle w:val="3"/>
        <w:rPr>
          <w:color w:val="auto"/>
        </w:rPr>
      </w:pPr>
      <w:r>
        <w:rPr>
          <w:b/>
          <w:bCs/>
          <w:color w:val="auto"/>
        </w:rPr>
        <w:t xml:space="preserve">1.4.3 Mērījumu veikšana / Measurements </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910"/>
        <w:gridCol w:w="3205"/>
        <w:gridCol w:w="3585"/>
        <w:gridCol w:w="2900"/>
      </w:tblGrid>
      <w:tr w14:paraId="74654390">
        <w:trPr>
          <w:tblHeader/>
        </w:trPr>
        <w:tc>
          <w:tcPr>
            <w:tcW w:w="910" w:type="dxa"/>
          </w:tcPr>
          <w:p w14:paraId="78A4F313">
            <w:pPr>
              <w:pStyle w:val="28"/>
              <w:jc w:val="left"/>
              <w:rPr>
                <w:color w:val="auto"/>
              </w:rPr>
            </w:pPr>
            <w:r>
              <w:rPr>
                <w:b/>
                <w:bCs/>
                <w:color w:val="auto"/>
              </w:rPr>
              <w:t>Nr.</w:t>
            </w:r>
          </w:p>
        </w:tc>
        <w:tc>
          <w:tcPr>
            <w:tcW w:w="3205" w:type="dxa"/>
          </w:tcPr>
          <w:p w14:paraId="0CE01918">
            <w:pPr>
              <w:pStyle w:val="28"/>
              <w:jc w:val="left"/>
              <w:rPr>
                <w:color w:val="auto"/>
              </w:rPr>
            </w:pPr>
            <w:r>
              <w:rPr>
                <w:b/>
                <w:bCs/>
                <w:color w:val="auto"/>
              </w:rPr>
              <w:t>Prasība (Latviešu) / Requirement (Latvian)</w:t>
            </w:r>
          </w:p>
        </w:tc>
        <w:tc>
          <w:tcPr>
            <w:tcW w:w="3585" w:type="dxa"/>
          </w:tcPr>
          <w:p w14:paraId="493A622E">
            <w:pPr>
              <w:pStyle w:val="28"/>
              <w:jc w:val="left"/>
              <w:rPr>
                <w:color w:val="auto"/>
              </w:rPr>
            </w:pPr>
            <w:r>
              <w:rPr>
                <w:b/>
                <w:bCs/>
                <w:color w:val="auto"/>
              </w:rPr>
              <w:t>Requirement (English)</w:t>
            </w:r>
          </w:p>
        </w:tc>
        <w:tc>
          <w:p w14:paraId="358FB9A3">
            <w:pPr>
              <w:pStyle w:val="28"/>
              <w:jc w:val="left"/>
              <w:rPr>
                <w:color w:val="auto"/>
              </w:rPr>
            </w:pPr>
            <w:r>
              <w:rPr>
                <w:b/>
                <w:bCs/>
                <w:color w:val="auto"/>
              </w:rPr>
              <w:t>Pretendenta atbilstības apraksts / Supplier compliance statement</w:t>
            </w:r>
          </w:p>
        </w:tc>
      </w:tr>
      <w:tr w14:paraId="4AE2B911">
        <w:tc>
          <w:tcPr>
            <w:tcW w:w="910" w:type="dxa"/>
          </w:tcPr>
          <w:p w14:paraId="16C0A907">
            <w:pPr>
              <w:pStyle w:val="28"/>
              <w:jc w:val="left"/>
              <w:rPr>
                <w:color w:val="auto"/>
              </w:rPr>
            </w:pPr>
            <w:r>
              <w:rPr>
                <w:b/>
                <w:bCs/>
                <w:color w:val="auto"/>
              </w:rPr>
              <w:t>1.4.3.1</w:t>
            </w:r>
          </w:p>
        </w:tc>
        <w:tc>
          <w:tcPr>
            <w:tcW w:w="3205" w:type="dxa"/>
          </w:tcPr>
          <w:p w14:paraId="1AD52B42">
            <w:pPr>
              <w:pStyle w:val="28"/>
              <w:jc w:val="left"/>
              <w:rPr>
                <w:color w:val="auto"/>
              </w:rPr>
            </w:pPr>
            <w:r>
              <w:rPr>
                <w:color w:val="auto"/>
              </w:rPr>
              <w:t>Noteikt metodes virsmas raupjuma apstrādei un mērījumu veikšanai, veikt vismaz 5 mērījumus dažāda biezuma materiāliem.</w:t>
            </w:r>
          </w:p>
        </w:tc>
        <w:tc>
          <w:tcPr>
            <w:tcW w:w="3585" w:type="dxa"/>
          </w:tcPr>
          <w:p w14:paraId="2B63D351">
            <w:pPr>
              <w:pStyle w:val="28"/>
              <w:suppressLineNumbers w:val="0"/>
              <w:bidi w:val="0"/>
              <w:spacing w:before="36" w:beforeAutospacing="0" w:after="36" w:afterAutospacing="0" w:line="240" w:lineRule="auto"/>
              <w:ind w:left="0" w:right="0"/>
              <w:jc w:val="left"/>
              <w:rPr>
                <w:i/>
                <w:iCs/>
                <w:color w:val="auto"/>
                <w:lang w:val="en-US"/>
              </w:rPr>
            </w:pPr>
            <w:r>
              <w:rPr>
                <w:i/>
                <w:iCs/>
                <w:color w:val="auto"/>
                <w:lang w:val="en-US"/>
              </w:rPr>
              <w:t>Determine the methods for surface roughness treatment and for taking measurements, and carry out at least 5 measurements on materials of different thicknesses.</w:t>
            </w:r>
          </w:p>
        </w:tc>
        <w:tc>
          <w:tcPr>
            <w:shd w:val="clear" w:color="auto" w:fill="auto"/>
            <w:vAlign w:val="top"/>
          </w:tcPr>
          <w:p w14:paraId="1DE1BC37">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bl>
    <w:p w14:paraId="0AA81F91">
      <w:pPr>
        <w:pStyle w:val="3"/>
        <w:rPr>
          <w:color w:val="auto"/>
        </w:rPr>
      </w:pPr>
      <w:r>
        <w:rPr>
          <w:b/>
          <w:bCs/>
          <w:color w:val="auto"/>
        </w:rPr>
        <w:t>1.4.4 Robotizācijas un integrācijas analīze / Robotisation and integration analysis</w:t>
      </w:r>
    </w:p>
    <w:p w14:paraId="0EC48C69">
      <w:pPr>
        <w:pStyle w:val="3"/>
        <w:rPr>
          <w:color w:val="auto"/>
        </w:rPr>
      </w:pPr>
      <w:r>
        <w:rPr>
          <w:color w:val="auto"/>
        </w:rPr>
        <w:t>Jāizvērtē vismaz šādi varianti sagatavošanas instrumenta integrācijai ar esošo/plānoto izmēģinājuma līniju, katram norādot izmaksu novērtējumu, drošības prasības, integrācijas sarežģītību un laika ietekmi:</w:t>
      </w:r>
    </w:p>
    <w:p w14:paraId="68EAC2DC">
      <w:pPr>
        <w:pStyle w:val="3"/>
        <w:rPr>
          <w:color w:val="auto"/>
        </w:rPr>
      </w:pPr>
      <w:r>
        <w:rPr>
          <w:i/>
          <w:iCs/>
          <w:color w:val="auto"/>
        </w:rPr>
        <w:t>At least the following options for integrating the preparation tool with the existing or planned pilot line shall be assessed, stating for each of them a cost estimate, the safety requirements, the integration complexity and the impact on cycle time:</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404"/>
        <w:gridCol w:w="3596"/>
        <w:gridCol w:w="2900"/>
      </w:tblGrid>
      <w:tr w14:paraId="487FB296">
        <w:trPr>
          <w:tblHeader/>
        </w:trPr>
        <w:tc>
          <w:p w14:paraId="70E1BA83">
            <w:pPr>
              <w:pStyle w:val="28"/>
              <w:jc w:val="left"/>
              <w:rPr>
                <w:color w:val="auto"/>
              </w:rPr>
            </w:pPr>
            <w:r>
              <w:rPr>
                <w:b/>
                <w:bCs/>
                <w:color w:val="auto"/>
              </w:rPr>
              <w:t>Nr.</w:t>
            </w:r>
          </w:p>
        </w:tc>
        <w:tc>
          <w:tcPr>
            <w:tcW w:w="3404" w:type="dxa"/>
          </w:tcPr>
          <w:p w14:paraId="78758EFB">
            <w:pPr>
              <w:pStyle w:val="28"/>
              <w:jc w:val="left"/>
              <w:rPr>
                <w:color w:val="auto"/>
              </w:rPr>
            </w:pPr>
            <w:r>
              <w:rPr>
                <w:b/>
                <w:bCs/>
                <w:color w:val="auto"/>
              </w:rPr>
              <w:t>Prasība (Latviešu) / Requirement (Latvian)</w:t>
            </w:r>
          </w:p>
        </w:tc>
        <w:tc>
          <w:tcPr>
            <w:tcW w:w="3596" w:type="dxa"/>
          </w:tcPr>
          <w:p w14:paraId="1AA58583">
            <w:pPr>
              <w:pStyle w:val="28"/>
              <w:jc w:val="left"/>
              <w:rPr>
                <w:color w:val="auto"/>
              </w:rPr>
            </w:pPr>
            <w:r>
              <w:rPr>
                <w:b/>
                <w:bCs/>
                <w:color w:val="auto"/>
              </w:rPr>
              <w:t>Requirement (English)</w:t>
            </w:r>
          </w:p>
        </w:tc>
        <w:tc>
          <w:p w14:paraId="5489D7A4">
            <w:pPr>
              <w:pStyle w:val="28"/>
              <w:jc w:val="left"/>
              <w:rPr>
                <w:color w:val="auto"/>
              </w:rPr>
            </w:pPr>
            <w:r>
              <w:rPr>
                <w:b/>
                <w:bCs/>
                <w:color w:val="auto"/>
              </w:rPr>
              <w:t>Pretendenta atbilstības apraksts / Supplier compliance statement</w:t>
            </w:r>
          </w:p>
        </w:tc>
      </w:tr>
      <w:tr w14:paraId="78F3542F">
        <w:tc>
          <w:p w14:paraId="60B7096B">
            <w:pPr>
              <w:pStyle w:val="28"/>
              <w:jc w:val="left"/>
              <w:rPr>
                <w:color w:val="auto"/>
              </w:rPr>
            </w:pPr>
            <w:r>
              <w:rPr>
                <w:b/>
                <w:bCs/>
                <w:color w:val="auto"/>
              </w:rPr>
              <w:t>A</w:t>
            </w:r>
          </w:p>
        </w:tc>
        <w:tc>
          <w:tcPr>
            <w:tcW w:w="3404" w:type="dxa"/>
          </w:tcPr>
          <w:p w14:paraId="56146147">
            <w:pPr>
              <w:pStyle w:val="28"/>
              <w:jc w:val="left"/>
              <w:rPr>
                <w:color w:val="auto"/>
              </w:rPr>
            </w:pPr>
            <w:r>
              <w:rPr>
                <w:color w:val="auto"/>
              </w:rPr>
              <w:t>Papildu instruments uz esošās robota rokas (otrs TCP (Tool Center Point)) — secīga sagatavošana + metināšana vienā programmā. Novērtēt slodzes, TCP konfigurāciju, programmas sarežģītību. Jāiekļauj ekonomiskās dzīvotspējas novērtējums (piem., dīkstāves risks, kamēr viens posms gaida otru).</w:t>
            </w:r>
          </w:p>
        </w:tc>
        <w:tc>
          <w:tcPr>
            <w:tcW w:w="3596" w:type="dxa"/>
          </w:tcPr>
          <w:p w14:paraId="3C6BA0BA">
            <w:pPr>
              <w:pStyle w:val="28"/>
              <w:jc w:val="left"/>
              <w:rPr>
                <w:color w:val="auto"/>
              </w:rPr>
            </w:pPr>
            <w:r>
              <w:rPr>
                <w:i/>
                <w:iCs/>
                <w:color w:val="auto"/>
              </w:rPr>
              <w:t>Additional tool on the existing robot arm (second TCP) — sequential preparation + welding in one program. Assess payload budget, TCP configuration, program complexity.</w:t>
            </w:r>
            <w:r>
              <w:rPr>
                <w:color w:val="auto"/>
              </w:rPr>
              <w:t xml:space="preserve"> </w:t>
            </w:r>
            <w:r>
              <w:rPr>
                <w:i/>
                <w:iCs/>
                <w:color w:val="auto"/>
              </w:rPr>
              <w:t>Shall include an economic viability assessment (e.g. idle-time risk while one station waits for the other).</w:t>
            </w:r>
          </w:p>
        </w:tc>
        <w:tc>
          <w:tcPr>
            <w:shd w:val="clear" w:color="auto" w:fill="auto"/>
            <w:vAlign w:val="top"/>
          </w:tcPr>
          <w:p w14:paraId="7A829D89">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r w14:paraId="5E5A2856">
        <w:tc>
          <w:p w14:paraId="2572F823">
            <w:pPr>
              <w:pStyle w:val="28"/>
              <w:jc w:val="left"/>
              <w:rPr>
                <w:color w:val="auto"/>
              </w:rPr>
            </w:pPr>
            <w:r>
              <w:rPr>
                <w:b/>
                <w:bCs/>
                <w:color w:val="auto"/>
              </w:rPr>
              <w:t>B</w:t>
            </w:r>
          </w:p>
        </w:tc>
        <w:tc>
          <w:tcPr>
            <w:tcW w:w="3404" w:type="dxa"/>
          </w:tcPr>
          <w:p w14:paraId="4E5E5A8E">
            <w:pPr>
              <w:pStyle w:val="28"/>
              <w:jc w:val="left"/>
              <w:rPr>
                <w:color w:val="auto"/>
              </w:rPr>
            </w:pPr>
            <w:r>
              <w:rPr>
                <w:color w:val="auto"/>
              </w:rPr>
              <w:t>Otrs robots uz mobilas platformas (AMR) vai humanoīds — sadarbības protokoli (ROS2 / OPC-UA koordinācija); praktiski apsvērumi lielu HDPE sekciju izveides apstākļos. Jāiekļauj ekonomiskās dzīvotspējas novērtējums (piem., dīkstāves risks, kamēr viens posms gaida otru).</w:t>
            </w:r>
          </w:p>
        </w:tc>
        <w:tc>
          <w:tcPr>
            <w:tcW w:w="3596" w:type="dxa"/>
          </w:tcPr>
          <w:p w14:paraId="5EFC7673">
            <w:pPr>
              <w:pStyle w:val="28"/>
              <w:jc w:val="left"/>
              <w:rPr>
                <w:color w:val="auto"/>
              </w:rPr>
            </w:pPr>
            <w:r>
              <w:rPr>
                <w:i/>
                <w:iCs/>
                <w:color w:val="auto"/>
              </w:rPr>
              <w:t xml:space="preserve">Second robot on a mobile platform (AMR) or humanoid — cooperation protocols (ROS2 / OPC-UA coordination); practical considerations in a large HDPE section </w:t>
            </w:r>
            <w:r>
              <w:rPr>
                <w:i/>
                <w:iCs/>
                <w:color w:val="auto"/>
                <w:lang w:val="lv-LV"/>
              </w:rPr>
              <w:t>development</w:t>
            </w:r>
            <w:r>
              <w:rPr>
                <w:i/>
                <w:iCs/>
                <w:color w:val="auto"/>
              </w:rPr>
              <w:t xml:space="preserve"> environment.</w:t>
            </w:r>
            <w:r>
              <w:rPr>
                <w:color w:val="auto"/>
              </w:rPr>
              <w:t xml:space="preserve"> </w:t>
            </w:r>
            <w:r>
              <w:rPr>
                <w:i/>
                <w:iCs/>
                <w:color w:val="auto"/>
              </w:rPr>
              <w:t>Shall include an economic viability assessment (e.g. idle-time risk while one station waits for the other).</w:t>
            </w:r>
          </w:p>
        </w:tc>
        <w:tc>
          <w:tcPr>
            <w:shd w:val="clear" w:color="auto" w:fill="auto"/>
            <w:vAlign w:val="top"/>
          </w:tcPr>
          <w:p w14:paraId="51C40678">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r w14:paraId="668B27A9">
        <w:tc>
          <w:p w14:paraId="51CCE9D0">
            <w:pPr>
              <w:pStyle w:val="28"/>
              <w:jc w:val="left"/>
              <w:rPr>
                <w:color w:val="auto"/>
              </w:rPr>
            </w:pPr>
            <w:r>
              <w:rPr>
                <w:b/>
                <w:bCs/>
                <w:color w:val="auto"/>
              </w:rPr>
              <w:t>C</w:t>
            </w:r>
          </w:p>
        </w:tc>
        <w:tc>
          <w:tcPr>
            <w:tcW w:w="3404" w:type="dxa"/>
          </w:tcPr>
          <w:p w14:paraId="28CC37C0">
            <w:pPr>
              <w:pStyle w:val="28"/>
              <w:jc w:val="left"/>
              <w:rPr>
                <w:color w:val="auto"/>
              </w:rPr>
            </w:pPr>
            <w:r>
              <w:rPr>
                <w:color w:val="auto"/>
              </w:rPr>
              <w:t>Stacionāra priekšapstrādes stacija ar sagataves pārvietošanu (positioner/turntable) starp stacijām. Jāiekļauj ekonomiskās dzīvotspējas novērtējums (piem., dīkstāves risks, kamēr viens posms gaida otru).</w:t>
            </w:r>
          </w:p>
        </w:tc>
        <w:tc>
          <w:tcPr>
            <w:tcW w:w="3596" w:type="dxa"/>
          </w:tcPr>
          <w:p w14:paraId="521FA855">
            <w:pPr>
              <w:pStyle w:val="28"/>
              <w:jc w:val="left"/>
              <w:rPr>
                <w:color w:val="auto"/>
              </w:rPr>
            </w:pPr>
            <w:r>
              <w:rPr>
                <w:i/>
                <w:iCs/>
                <w:color w:val="auto"/>
              </w:rPr>
              <w:t>Fixed pre-treatment station with workpiece transfer (positioner/turntable) between stations. Shall include an economic viability assessment (e.g. idle-time risk while one station waits for the other).</w:t>
            </w:r>
          </w:p>
        </w:tc>
        <w:tc>
          <w:tcPr>
            <w:shd w:val="clear" w:color="auto" w:fill="auto"/>
            <w:vAlign w:val="top"/>
          </w:tcPr>
          <w:p w14:paraId="2E281F28">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bl>
    <w:p w14:paraId="17F77AE2">
      <w:pPr>
        <w:pStyle w:val="3"/>
        <w:rPr>
          <w:color w:val="auto"/>
        </w:rPr>
      </w:pPr>
      <w:r>
        <w:rPr>
          <w:b/>
          <w:bCs/>
          <w:color w:val="auto"/>
        </w:rPr>
        <w:t>1.5 Nodevumi (rūpnieciskā pētījuma rezultātā) / Deliverables (as a result of the industrial research)</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415"/>
        <w:gridCol w:w="3585"/>
        <w:gridCol w:w="2900"/>
      </w:tblGrid>
      <w:tr w14:paraId="18E82905">
        <w:trPr>
          <w:tblHeader/>
        </w:trPr>
        <w:tc>
          <w:p w14:paraId="1C6B4216">
            <w:pPr>
              <w:pStyle w:val="28"/>
              <w:jc w:val="left"/>
              <w:rPr>
                <w:color w:val="auto"/>
              </w:rPr>
            </w:pPr>
            <w:r>
              <w:rPr>
                <w:b/>
                <w:bCs/>
                <w:color w:val="auto"/>
              </w:rPr>
              <w:t>Nr.</w:t>
            </w:r>
          </w:p>
        </w:tc>
        <w:tc>
          <w:tcPr>
            <w:tcW w:w="3415" w:type="dxa"/>
          </w:tcPr>
          <w:p w14:paraId="293F99AC">
            <w:pPr>
              <w:pStyle w:val="28"/>
              <w:jc w:val="left"/>
              <w:rPr>
                <w:color w:val="auto"/>
              </w:rPr>
            </w:pPr>
            <w:r>
              <w:rPr>
                <w:b/>
                <w:bCs/>
                <w:color w:val="auto"/>
              </w:rPr>
              <w:t>Prasība (Latviešu) / Requirement (Latvian)</w:t>
            </w:r>
          </w:p>
        </w:tc>
        <w:tc>
          <w:tcPr>
            <w:tcW w:w="3585" w:type="dxa"/>
          </w:tcPr>
          <w:p w14:paraId="6DD9E1D0">
            <w:pPr>
              <w:pStyle w:val="28"/>
              <w:jc w:val="left"/>
              <w:rPr>
                <w:color w:val="auto"/>
              </w:rPr>
            </w:pPr>
            <w:r>
              <w:rPr>
                <w:b/>
                <w:bCs/>
                <w:color w:val="auto"/>
              </w:rPr>
              <w:t>Requirement (English)</w:t>
            </w:r>
          </w:p>
        </w:tc>
        <w:tc>
          <w:p w14:paraId="23C2CF76">
            <w:pPr>
              <w:pStyle w:val="28"/>
              <w:jc w:val="left"/>
              <w:rPr>
                <w:color w:val="auto"/>
              </w:rPr>
            </w:pPr>
            <w:r>
              <w:rPr>
                <w:b/>
                <w:bCs/>
                <w:color w:val="auto"/>
              </w:rPr>
              <w:t>Pretendenta atbilstības apraksts / Supplier compliance statement</w:t>
            </w:r>
          </w:p>
        </w:tc>
      </w:tr>
      <w:tr w14:paraId="1B900200">
        <w:tc>
          <w:p w14:paraId="313D4C37">
            <w:pPr>
              <w:pStyle w:val="28"/>
              <w:jc w:val="left"/>
              <w:rPr>
                <w:color w:val="auto"/>
              </w:rPr>
            </w:pPr>
            <w:r>
              <w:rPr>
                <w:b/>
                <w:bCs/>
                <w:color w:val="auto"/>
              </w:rPr>
              <w:t>1.5.1</w:t>
            </w:r>
          </w:p>
        </w:tc>
        <w:tc>
          <w:tcPr>
            <w:tcW w:w="3415" w:type="dxa"/>
          </w:tcPr>
          <w:p w14:paraId="2AB3D22E">
            <w:pPr>
              <w:pStyle w:val="28"/>
              <w:jc w:val="left"/>
              <w:rPr>
                <w:color w:val="auto"/>
              </w:rPr>
            </w:pPr>
            <w:r>
              <w:rPr>
                <w:color w:val="auto"/>
              </w:rPr>
              <w:t>Pētījuma ziņojums (angļu valodā, ≥30 lpp.): eksperimentu apraksts un metodika; pilns mērījumu rezultātu dati (neapstrādāti un apkopoti); drošības priekšizpētes rezultāti un noteiktais drošais parametru logs.</w:t>
            </w:r>
          </w:p>
        </w:tc>
        <w:tc>
          <w:tcPr>
            <w:tcW w:w="3585" w:type="dxa"/>
          </w:tcPr>
          <w:p w14:paraId="2D0BD581">
            <w:pPr>
              <w:pStyle w:val="28"/>
              <w:jc w:val="left"/>
              <w:rPr>
                <w:color w:val="auto"/>
              </w:rPr>
            </w:pPr>
            <w:r>
              <w:rPr>
                <w:i/>
                <w:iCs/>
                <w:color w:val="auto"/>
              </w:rPr>
              <w:t>Research report (English, ≥30 pages): experiment description and methodology; full measurement result data (raw and aggregated); safety pre-assessment results and the defined safe parameter window.</w:t>
            </w:r>
          </w:p>
        </w:tc>
        <w:tc>
          <w:tcPr>
            <w:shd w:val="clear" w:color="auto" w:fill="auto"/>
            <w:vAlign w:val="top"/>
          </w:tcPr>
          <w:p w14:paraId="4511FBE9">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r w14:paraId="4ABEA301">
        <w:tc>
          <w:p w14:paraId="13B54B35">
            <w:pPr>
              <w:pStyle w:val="28"/>
              <w:jc w:val="left"/>
              <w:rPr>
                <w:color w:val="auto"/>
              </w:rPr>
            </w:pPr>
            <w:r>
              <w:rPr>
                <w:b/>
                <w:bCs/>
                <w:color w:val="auto"/>
              </w:rPr>
              <w:t>1.5.2</w:t>
            </w:r>
          </w:p>
        </w:tc>
        <w:tc>
          <w:tcPr>
            <w:tcW w:w="3415" w:type="dxa"/>
          </w:tcPr>
          <w:p w14:paraId="4960B76C">
            <w:pPr>
              <w:pStyle w:val="28"/>
              <w:jc w:val="left"/>
              <w:rPr>
                <w:color w:val="auto"/>
              </w:rPr>
            </w:pPr>
            <w:r>
              <w:rPr>
                <w:color w:val="auto"/>
              </w:rPr>
              <w:t>Salīdzinošā matrica (tehnoloģija × kritērijs): cikla laiks, drošības riska līmenis, orientējošās izmaksas — katrai no tehnoloģijām un robotizācijas variantiem. Ietvert definēto materiāla apstrādes pārbaudes metodžu apkopojumu.</w:t>
            </w:r>
          </w:p>
        </w:tc>
        <w:tc>
          <w:tcPr>
            <w:tcW w:w="3585" w:type="dxa"/>
          </w:tcPr>
          <w:p w14:paraId="71D75676">
            <w:pPr>
              <w:pStyle w:val="28"/>
              <w:jc w:val="left"/>
              <w:rPr>
                <w:color w:val="auto"/>
              </w:rPr>
            </w:pPr>
            <w:r>
              <w:rPr>
                <w:color w:val="auto"/>
              </w:rPr>
              <w:t>Comparative matrix (technology × criterion): cycle time, safety risk level, indicative cost — for each of the technologies and robotisation options. Include a summary of defined material processing inspection methods.</w:t>
            </w:r>
          </w:p>
        </w:tc>
        <w:tc>
          <w:tcPr>
            <w:shd w:val="clear" w:color="auto" w:fill="auto"/>
            <w:vAlign w:val="top"/>
          </w:tcPr>
          <w:p w14:paraId="11FA82DB">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r w14:paraId="2DC7B2DA">
        <w:tc>
          <w:p w14:paraId="40E0E310">
            <w:pPr>
              <w:pStyle w:val="28"/>
              <w:jc w:val="left"/>
              <w:rPr>
                <w:color w:val="auto"/>
              </w:rPr>
            </w:pPr>
            <w:r>
              <w:rPr>
                <w:b/>
                <w:bCs/>
                <w:color w:val="auto"/>
              </w:rPr>
              <w:t>1.5.3</w:t>
            </w:r>
          </w:p>
        </w:tc>
        <w:tc>
          <w:tcPr>
            <w:tcW w:w="3415" w:type="dxa"/>
          </w:tcPr>
          <w:p w14:paraId="2C7F76D8">
            <w:pPr>
              <w:pStyle w:val="28"/>
              <w:jc w:val="left"/>
              <w:rPr>
                <w:color w:val="auto"/>
              </w:rPr>
            </w:pPr>
            <w:r>
              <w:rPr>
                <w:color w:val="auto"/>
              </w:rPr>
              <w:t>Pamatots ieteikums par optimālo stratēģiju (vai tehnoloģiju kombināciju) lielu mezglu šuvju sagatavošanai, ietverot skaidru pamatojumu, kāpēc konkrētā tehnoloģija tiek vai netiek attīstīta tālāk.</w:t>
            </w:r>
          </w:p>
        </w:tc>
        <w:tc>
          <w:tcPr>
            <w:tcW w:w="3585" w:type="dxa"/>
          </w:tcPr>
          <w:p w14:paraId="524FFE33">
            <w:pPr>
              <w:pStyle w:val="28"/>
              <w:jc w:val="left"/>
              <w:rPr>
                <w:color w:val="auto"/>
              </w:rPr>
            </w:pPr>
            <w:r>
              <w:rPr>
                <w:i/>
                <w:iCs/>
                <w:color w:val="auto"/>
              </w:rPr>
              <w:t>A substantiated recommendation on the optimal strategy (or combination of technologies) for hull-section seam preparation, including a clear justification for why the given technology is or is not developed forward.</w:t>
            </w:r>
          </w:p>
        </w:tc>
        <w:tc>
          <w:tcPr>
            <w:shd w:val="clear" w:color="auto" w:fill="auto"/>
            <w:vAlign w:val="top"/>
          </w:tcPr>
          <w:p w14:paraId="2CA05B66">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r w14:paraId="2B2D184B">
        <w:tc>
          <w:p w14:paraId="4D70E35E">
            <w:pPr>
              <w:pStyle w:val="28"/>
              <w:jc w:val="left"/>
              <w:rPr>
                <w:rFonts w:hint="default"/>
                <w:color w:val="auto"/>
                <w:lang w:val="lv-LV"/>
              </w:rPr>
            </w:pPr>
            <w:r>
              <w:rPr>
                <w:b/>
                <w:bCs/>
                <w:color w:val="auto"/>
              </w:rPr>
              <w:t>1.5.</w:t>
            </w:r>
            <w:r>
              <w:rPr>
                <w:rFonts w:hint="default"/>
                <w:b/>
                <w:bCs/>
                <w:color w:val="auto"/>
                <w:lang w:val="lv-LV"/>
              </w:rPr>
              <w:t>4</w:t>
            </w:r>
          </w:p>
        </w:tc>
        <w:tc>
          <w:tcPr>
            <w:tcW w:w="3415" w:type="dxa"/>
          </w:tcPr>
          <w:p w14:paraId="4A704237">
            <w:pPr>
              <w:pStyle w:val="28"/>
              <w:jc w:val="left"/>
              <w:rPr>
                <w:color w:val="auto"/>
              </w:rPr>
            </w:pPr>
            <w:r>
              <w:rPr>
                <w:color w:val="auto"/>
              </w:rPr>
              <w:t>Testa paraugu un mērījumu izejas dati (raw data), lai nodrošinātu rezultātu pārbaudāmību un atkārtojamību citiem projekta partneriem</w:t>
            </w:r>
          </w:p>
        </w:tc>
        <w:tc>
          <w:tcPr>
            <w:tcW w:w="3585" w:type="dxa"/>
          </w:tcPr>
          <w:p w14:paraId="1715A26F">
            <w:pPr>
              <w:pStyle w:val="28"/>
              <w:jc w:val="left"/>
              <w:rPr>
                <w:color w:val="auto"/>
              </w:rPr>
            </w:pPr>
            <w:r>
              <w:rPr>
                <w:i/>
                <w:iCs/>
                <w:color w:val="auto"/>
              </w:rPr>
              <w:t>Raw test sample and measurement data, to ensure verifiability and reproducibility of results for other project partners.</w:t>
            </w:r>
          </w:p>
        </w:tc>
        <w:tc>
          <w:p w14:paraId="0A1562E2">
            <w:pPr>
              <w:pStyle w:val="28"/>
              <w:rPr>
                <w:color w:val="auto"/>
              </w:rPr>
            </w:pPr>
          </w:p>
        </w:tc>
      </w:tr>
    </w:tbl>
    <w:p w14:paraId="43581649">
      <w:pPr>
        <w:pStyle w:val="3"/>
        <w:rPr>
          <w:color w:val="auto"/>
        </w:rPr>
      </w:pPr>
      <w:r>
        <w:rPr>
          <w:b/>
          <w:bCs/>
          <w:color w:val="auto"/>
        </w:rPr>
        <w:t>2. EDGE AUTOMATIZĒTĀS VADĪBAS SISTĒMAS RŪPNIECISKAIS PĒTĪJUMS</w:t>
      </w:r>
    </w:p>
    <w:p w14:paraId="7D2A59C5">
      <w:pPr>
        <w:pStyle w:val="3"/>
        <w:rPr>
          <w:color w:val="auto"/>
        </w:rPr>
      </w:pPr>
      <w:r>
        <w:rPr>
          <w:b/>
          <w:bCs/>
          <w:i/>
          <w:iCs/>
          <w:color w:val="auto"/>
        </w:rPr>
        <w:t>2. INDUSTRIAL RESEARCH — EDGE AUTOMATED CONTROL SYSTEM</w:t>
      </w:r>
    </w:p>
    <w:p w14:paraId="50709BDC">
      <w:pPr>
        <w:pStyle w:val="3"/>
        <w:rPr>
          <w:color w:val="auto"/>
        </w:rPr>
      </w:pPr>
      <w:r>
        <w:rPr>
          <w:b/>
          <w:bCs/>
          <w:color w:val="auto"/>
        </w:rPr>
        <w:t>2.1 Mērķis un konteksts / Objective and context</w:t>
      </w:r>
    </w:p>
    <w:p w14:paraId="50551A0D">
      <w:pPr>
        <w:pStyle w:val="3"/>
        <w:rPr>
          <w:color w:val="auto"/>
        </w:rPr>
      </w:pPr>
      <w:r>
        <w:rPr>
          <w:color w:val="auto"/>
        </w:rPr>
        <w:t>Pētījuma mērķis ir izpētīt un izveidot datu un vadības arhitektūru, kas nodrošina reāllaika (≤10 ms vadības ciklā) un uzticamu vadību neviendabīgai robotikai (vismaz divu dažādu ražotāju kontrolieriem), vienlaikus saglabājot savietojamību ar mikroražotnes Edge lietojumprogrammatūru un iespēju to nākotnē paplašināt uz citām projekta ietvaros attīstītajām mobilajām robotu sistēmām (UGV, humanoīdi, robotsuņi).</w:t>
      </w:r>
    </w:p>
    <w:p w14:paraId="75E6F244">
      <w:pPr>
        <w:pStyle w:val="3"/>
        <w:rPr>
          <w:color w:val="auto"/>
        </w:rPr>
      </w:pPr>
      <w:r>
        <w:rPr>
          <w:i/>
          <w:iCs/>
          <w:color w:val="auto"/>
        </w:rPr>
        <w:t>The research objective is to determine a data and control architecture that provides real-time (≤10 ms control cycle) and reliable control of heterogeneous robotics (at least two different manufacturers’</w:t>
      </w:r>
      <w:r>
        <w:rPr>
          <w:rFonts w:hint="default"/>
          <w:i/>
          <w:iCs/>
          <w:color w:val="auto"/>
          <w:lang w:val="lv-LV"/>
        </w:rPr>
        <w:t xml:space="preserve"> </w:t>
      </w:r>
      <w:r>
        <w:rPr>
          <w:i/>
          <w:iCs/>
          <w:color w:val="auto"/>
        </w:rPr>
        <w:t>controllers), while maintaining compatibility with the micro-factory’s Edge application and the ability to extend it in future to other mobile robotic systems developed within the project (UGV, humanoid, robotdog).</w:t>
      </w:r>
    </w:p>
    <w:p w14:paraId="72071C14">
      <w:pPr>
        <w:pStyle w:val="3"/>
        <w:rPr>
          <w:color w:val="auto"/>
        </w:rPr>
      </w:pPr>
      <w:r>
        <w:rPr>
          <w:b/>
          <w:bCs/>
          <w:color w:val="auto"/>
        </w:rPr>
        <w:t>2.2 Identificētās tehnoloģiskās nepilnības / Identified technology gaps</w:t>
      </w:r>
    </w:p>
    <w:p w14:paraId="198B393A">
      <w:pPr>
        <w:numPr>
          <w:ilvl w:val="0"/>
          <w:numId w:val="1"/>
        </w:numPr>
        <w:rPr>
          <w:color w:val="auto"/>
        </w:rPr>
      </w:pPr>
      <w:r>
        <w:rPr>
          <w:color w:val="auto"/>
        </w:rPr>
        <w:t>Iepriekšējā izpēte liecina, ka tipiski viena ražotāja iekārtas (Panasonic, Kuka, ABB vai citas) atbalsta tikai viena noteikta ražotāja robotu kontrolierus - tas apstiprina, ka tirgū pieejamie iekārtu ražotāju risinājumi ir slēgtas ekosistēmas un ierobežo savienojamību, kas nepieciešama mikroražotnes daudzrobotu videi.</w:t>
      </w:r>
    </w:p>
    <w:p w14:paraId="4B255D69">
      <w:pPr>
        <w:numPr>
          <w:ilvl w:val="0"/>
          <w:numId w:val="0"/>
        </w:numPr>
        <w:ind w:left="240" w:leftChars="0"/>
        <w:rPr>
          <w:color w:val="auto"/>
        </w:rPr>
      </w:pPr>
      <w:r>
        <w:rPr>
          <w:i/>
          <w:iCs/>
          <w:color w:val="auto"/>
        </w:rPr>
        <w:t xml:space="preserve">Previous research indicates that typically equipment manufactured by one </w:t>
      </w:r>
      <w:r>
        <w:rPr>
          <w:i/>
          <w:iCs/>
          <w:color w:val="auto"/>
          <w:lang w:val="lv-LV"/>
        </w:rPr>
        <w:t>manufacturer</w:t>
      </w:r>
      <w:r>
        <w:rPr>
          <w:i/>
          <w:iCs/>
          <w:color w:val="auto"/>
        </w:rPr>
        <w:t xml:space="preserve"> (Panasonic, Kuka, ABB or other) supports only particular robot controllers — confirming that equipment-vendor solutions available on the market are closed ecosystems and do limit connectivity required for the micro-factory’s multi-robot environment.</w:t>
      </w:r>
    </w:p>
    <w:p w14:paraId="338ADE9B">
      <w:pPr>
        <w:numPr>
          <w:ilvl w:val="0"/>
          <w:numId w:val="1"/>
        </w:numPr>
        <w:rPr>
          <w:color w:val="auto"/>
        </w:rPr>
      </w:pPr>
      <w:r>
        <w:rPr>
          <w:color w:val="auto"/>
        </w:rPr>
        <w:t>Nav publiski pieejamu salīdzinošu veiktspējas datu starp OPC-UA, MQTT un ROS2, iegūtu tieši uz HDPE metināšanas robotizācijas vides tipa slodzes (jauktas reāllaika vadības komandas + augstfrekvences sensoru straumes).</w:t>
      </w:r>
    </w:p>
    <w:p w14:paraId="0880C9F7">
      <w:pPr>
        <w:numPr>
          <w:ilvl w:val="0"/>
          <w:numId w:val="0"/>
        </w:numPr>
        <w:ind w:left="240" w:leftChars="0"/>
        <w:rPr>
          <w:color w:val="auto"/>
        </w:rPr>
      </w:pPr>
      <w:r>
        <w:rPr>
          <w:i/>
          <w:iCs/>
          <w:color w:val="auto"/>
        </w:rPr>
        <w:t>No publicly available comparative performance data exists between OPC-UA, MQTT, and ROS2 obtained under a workload type representative of the HDPE-welding robotisation environment (mixed real-time control commands + high-frequency sensor streams).</w:t>
      </w:r>
    </w:p>
    <w:p w14:paraId="05FC28A6">
      <w:pPr>
        <w:numPr>
          <w:ilvl w:val="0"/>
          <w:numId w:val="1"/>
        </w:numPr>
        <w:rPr>
          <w:color w:val="auto"/>
        </w:rPr>
      </w:pPr>
      <w:r>
        <w:rPr>
          <w:color w:val="auto"/>
        </w:rPr>
        <w:t>Nav noteikts, kuri signāli (drošības kritiskie, procesa kritiskie, statistikas) jāapstrādā Edge serverī un kuri var/jāsūta uz mākoni, ņemot vērā gan latentuma, gan drošības, gan uzglabāšanas izmaksu kompromisus.</w:t>
      </w:r>
    </w:p>
    <w:p w14:paraId="0AEFE10F">
      <w:pPr>
        <w:numPr>
          <w:ilvl w:val="0"/>
          <w:numId w:val="0"/>
        </w:numPr>
        <w:ind w:left="240" w:leftChars="0"/>
        <w:rPr>
          <w:color w:val="auto"/>
        </w:rPr>
      </w:pPr>
      <w:r>
        <w:rPr>
          <w:i/>
          <w:iCs/>
          <w:color w:val="auto"/>
        </w:rPr>
        <w:t>It has not been determined which signals (safety-critical, process-critical, statistical) should be processed on the Edge server versus sent to the cloud, taking into account trade-offs between latency, security, and storage cost.</w:t>
      </w:r>
    </w:p>
    <w:p w14:paraId="2E3801EC">
      <w:pPr>
        <w:pStyle w:val="27"/>
        <w:rPr>
          <w:color w:val="auto"/>
        </w:rPr>
      </w:pPr>
      <w:r>
        <w:rPr>
          <w:b/>
          <w:bCs/>
          <w:color w:val="auto"/>
        </w:rPr>
        <w:t>2.3 Pētījuma hipotēzes / Research hypotheses</w:t>
      </w:r>
    </w:p>
    <w:p w14:paraId="7D61AD31">
      <w:pPr>
        <w:pStyle w:val="3"/>
        <w:rPr>
          <w:color w:val="auto"/>
        </w:rPr>
      </w:pPr>
      <w:r>
        <w:rPr>
          <w:b/>
          <w:bCs/>
          <w:color w:val="auto"/>
        </w:rPr>
        <w:t xml:space="preserve">H1: </w:t>
      </w:r>
      <w:r>
        <w:rPr>
          <w:color w:val="auto"/>
        </w:rPr>
        <w:t>Vidusslāņa (middleware) risinājums, kas balstīts uz OPC-UA un/vai ROS2, var nodrošināt ≤10 ms vadības ciklu vismaz diviem paralēliem, dažādu ražotāju robotu kontrolieriem, neprasot katra ražotāja slēgtās platformas izmantošanu.</w:t>
      </w:r>
    </w:p>
    <w:p w14:paraId="470A7F4D">
      <w:pPr>
        <w:pStyle w:val="3"/>
        <w:rPr>
          <w:color w:val="auto"/>
        </w:rPr>
      </w:pPr>
      <w:r>
        <w:rPr>
          <w:i/>
          <w:iCs/>
          <w:color w:val="auto"/>
        </w:rPr>
        <w:t>A middleware solution based on OPC-UA and/or ROS2 can provide a ≤10 ms control cycle for at least two parallel, different-manufacturer robot controllers, without requiring the use of each manufacturer’s closed platform.</w:t>
      </w:r>
    </w:p>
    <w:p w14:paraId="5287054D">
      <w:pPr>
        <w:pStyle w:val="3"/>
        <w:rPr>
          <w:color w:val="auto"/>
        </w:rPr>
      </w:pPr>
      <w:r>
        <w:rPr>
          <w:b/>
          <w:bCs/>
          <w:color w:val="auto"/>
        </w:rPr>
        <w:t xml:space="preserve">H2: </w:t>
      </w:r>
      <w:r>
        <w:rPr>
          <w:color w:val="auto"/>
        </w:rPr>
        <w:t>Drošības kritisko signālu (E-stop, drošības zonu statuss) apstrāde jāveic izslēgti lokālā Edge/PLC līmenī, savukārt dati var tikt sūtīti uz mākoni ar pieņemamu (sekunžu līmeņa) aizturi, nezaudējot sistēmas funkcionalitāti.</w:t>
      </w:r>
    </w:p>
    <w:p w14:paraId="3322A98A">
      <w:pPr>
        <w:pStyle w:val="3"/>
        <w:rPr>
          <w:color w:val="auto"/>
        </w:rPr>
      </w:pPr>
      <w:r>
        <w:rPr>
          <w:i/>
          <w:iCs/>
          <w:color w:val="auto"/>
        </w:rPr>
        <w:t>Processing of safety-critical signals (E-stop, safety-zone status) must be handled exclusively at the local Edge/PLC level, whereas data can be sent to the cloud with an acceptable (second-scale) delay, without loss of system functionality.</w:t>
      </w:r>
    </w:p>
    <w:p w14:paraId="7FD3DCD3">
      <w:pPr>
        <w:pStyle w:val="3"/>
        <w:rPr>
          <w:color w:val="auto"/>
        </w:rPr>
      </w:pPr>
      <w:r>
        <w:rPr>
          <w:b/>
          <w:bCs/>
          <w:color w:val="auto"/>
        </w:rPr>
        <w:t xml:space="preserve">H3: </w:t>
      </w:r>
      <w:r>
        <w:rPr>
          <w:color w:val="auto"/>
        </w:rPr>
        <w:t>Standartizēta API slānis (REST/MQTT) starp Edge platformu un dažādu ražotāju robotu kontrolieriem samazina jaunas iekārtas (piem., cita ražotāja mobilā robota) integrācijas laiku salīdzinājumā ar tiešu, ražotāja-specifisku integrāciju.</w:t>
      </w:r>
    </w:p>
    <w:p w14:paraId="379AB9EC">
      <w:pPr>
        <w:pStyle w:val="3"/>
        <w:rPr>
          <w:color w:val="auto"/>
        </w:rPr>
      </w:pPr>
      <w:r>
        <w:rPr>
          <w:i/>
          <w:iCs/>
          <w:color w:val="auto"/>
        </w:rPr>
        <w:t>A standardised API layer (REST/MQTT) between the Edge platform and different manufacturers’ robot controllers reduces the integration time of new equipment (e.g. a mobile robot from another manufacturer) compared with direct, manufacturer-specific integration.</w:t>
      </w:r>
    </w:p>
    <w:p w14:paraId="11B2E7B8">
      <w:pPr>
        <w:pStyle w:val="3"/>
        <w:rPr>
          <w:color w:val="auto"/>
        </w:rPr>
      </w:pPr>
      <w:r>
        <w:rPr>
          <w:b/>
          <w:bCs/>
          <w:color w:val="auto"/>
        </w:rPr>
        <w:t>2.4 Pētījuma uzdevumi / Research tasks</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676"/>
        <w:gridCol w:w="3324"/>
        <w:gridCol w:w="2900"/>
      </w:tblGrid>
      <w:tr w14:paraId="6758365E">
        <w:trPr>
          <w:tblHeader/>
        </w:trPr>
        <w:tc>
          <w:p w14:paraId="25BB283A">
            <w:pPr>
              <w:pStyle w:val="28"/>
              <w:jc w:val="left"/>
              <w:rPr>
                <w:color w:val="auto"/>
              </w:rPr>
            </w:pPr>
            <w:r>
              <w:rPr>
                <w:b/>
                <w:bCs/>
                <w:color w:val="auto"/>
              </w:rPr>
              <w:t>Nr.</w:t>
            </w:r>
          </w:p>
        </w:tc>
        <w:tc>
          <w:tcPr>
            <w:tcW w:w="3676" w:type="dxa"/>
          </w:tcPr>
          <w:p w14:paraId="334155AA">
            <w:pPr>
              <w:pStyle w:val="28"/>
              <w:jc w:val="left"/>
              <w:rPr>
                <w:color w:val="auto"/>
              </w:rPr>
            </w:pPr>
            <w:r>
              <w:rPr>
                <w:b/>
                <w:bCs/>
                <w:color w:val="auto"/>
              </w:rPr>
              <w:t>Prasība (Latviešu) / Requirement (Latvian)</w:t>
            </w:r>
          </w:p>
        </w:tc>
        <w:tc>
          <w:tcPr>
            <w:tcW w:w="3324" w:type="dxa"/>
          </w:tcPr>
          <w:p w14:paraId="44F69AA2">
            <w:pPr>
              <w:pStyle w:val="28"/>
              <w:jc w:val="left"/>
              <w:rPr>
                <w:color w:val="auto"/>
              </w:rPr>
            </w:pPr>
            <w:r>
              <w:rPr>
                <w:b/>
                <w:bCs/>
                <w:color w:val="auto"/>
              </w:rPr>
              <w:t>Requirement (English)</w:t>
            </w:r>
          </w:p>
        </w:tc>
        <w:tc>
          <w:p w14:paraId="7A3F7BBC">
            <w:pPr>
              <w:pStyle w:val="28"/>
              <w:jc w:val="left"/>
              <w:rPr>
                <w:color w:val="auto"/>
              </w:rPr>
            </w:pPr>
            <w:r>
              <w:rPr>
                <w:b/>
                <w:bCs/>
                <w:color w:val="auto"/>
              </w:rPr>
              <w:t>Pretendenta atbilstības apraksts / Supplier compliance statement</w:t>
            </w:r>
          </w:p>
        </w:tc>
      </w:tr>
      <w:tr w14:paraId="4DFDC086">
        <w:tc>
          <w:p w14:paraId="4AB9D93F">
            <w:pPr>
              <w:pStyle w:val="28"/>
              <w:jc w:val="left"/>
              <w:rPr>
                <w:color w:val="auto"/>
              </w:rPr>
            </w:pPr>
            <w:r>
              <w:rPr>
                <w:b/>
                <w:bCs/>
                <w:color w:val="auto"/>
              </w:rPr>
              <w:t>2.4.1</w:t>
            </w:r>
          </w:p>
        </w:tc>
        <w:tc>
          <w:tcPr>
            <w:tcW w:w="3676" w:type="dxa"/>
          </w:tcPr>
          <w:p w14:paraId="12432F30">
            <w:pPr>
              <w:pStyle w:val="28"/>
              <w:jc w:val="left"/>
              <w:rPr>
                <w:color w:val="auto"/>
              </w:rPr>
            </w:pPr>
            <w:r>
              <w:rPr>
                <w:color w:val="auto"/>
              </w:rPr>
              <w:t>Protokolu salīdzinājums: veikt slodzes testus, kas paralēli izmanto OPC-UA, MQTT un ROS2 saskarnes vismaz ar 2 dažādu ražotāju robotu kontrolieru simulatoriem vai reālām iekārtām, mērot latentumu, caurlaidspēju un jitter reāllaika vadības un augstfrekvences sensoru datu plūsmām.</w:t>
            </w:r>
          </w:p>
        </w:tc>
        <w:tc>
          <w:tcPr>
            <w:tcW w:w="3324" w:type="dxa"/>
          </w:tcPr>
          <w:p w14:paraId="6985F096">
            <w:pPr>
              <w:pStyle w:val="28"/>
              <w:jc w:val="left"/>
              <w:rPr>
                <w:color w:val="auto"/>
              </w:rPr>
            </w:pPr>
            <w:r>
              <w:rPr>
                <w:i/>
                <w:iCs/>
                <w:color w:val="auto"/>
              </w:rPr>
              <w:t>Protocol comparison: conduct load tests using OPC-UA, MQTT, and ROS2 interfaces in parallel with at least 2 different manufacturers’ robot controller simulators or real equipment, measuring latency, throughput, and jitter for real-time control and high-frequency sensor data streams.</w:t>
            </w:r>
          </w:p>
        </w:tc>
        <w:tc>
          <w:tcPr>
            <w:shd w:val="clear" w:color="auto" w:fill="auto"/>
            <w:vAlign w:val="top"/>
          </w:tcPr>
          <w:p w14:paraId="0C6826CA">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r w14:paraId="4FB524BF">
        <w:tc>
          <w:p w14:paraId="08423BB2">
            <w:pPr>
              <w:pStyle w:val="28"/>
              <w:jc w:val="left"/>
              <w:rPr>
                <w:color w:val="auto"/>
              </w:rPr>
            </w:pPr>
            <w:r>
              <w:rPr>
                <w:b/>
                <w:bCs/>
                <w:color w:val="auto"/>
              </w:rPr>
              <w:t>2.4.2</w:t>
            </w:r>
          </w:p>
        </w:tc>
        <w:tc>
          <w:tcPr>
            <w:tcW w:w="3676" w:type="dxa"/>
          </w:tcPr>
          <w:p w14:paraId="0A01EBC8">
            <w:pPr>
              <w:pStyle w:val="28"/>
              <w:jc w:val="left"/>
              <w:rPr>
                <w:color w:val="auto"/>
              </w:rPr>
            </w:pPr>
            <w:r>
              <w:rPr>
                <w:color w:val="auto"/>
              </w:rPr>
              <w:t>Edge/mākonis sadalījuma eksperimenti: noteikt un empīriski pārbaudīt, kuri signāli jāapstrādā lokāli un kuri var tikt sūtīti uz augstāka līmeņa sistēmu (MES (Manufacturing Execution System)/cloud), ietverot atteikuma scenāriju testus (saites zudums, store-and-forward).</w:t>
            </w:r>
          </w:p>
        </w:tc>
        <w:tc>
          <w:tcPr>
            <w:tcW w:w="3324" w:type="dxa"/>
          </w:tcPr>
          <w:p w14:paraId="1DD15F14">
            <w:pPr>
              <w:pStyle w:val="28"/>
              <w:jc w:val="left"/>
              <w:rPr>
                <w:color w:val="auto"/>
              </w:rPr>
            </w:pPr>
            <w:r>
              <w:rPr>
                <w:i/>
                <w:iCs/>
                <w:color w:val="auto"/>
              </w:rPr>
              <w:t>Edge/cloud split experiments: determine and empirically validate which signals must be processed locally and which may be sent to a higher-level system (MES/cloud), including failure-scenario tests (link loss, store-and-forward).</w:t>
            </w:r>
          </w:p>
        </w:tc>
        <w:tc>
          <w:tcPr>
            <w:shd w:val="clear" w:color="auto" w:fill="auto"/>
            <w:vAlign w:val="top"/>
          </w:tcPr>
          <w:p w14:paraId="32A9A7C5">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r w14:paraId="2C6BD1F0">
        <w:tc>
          <w:p w14:paraId="181716D9">
            <w:pPr>
              <w:pStyle w:val="28"/>
              <w:jc w:val="left"/>
              <w:rPr>
                <w:color w:val="auto"/>
              </w:rPr>
            </w:pPr>
            <w:r>
              <w:rPr>
                <w:b/>
                <w:bCs/>
                <w:color w:val="auto"/>
              </w:rPr>
              <w:t>2.4.3</w:t>
            </w:r>
          </w:p>
        </w:tc>
        <w:tc>
          <w:tcPr>
            <w:tcW w:w="3676" w:type="dxa"/>
          </w:tcPr>
          <w:p w14:paraId="4AC333E0">
            <w:pPr>
              <w:pStyle w:val="28"/>
              <w:jc w:val="left"/>
              <w:rPr>
                <w:color w:val="auto"/>
              </w:rPr>
            </w:pPr>
            <w:r>
              <w:rPr>
                <w:color w:val="auto"/>
              </w:rPr>
              <w:t>Integrācijas modelis: izveidot un demonstrēt vismaz vienas papildu ierīces pieslēgšanu standartizētam API slānim, lai apstiprinātu H3 un nodrošinātu rezultātu pārnesamību uz citām projekta robotu sistēmām.</w:t>
            </w:r>
          </w:p>
        </w:tc>
        <w:tc>
          <w:tcPr>
            <w:tcW w:w="3324" w:type="dxa"/>
          </w:tcPr>
          <w:p w14:paraId="69D991F4">
            <w:pPr>
              <w:pStyle w:val="28"/>
              <w:jc w:val="left"/>
              <w:rPr>
                <w:color w:val="auto"/>
              </w:rPr>
            </w:pPr>
            <w:r>
              <w:rPr>
                <w:i/>
                <w:iCs/>
                <w:color w:val="auto"/>
              </w:rPr>
              <w:t>Integration model: build and demonstrate the connection of at least one additional device to the standardised API layer, to validate H3 and ensure transferability of the results to other project robotic systems.</w:t>
            </w:r>
          </w:p>
        </w:tc>
        <w:tc>
          <w:tcPr>
            <w:shd w:val="clear" w:color="auto" w:fill="auto"/>
            <w:vAlign w:val="top"/>
          </w:tcPr>
          <w:p w14:paraId="38DC9D51">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r w14:paraId="5E112D1A">
        <w:tc>
          <w:p w14:paraId="0B275792">
            <w:pPr>
              <w:pStyle w:val="28"/>
              <w:jc w:val="left"/>
              <w:rPr>
                <w:color w:val="auto"/>
              </w:rPr>
            </w:pPr>
            <w:r>
              <w:rPr>
                <w:b/>
                <w:bCs/>
                <w:color w:val="auto"/>
              </w:rPr>
              <w:t>2.4.4</w:t>
            </w:r>
          </w:p>
        </w:tc>
        <w:tc>
          <w:tcPr>
            <w:tcW w:w="3676" w:type="dxa"/>
          </w:tcPr>
          <w:p w14:paraId="3120E731">
            <w:pPr>
              <w:pStyle w:val="28"/>
              <w:jc w:val="left"/>
              <w:rPr>
                <w:color w:val="auto"/>
              </w:rPr>
            </w:pPr>
            <w:r>
              <w:rPr>
                <w:color w:val="auto"/>
              </w:rPr>
              <w:t>Drošības un piekļuves analīze: izvērtēt datu integritātes un piekļuves kontroles risinājumus starp Edge platformu un dažādu ražotāju vadības kontrolieriem (piem., autentifikācija, šifrēšana, lomu nodalīšana starp Edge un ražotāja slēgto vidi).</w:t>
            </w:r>
          </w:p>
        </w:tc>
        <w:tc>
          <w:tcPr>
            <w:tcW w:w="3324" w:type="dxa"/>
          </w:tcPr>
          <w:p w14:paraId="2691F77D">
            <w:pPr>
              <w:pStyle w:val="28"/>
              <w:jc w:val="left"/>
              <w:rPr>
                <w:color w:val="auto"/>
              </w:rPr>
            </w:pPr>
            <w:r>
              <w:rPr>
                <w:i/>
                <w:iCs/>
                <w:color w:val="auto"/>
              </w:rPr>
              <w:t>Security and access analysis: assess data-integrity and access-control solutions between the Edge platform and different manufacturers’ controllers (e.g. authentication, encryption, role separation between the Edge and the manufacturer’s closed environment).</w:t>
            </w:r>
          </w:p>
        </w:tc>
        <w:tc>
          <w:tcPr>
            <w:shd w:val="clear" w:color="auto" w:fill="auto"/>
            <w:vAlign w:val="top"/>
          </w:tcPr>
          <w:p w14:paraId="66D0E26E">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bl>
    <w:p w14:paraId="51CE6206">
      <w:pPr>
        <w:pStyle w:val="3"/>
        <w:rPr>
          <w:color w:val="auto"/>
        </w:rPr>
      </w:pPr>
      <w:r>
        <w:rPr>
          <w:b/>
          <w:bCs/>
          <w:color w:val="auto"/>
        </w:rPr>
        <w:t>2.5 Veiktspējas testu metodika / Performance testing methodology</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688"/>
        <w:gridCol w:w="3312"/>
        <w:gridCol w:w="2900"/>
      </w:tblGrid>
      <w:tr w14:paraId="7F6E53F6">
        <w:trPr>
          <w:tblHeader/>
        </w:trPr>
        <w:tc>
          <w:p w14:paraId="5E556A91">
            <w:pPr>
              <w:pStyle w:val="28"/>
              <w:jc w:val="left"/>
              <w:rPr>
                <w:color w:val="auto"/>
              </w:rPr>
            </w:pPr>
            <w:r>
              <w:rPr>
                <w:b/>
                <w:bCs/>
                <w:color w:val="auto"/>
              </w:rPr>
              <w:t>Nr.</w:t>
            </w:r>
          </w:p>
        </w:tc>
        <w:tc>
          <w:tcPr>
            <w:tcW w:w="3688" w:type="dxa"/>
          </w:tcPr>
          <w:p w14:paraId="4F8FA72D">
            <w:pPr>
              <w:pStyle w:val="28"/>
              <w:jc w:val="left"/>
              <w:rPr>
                <w:color w:val="auto"/>
              </w:rPr>
            </w:pPr>
            <w:r>
              <w:rPr>
                <w:b/>
                <w:bCs/>
                <w:color w:val="auto"/>
              </w:rPr>
              <w:t>Prasība (Latviešu) / Requirement (Latvian)</w:t>
            </w:r>
          </w:p>
        </w:tc>
        <w:tc>
          <w:tcPr>
            <w:tcW w:w="3312" w:type="dxa"/>
          </w:tcPr>
          <w:p w14:paraId="72610B07">
            <w:pPr>
              <w:pStyle w:val="28"/>
              <w:jc w:val="left"/>
              <w:rPr>
                <w:color w:val="auto"/>
              </w:rPr>
            </w:pPr>
            <w:r>
              <w:rPr>
                <w:b/>
                <w:bCs/>
                <w:color w:val="auto"/>
              </w:rPr>
              <w:t>Requirement (English)</w:t>
            </w:r>
          </w:p>
        </w:tc>
        <w:tc>
          <w:p w14:paraId="6F07824E">
            <w:pPr>
              <w:pStyle w:val="28"/>
              <w:jc w:val="left"/>
              <w:rPr>
                <w:color w:val="auto"/>
              </w:rPr>
            </w:pPr>
            <w:r>
              <w:rPr>
                <w:b/>
                <w:bCs/>
                <w:color w:val="auto"/>
              </w:rPr>
              <w:t>Pretendenta atbilstības apraksts / Supplier compliance statement</w:t>
            </w:r>
          </w:p>
        </w:tc>
      </w:tr>
      <w:tr w14:paraId="2F2CBA06">
        <w:tc>
          <w:p w14:paraId="7DEF7236">
            <w:pPr>
              <w:pStyle w:val="28"/>
              <w:jc w:val="left"/>
              <w:rPr>
                <w:color w:val="auto"/>
              </w:rPr>
            </w:pPr>
            <w:r>
              <w:rPr>
                <w:b/>
                <w:bCs/>
                <w:color w:val="auto"/>
              </w:rPr>
              <w:t>2.5.1</w:t>
            </w:r>
          </w:p>
        </w:tc>
        <w:tc>
          <w:tcPr>
            <w:tcW w:w="3688" w:type="dxa"/>
          </w:tcPr>
          <w:p w14:paraId="281F1697">
            <w:pPr>
              <w:pStyle w:val="28"/>
              <w:jc w:val="left"/>
              <w:rPr>
                <w:color w:val="auto"/>
              </w:rPr>
            </w:pPr>
            <w:r>
              <w:rPr>
                <w:color w:val="auto"/>
              </w:rPr>
              <w:t>Testu vide: vismaz 2 paralēlas robotu kontrolieru saskarnes (reālas vai simulētas), viena Edge servera instance, sintētiska sensoru datu slodze (PLC 100 Hz + robots 125 Hz + sensors 20 Hz, atbilstoši Daļas 2 6.4.2. (cross-check) punktam).</w:t>
            </w:r>
          </w:p>
        </w:tc>
        <w:tc>
          <w:tcPr>
            <w:tcW w:w="3312" w:type="dxa"/>
          </w:tcPr>
          <w:p w14:paraId="1FAA21CE">
            <w:pPr>
              <w:pStyle w:val="28"/>
              <w:jc w:val="left"/>
              <w:rPr>
                <w:color w:val="auto"/>
              </w:rPr>
            </w:pPr>
            <w:r>
              <w:rPr>
                <w:i/>
                <w:iCs/>
                <w:color w:val="auto"/>
              </w:rPr>
              <w:t>Test environment: at least 2 parallel robot-controller interfaces (real or simulated), one Edge server instance, synthetic sensor data load (PLC 100 Hz + robot 125 Hz + sensor 20 Hz, per point 6.4.2 of Part 2).</w:t>
            </w:r>
          </w:p>
        </w:tc>
        <w:tc>
          <w:tcPr>
            <w:shd w:val="clear" w:color="auto" w:fill="auto"/>
            <w:vAlign w:val="top"/>
          </w:tcPr>
          <w:p w14:paraId="08EB1A2E">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r w14:paraId="64A84471">
        <w:tc>
          <w:p w14:paraId="58C90ABB">
            <w:pPr>
              <w:pStyle w:val="28"/>
              <w:jc w:val="left"/>
              <w:rPr>
                <w:color w:val="auto"/>
              </w:rPr>
            </w:pPr>
            <w:r>
              <w:rPr>
                <w:b/>
                <w:bCs/>
                <w:color w:val="auto"/>
              </w:rPr>
              <w:t>2.5.2</w:t>
            </w:r>
          </w:p>
        </w:tc>
        <w:tc>
          <w:tcPr>
            <w:tcW w:w="3688" w:type="dxa"/>
          </w:tcPr>
          <w:p w14:paraId="53FC6913">
            <w:pPr>
              <w:pStyle w:val="28"/>
              <w:jc w:val="left"/>
              <w:rPr>
                <w:color w:val="auto"/>
              </w:rPr>
            </w:pPr>
            <w:r>
              <w:rPr>
                <w:color w:val="auto"/>
              </w:rPr>
              <w:t>Mērāmie parametri: end-to-end latentums (ms), caurlaidspēja (msg/s vai Mb/s), jitter (ms, standartnovirze), pakešu zuduma līmenis atteikuma scenārijos.</w:t>
            </w:r>
          </w:p>
        </w:tc>
        <w:tc>
          <w:tcPr>
            <w:tcW w:w="3312" w:type="dxa"/>
          </w:tcPr>
          <w:p w14:paraId="6B39DD1C">
            <w:pPr>
              <w:pStyle w:val="28"/>
              <w:jc w:val="left"/>
              <w:rPr>
                <w:color w:val="auto"/>
              </w:rPr>
            </w:pPr>
            <w:r>
              <w:rPr>
                <w:i/>
                <w:iCs/>
                <w:color w:val="auto"/>
              </w:rPr>
              <w:t>Measured parameters: end-to-end latency (ms), throughput (msg/s or Mb/s), jitter (ms, standard deviation), packet-loss rate under failure scenarios.</w:t>
            </w:r>
          </w:p>
        </w:tc>
        <w:tc>
          <w:tcPr>
            <w:shd w:val="clear" w:color="auto" w:fill="auto"/>
            <w:vAlign w:val="top"/>
          </w:tcPr>
          <w:p w14:paraId="40898B3B">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r w14:paraId="6F8C5D3B">
        <w:tc>
          <w:p w14:paraId="4F721828">
            <w:pPr>
              <w:pStyle w:val="28"/>
              <w:jc w:val="left"/>
              <w:rPr>
                <w:color w:val="auto"/>
              </w:rPr>
            </w:pPr>
            <w:r>
              <w:rPr>
                <w:b/>
                <w:bCs/>
                <w:color w:val="auto"/>
              </w:rPr>
              <w:t>2.5.3</w:t>
            </w:r>
          </w:p>
        </w:tc>
        <w:tc>
          <w:tcPr>
            <w:tcW w:w="3688" w:type="dxa"/>
          </w:tcPr>
          <w:p w14:paraId="0128DB85">
            <w:pPr>
              <w:pStyle w:val="28"/>
              <w:jc w:val="left"/>
              <w:rPr>
                <w:color w:val="auto"/>
              </w:rPr>
            </w:pPr>
            <w:r>
              <w:rPr>
                <w:color w:val="auto"/>
              </w:rPr>
              <w:t>Katrs tests jāatkārto ≥5 reizes ar statistisku rezultātu apkopojumu (vidējais, standartnovirze, min/max), lai nodrošinātu rezultātu ticamību un atkārtojamību.</w:t>
            </w:r>
          </w:p>
        </w:tc>
        <w:tc>
          <w:tcPr>
            <w:tcW w:w="3312" w:type="dxa"/>
          </w:tcPr>
          <w:p w14:paraId="7F1F2773">
            <w:pPr>
              <w:pStyle w:val="28"/>
              <w:jc w:val="left"/>
              <w:rPr>
                <w:color w:val="auto"/>
              </w:rPr>
            </w:pPr>
            <w:r>
              <w:rPr>
                <w:i/>
                <w:iCs/>
                <w:color w:val="auto"/>
              </w:rPr>
              <w:t>Each test shall be repeated ≥5 times with a statistical summary of results (mean, standard deviation, min/max), to ensure reliability and reproducibility of results.</w:t>
            </w:r>
          </w:p>
        </w:tc>
        <w:tc>
          <w:tcPr>
            <w:shd w:val="clear" w:color="auto" w:fill="auto"/>
            <w:vAlign w:val="top"/>
          </w:tcPr>
          <w:p w14:paraId="46A57FD8">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bl>
    <w:p w14:paraId="550110C2">
      <w:pPr>
        <w:pStyle w:val="3"/>
        <w:rPr>
          <w:color w:val="auto"/>
        </w:rPr>
      </w:pPr>
      <w:r>
        <w:rPr>
          <w:b/>
          <w:bCs/>
          <w:color w:val="auto"/>
        </w:rPr>
        <w:t>2.6 Nodevumi / Deliverables</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688"/>
        <w:gridCol w:w="3312"/>
        <w:gridCol w:w="2900"/>
      </w:tblGrid>
      <w:tr w14:paraId="01414528">
        <w:trPr>
          <w:tblHeader/>
        </w:trPr>
        <w:tc>
          <w:p w14:paraId="6ED6FDF0">
            <w:pPr>
              <w:pStyle w:val="28"/>
              <w:jc w:val="left"/>
              <w:rPr>
                <w:color w:val="auto"/>
              </w:rPr>
            </w:pPr>
            <w:r>
              <w:rPr>
                <w:b/>
                <w:bCs/>
                <w:color w:val="auto"/>
              </w:rPr>
              <w:t>Nr.</w:t>
            </w:r>
          </w:p>
        </w:tc>
        <w:tc>
          <w:tcPr>
            <w:tcW w:w="3688" w:type="dxa"/>
          </w:tcPr>
          <w:p w14:paraId="722CDA1E">
            <w:pPr>
              <w:pStyle w:val="28"/>
              <w:jc w:val="left"/>
              <w:rPr>
                <w:color w:val="auto"/>
              </w:rPr>
            </w:pPr>
            <w:r>
              <w:rPr>
                <w:b/>
                <w:bCs/>
                <w:color w:val="auto"/>
              </w:rPr>
              <w:t>Prasība (Latviešu) / Requirement (Latvian)</w:t>
            </w:r>
          </w:p>
        </w:tc>
        <w:tc>
          <w:tcPr>
            <w:tcW w:w="3312" w:type="dxa"/>
          </w:tcPr>
          <w:p w14:paraId="6909A43A">
            <w:pPr>
              <w:pStyle w:val="28"/>
              <w:jc w:val="left"/>
              <w:rPr>
                <w:color w:val="auto"/>
              </w:rPr>
            </w:pPr>
            <w:r>
              <w:rPr>
                <w:b/>
                <w:bCs/>
                <w:color w:val="auto"/>
              </w:rPr>
              <w:t>Requirement (English)</w:t>
            </w:r>
          </w:p>
        </w:tc>
        <w:tc>
          <w:p w14:paraId="57D5C605">
            <w:pPr>
              <w:pStyle w:val="28"/>
              <w:jc w:val="left"/>
              <w:rPr>
                <w:color w:val="auto"/>
              </w:rPr>
            </w:pPr>
            <w:r>
              <w:rPr>
                <w:b/>
                <w:bCs/>
                <w:color w:val="auto"/>
              </w:rPr>
              <w:t>Pretendenta atbilstības apraksts / Supplier compliance statement</w:t>
            </w:r>
          </w:p>
        </w:tc>
      </w:tr>
      <w:tr w14:paraId="5D5B46EA">
        <w:tc>
          <w:p w14:paraId="22064AAB">
            <w:pPr>
              <w:pStyle w:val="28"/>
              <w:jc w:val="left"/>
              <w:rPr>
                <w:color w:val="auto"/>
              </w:rPr>
            </w:pPr>
            <w:r>
              <w:rPr>
                <w:b/>
                <w:bCs/>
                <w:color w:val="auto"/>
              </w:rPr>
              <w:t>2.6.1</w:t>
            </w:r>
          </w:p>
        </w:tc>
        <w:tc>
          <w:tcPr>
            <w:tcW w:w="3688" w:type="dxa"/>
          </w:tcPr>
          <w:p w14:paraId="0FA33E96">
            <w:pPr>
              <w:pStyle w:val="28"/>
              <w:jc w:val="left"/>
              <w:rPr>
                <w:color w:val="auto"/>
              </w:rPr>
            </w:pPr>
            <w:r>
              <w:rPr>
                <w:color w:val="auto"/>
              </w:rPr>
              <w:t>Pētījuma ziņojums (angļu valodā): arhitektūras shēma (t.sk. Edge/mākonis robežas definīcija); pilni veiktspējas testu dati (latentums, caurlaidspēja, jitter) katram protokolam un scenārijam.</w:t>
            </w:r>
          </w:p>
        </w:tc>
        <w:tc>
          <w:tcPr>
            <w:tcW w:w="3312" w:type="dxa"/>
          </w:tcPr>
          <w:p w14:paraId="6C3BBE17">
            <w:pPr>
              <w:pStyle w:val="28"/>
              <w:jc w:val="left"/>
              <w:rPr>
                <w:color w:val="auto"/>
              </w:rPr>
            </w:pPr>
            <w:r>
              <w:rPr>
                <w:i/>
                <w:iCs/>
                <w:color w:val="auto"/>
              </w:rPr>
              <w:t>Research report (English): architecture diagram (incl. the defined Edge/cloud boundary); full performance test data (latency, throughput, jitter) for each protocol and scenario.</w:t>
            </w:r>
          </w:p>
        </w:tc>
        <w:tc>
          <w:tcPr>
            <w:shd w:val="clear" w:color="auto" w:fill="auto"/>
            <w:vAlign w:val="top"/>
          </w:tcPr>
          <w:p w14:paraId="16709702">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r w14:paraId="6B825AC7">
        <w:tc>
          <w:p w14:paraId="482C5A15">
            <w:pPr>
              <w:pStyle w:val="28"/>
              <w:jc w:val="left"/>
              <w:rPr>
                <w:color w:val="auto"/>
              </w:rPr>
            </w:pPr>
            <w:r>
              <w:rPr>
                <w:b/>
                <w:bCs/>
                <w:color w:val="auto"/>
              </w:rPr>
              <w:t>2.6.2</w:t>
            </w:r>
          </w:p>
        </w:tc>
        <w:tc>
          <w:tcPr>
            <w:tcW w:w="3688" w:type="dxa"/>
          </w:tcPr>
          <w:p w14:paraId="3BB204FF">
            <w:pPr>
              <w:pStyle w:val="28"/>
              <w:jc w:val="left"/>
              <w:rPr>
                <w:color w:val="auto"/>
              </w:rPr>
            </w:pPr>
            <w:r>
              <w:rPr>
                <w:color w:val="auto"/>
              </w:rPr>
              <w:t>Drošības analīzes dokuments: identificētie riski un ieteiktie mazināšanas pasākumi datu integritātei un piekļuves kontrolei.</w:t>
            </w:r>
          </w:p>
        </w:tc>
        <w:tc>
          <w:tcPr>
            <w:tcW w:w="3312" w:type="dxa"/>
          </w:tcPr>
          <w:p w14:paraId="0C15F22F">
            <w:pPr>
              <w:pStyle w:val="28"/>
              <w:jc w:val="left"/>
              <w:rPr>
                <w:color w:val="auto"/>
              </w:rPr>
            </w:pPr>
            <w:r>
              <w:rPr>
                <w:i/>
                <w:iCs/>
                <w:color w:val="auto"/>
              </w:rPr>
              <w:t>Security analysis document: identified risks and recommended mitigation measures for data integrity and access control.</w:t>
            </w:r>
          </w:p>
        </w:tc>
        <w:tc>
          <w:tcPr>
            <w:shd w:val="clear" w:color="auto" w:fill="auto"/>
            <w:vAlign w:val="top"/>
          </w:tcPr>
          <w:p w14:paraId="79CA9EAA">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r w14:paraId="5B515364">
        <w:tc>
          <w:p w14:paraId="7533891C">
            <w:pPr>
              <w:pStyle w:val="28"/>
              <w:jc w:val="left"/>
              <w:rPr>
                <w:color w:val="auto"/>
              </w:rPr>
            </w:pPr>
            <w:r>
              <w:rPr>
                <w:b/>
                <w:bCs/>
                <w:color w:val="auto"/>
              </w:rPr>
              <w:t>2.6.3</w:t>
            </w:r>
          </w:p>
        </w:tc>
        <w:tc>
          <w:tcPr>
            <w:tcW w:w="3688" w:type="dxa"/>
          </w:tcPr>
          <w:p w14:paraId="57B5A58E">
            <w:pPr>
              <w:pStyle w:val="28"/>
              <w:jc w:val="left"/>
              <w:rPr>
                <w:color w:val="auto"/>
              </w:rPr>
            </w:pPr>
            <w:r>
              <w:rPr>
                <w:color w:val="auto"/>
              </w:rPr>
              <w:t>Strādājošs integrācijas modelis (2.4.3. punkts) ar dokumentētu API specifikāciju, kas kalpo kā references implementācija turpmākai iekārtu pievienošanai.</w:t>
            </w:r>
          </w:p>
        </w:tc>
        <w:tc>
          <w:tcPr>
            <w:tcW w:w="3312" w:type="dxa"/>
          </w:tcPr>
          <w:p w14:paraId="15C89747">
            <w:pPr>
              <w:pStyle w:val="28"/>
              <w:jc w:val="left"/>
              <w:rPr>
                <w:color w:val="auto"/>
              </w:rPr>
            </w:pPr>
            <w:r>
              <w:rPr>
                <w:i/>
                <w:iCs/>
                <w:color w:val="auto"/>
              </w:rPr>
              <w:t>A working integration model (point 2.4.3) with documented API specification, serving as a reference implementation for future equipment connection.</w:t>
            </w:r>
          </w:p>
        </w:tc>
        <w:tc>
          <w:tcPr>
            <w:shd w:val="clear" w:color="auto" w:fill="auto"/>
            <w:vAlign w:val="top"/>
          </w:tcPr>
          <w:p w14:paraId="6FC3D05F">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r w14:paraId="1C061141">
        <w:tc>
          <w:p w14:paraId="43860CB7">
            <w:pPr>
              <w:pStyle w:val="28"/>
              <w:jc w:val="left"/>
              <w:rPr>
                <w:color w:val="auto"/>
              </w:rPr>
            </w:pPr>
            <w:r>
              <w:rPr>
                <w:b/>
                <w:bCs/>
                <w:color w:val="auto"/>
              </w:rPr>
              <w:t>2.6.4</w:t>
            </w:r>
          </w:p>
        </w:tc>
        <w:tc>
          <w:tcPr>
            <w:tcW w:w="3688" w:type="dxa"/>
          </w:tcPr>
          <w:p w14:paraId="0DF1D169">
            <w:pPr>
              <w:pStyle w:val="28"/>
              <w:jc w:val="left"/>
              <w:rPr>
                <w:color w:val="auto"/>
              </w:rPr>
            </w:pPr>
            <w:r>
              <w:rPr>
                <w:color w:val="auto"/>
              </w:rPr>
              <w:t>Pamatots ieteikums realizācijas ceļam integrācijai ar citām iekārtām (robotsuns, humanoīds, UGV) nākamajos posmos.</w:t>
            </w:r>
          </w:p>
        </w:tc>
        <w:tc>
          <w:tcPr>
            <w:tcW w:w="3312" w:type="dxa"/>
          </w:tcPr>
          <w:p w14:paraId="06166686">
            <w:pPr>
              <w:pStyle w:val="28"/>
              <w:jc w:val="left"/>
              <w:rPr>
                <w:color w:val="auto"/>
              </w:rPr>
            </w:pPr>
            <w:r>
              <w:rPr>
                <w:i/>
                <w:iCs/>
                <w:color w:val="auto"/>
              </w:rPr>
              <w:t>A substantiated recommendation for the implementation path for integration with other equipment (robotdog, humanoid, UGV) in next experimental development stage.</w:t>
            </w:r>
          </w:p>
        </w:tc>
        <w:tc>
          <w:tcPr>
            <w:shd w:val="clear" w:color="auto" w:fill="auto"/>
            <w:vAlign w:val="top"/>
          </w:tcPr>
          <w:p w14:paraId="6C1EE77A">
            <w:pPr>
              <w:pStyle w:val="28"/>
              <w:jc w:val="left"/>
              <w:rPr>
                <w:rFonts w:ascii="Calibri" w:hAnsi="Calibri" w:eastAsia="Calibri" w:cs="Calibri"/>
                <w:color w:val="auto"/>
                <w:sz w:val="20"/>
                <w:szCs w:val="20"/>
                <w:lang w:val="lv-LV" w:eastAsia="lv-LV" w:bidi="ar-SA"/>
              </w:rPr>
            </w:pPr>
            <w:r>
              <w:rPr>
                <w:color w:val="auto"/>
                <w:lang w:val="en-US" w:eastAsia="zh-CN"/>
              </w:rPr>
              <w:t>Atbilst / Complies</w:t>
            </w:r>
          </w:p>
        </w:tc>
      </w:tr>
    </w:tbl>
    <w:p w14:paraId="36EDC829">
      <w:pPr>
        <w:rPr>
          <w:b/>
          <w:bCs/>
          <w:color w:val="auto"/>
        </w:rPr>
      </w:pPr>
      <w:r>
        <w:rPr>
          <w:b/>
          <w:bCs/>
          <w:color w:val="auto"/>
        </w:rPr>
        <w:br w:type="page"/>
      </w:r>
    </w:p>
    <w:p w14:paraId="760CBC34">
      <w:pPr>
        <w:pStyle w:val="3"/>
        <w:jc w:val="center"/>
        <w:rPr>
          <w:color w:val="auto"/>
        </w:rPr>
      </w:pPr>
      <w:r>
        <w:rPr>
          <w:b/>
          <w:bCs/>
          <w:color w:val="auto"/>
        </w:rPr>
        <w:t>DAĻA 2 / PART 2</w:t>
      </w:r>
    </w:p>
    <w:p w14:paraId="1C4DAC5E">
      <w:pPr>
        <w:pStyle w:val="3"/>
        <w:suppressLineNumbers w:val="0"/>
        <w:bidi w:val="0"/>
        <w:spacing w:before="180" w:beforeAutospacing="0" w:after="180" w:afterAutospacing="0" w:line="240" w:lineRule="auto"/>
        <w:ind w:left="0" w:right="0"/>
        <w:jc w:val="center"/>
        <w:rPr>
          <w:b/>
          <w:bCs/>
          <w:color w:val="auto"/>
          <w:sz w:val="22"/>
          <w:szCs w:val="22"/>
        </w:rPr>
      </w:pPr>
      <w:r>
        <w:rPr>
          <w:b/>
          <w:bCs/>
          <w:color w:val="auto"/>
          <w:sz w:val="22"/>
          <w:szCs w:val="22"/>
        </w:rPr>
        <w:t>RŪPNIECISKĀ PĒTĪJUMA VEIKŠANA, IZMANTOJOT PĒTNIECISKI IZSTRĀDĀTU AUTOMATIZĒTU HDPE EDGE VIDI</w:t>
      </w:r>
    </w:p>
    <w:p w14:paraId="01EBEE32">
      <w:pPr>
        <w:pStyle w:val="3"/>
        <w:jc w:val="center"/>
        <w:rPr>
          <w:i/>
          <w:iCs/>
          <w:color w:val="auto"/>
          <w:sz w:val="24"/>
          <w:szCs w:val="24"/>
          <w:lang w:val="en-US"/>
        </w:rPr>
      </w:pPr>
      <w:r>
        <w:rPr>
          <w:i/>
          <w:iCs/>
          <w:color w:val="auto"/>
          <w:sz w:val="22"/>
          <w:szCs w:val="22"/>
          <w:lang w:val="en-US"/>
        </w:rPr>
        <w:t>CARRYING OUT OF INDUSTRIAL RESEARCH USING A PURPOSE-DEVELOPED AUTOMATED HDPE EDGE ENVIRONMENT</w:t>
      </w:r>
    </w:p>
    <w:p w14:paraId="0AA975B8">
      <w:pPr>
        <w:pStyle w:val="3"/>
        <w:suppressLineNumbers w:val="0"/>
        <w:bidi w:val="0"/>
        <w:spacing w:before="180" w:beforeAutospacing="0" w:after="180" w:afterAutospacing="0" w:line="240" w:lineRule="auto"/>
        <w:ind w:left="0" w:right="0"/>
        <w:jc w:val="center"/>
        <w:rPr>
          <w:i/>
          <w:iCs/>
          <w:color w:val="auto"/>
        </w:rPr>
      </w:pPr>
    </w:p>
    <w:p w14:paraId="1C510D15">
      <w:pPr>
        <w:pStyle w:val="3"/>
        <w:rPr>
          <w:color w:val="auto"/>
        </w:rPr>
      </w:pPr>
      <w:r>
        <w:rPr>
          <w:b/>
          <w:bCs/>
          <w:color w:val="auto"/>
        </w:rPr>
        <w:t>Vispārīgās prasības / General requirements</w:t>
      </w:r>
    </w:p>
    <w:p w14:paraId="1734F0B4">
      <w:pPr>
        <w:pStyle w:val="3"/>
        <w:rPr>
          <w:color w:val="auto"/>
        </w:rPr>
      </w:pPr>
      <w:r>
        <w:rPr>
          <w:color w:val="auto"/>
        </w:rPr>
        <w:t>Šajā daļā noteiktās tehniskās, funkcionālās un veiktspējas prasības ir minimālās. Pretendents var piedāvāt tehniski līdzvērtīgu risinājumu vai risinājumu ar augstākiem tehniskajiem un funkcionālajiem parametriem, ja tas pilnā apjomā nodrošina pētījuma uzdevumu izpildi, sistēmu savietojamību un noteikto rezultātu sasniegšanu.</w:t>
      </w:r>
    </w:p>
    <w:p w14:paraId="2128C52C">
      <w:pPr>
        <w:pStyle w:val="3"/>
        <w:rPr>
          <w:color w:val="auto"/>
        </w:rPr>
      </w:pPr>
      <w:r>
        <w:rPr>
          <w:color w:val="auto"/>
        </w:rPr>
        <w:t>Ja tehniskajā specifikācijā ir norādīta konkrēta tehnoloģija, standarts, datu apmaiņas saskarne vai tehniskais risinājums, Pretendents var piedāvāt līdzvērtīgu risinājumu, piedāvājumā pamatojot tā līdzvērtību un iesniedzot to apliecinošu tehnisko dokumentāciju.</w:t>
      </w:r>
    </w:p>
    <w:p w14:paraId="6985DA38">
      <w:pPr>
        <w:pStyle w:val="3"/>
        <w:rPr>
          <w:color w:val="auto"/>
        </w:rPr>
      </w:pPr>
      <w:r>
        <w:rPr>
          <w:color w:val="auto"/>
        </w:rPr>
        <w:t xml:space="preserve">Pretendenta atbilstības aprakstā jānorāda 4. kolonnā pieprasītā informācija. Ja tas ir pieprasīts, jānorāda piedāvātā risinājuma ražotājs, modelis vai tips, galvenie tehniskie parametri un atsauce uz atbilstību apliecinošu dokumentāciju. </w:t>
      </w:r>
    </w:p>
    <w:p w14:paraId="4D1786A9">
      <w:pPr>
        <w:pStyle w:val="3"/>
      </w:pPr>
      <w:r>
        <w:rPr>
          <w:color w:val="auto"/>
        </w:rPr>
        <w:t>Šajā daļā noteiktas prasības pētniecības un attīstības pakalpojumiem, ko Izpildītājs sniedz, lai nodrošinātu DAĻĀ 1 noteiktā rūpnieciskā pētījuma veikšanu. Pakalpojumu ietvaros Izpildītājs pētnieciski projektē, integrē, konfigurē, kalibrē, testē un praktiski validē automatizētu HDPE Edge pētniecisko vidi, kas ir pētījuma instruments, un, izmantojot šo vidi, veic pētījuma uzdevumus, praktiski pārbauda hipotēzes un iegūst pētījuma datus. Pakalpojumu rezultāts ir pētnieciskās atziņas, izmērītie dati, validētās tehnoloģiskās metodes un dokumentētie secinājumi. Izpildītājs ir atbildīgs par abu daļu savstarpēji koordinētu izpildi, pētnieciskās vides darbspējas nodrošināšanu visā pētījuma laikā, pētījuma testu veikšanu, rezultātu dokumentēšanu un noteikto nodevumu sagatavošanu.</w:t>
      </w:r>
    </w:p>
    <w:p w14:paraId="3F9B1E9D">
      <w:pPr>
        <w:pStyle w:val="3"/>
        <w:rPr>
          <w:color w:val="auto"/>
        </w:rPr>
      </w:pPr>
      <w:r>
        <w:rPr>
          <w:i/>
          <w:iCs/>
          <w:color w:val="auto"/>
        </w:rPr>
        <w:t>The technical, functional and performance requirements specified in this Part are minimum requirements. The Tenderer may propose a technically equivalent solution or a solution with higher technical and functional parameters, provided that it fully ensures the performance of the research tasks, system interoperability and the achievement of the specified results.</w:t>
      </w:r>
    </w:p>
    <w:p w14:paraId="33EE32AC">
      <w:pPr>
        <w:pStyle w:val="3"/>
        <w:rPr>
          <w:color w:val="auto"/>
        </w:rPr>
      </w:pPr>
      <w:r>
        <w:rPr>
          <w:i/>
          <w:iCs/>
          <w:color w:val="auto"/>
        </w:rPr>
        <w:t>Where the Technical Specification refers to a particular technology, standard, data-exchange interface or technical solution, the Tenderer may propose an equivalent solution, provided that its equivalence is substantiated in the tender and supported by relevant technical documentation.</w:t>
      </w:r>
    </w:p>
    <w:p w14:paraId="38F6A986">
      <w:pPr>
        <w:pStyle w:val="3"/>
        <w:rPr>
          <w:color w:val="auto"/>
        </w:rPr>
      </w:pPr>
      <w:r>
        <w:rPr>
          <w:i/>
          <w:iCs/>
          <w:color w:val="auto"/>
        </w:rPr>
        <w:t>In the compliance statement, the Tenderer shall provide the information requested in Column 4. Where requested, the Tenderer shall specify the manufacturer, model or type of the proposed solution, its principal technical parameters and a reference to supporting compliance documentation.</w:t>
      </w:r>
    </w:p>
    <w:p w14:paraId="1C95A463">
      <w:pPr>
        <w:pStyle w:val="3"/>
        <w:suppressLineNumbers w:val="0"/>
        <w:bidi w:val="0"/>
        <w:spacing w:before="180" w:beforeAutospacing="0" w:after="180" w:afterAutospacing="0" w:line="240" w:lineRule="auto"/>
        <w:ind w:left="0" w:right="0"/>
        <w:jc w:val="left"/>
        <w:rPr>
          <w:i/>
          <w:iCs/>
          <w:color w:val="auto"/>
          <w:lang w:val="en-US"/>
        </w:rPr>
      </w:pPr>
      <w:r>
        <w:rPr>
          <w:i/>
          <w:iCs/>
          <w:color w:val="auto"/>
          <w:lang w:val="en-US"/>
        </w:rPr>
        <w:t>This part sets out the requirements for the research and development services provided by the Contractor in order to enable the industrial research specified in PART 1 to be carried out. As part of the services, the Contractor shall design, integrate, configure, calibrate, test and practically validate, on a research basis, an automated HDPE Edge research environment which constitutes the research instrument, and, using that environment, shall carry out the research tasks, test the hypotheses in practice and obtain the research data. The result of the services consists of research findings, measured data, validated technological methods and documented conclusions. The Contractor is responsible for the coordinated performance of both parts, for maintaining the operability of the research environment throughout the research, for carrying out the research tests, for documenting the results and for preparing the specified deliverables.</w:t>
      </w:r>
    </w:p>
    <w:p w14:paraId="04C83547">
      <w:pPr>
        <w:pStyle w:val="3"/>
        <w:rPr>
          <w:i/>
          <w:iCs/>
          <w:color w:val="auto"/>
        </w:rPr>
      </w:pPr>
    </w:p>
    <w:p w14:paraId="5C96B64F">
      <w:pPr>
        <w:pStyle w:val="3"/>
        <w:rPr>
          <w:color w:val="auto"/>
        </w:rPr>
      </w:pPr>
      <w:r>
        <w:rPr>
          <w:b/>
          <w:bCs/>
          <w:color w:val="auto"/>
        </w:rPr>
        <w:t>1. PRIEKŠMETS UN MĒRĶIS</w:t>
      </w:r>
    </w:p>
    <w:p w14:paraId="50B16F4D">
      <w:pPr>
        <w:pStyle w:val="3"/>
        <w:rPr>
          <w:color w:val="auto"/>
        </w:rPr>
      </w:pPr>
      <w:r>
        <w:rPr>
          <w:b/>
          <w:bCs/>
          <w:i/>
          <w:iCs/>
          <w:color w:val="auto"/>
        </w:rPr>
        <w:t>1. SCOPE AND OBJECTIVE</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63"/>
        <w:gridCol w:w="3437"/>
        <w:gridCol w:w="2900"/>
      </w:tblGrid>
      <w:tr w14:paraId="1C791BBF">
        <w:trPr>
          <w:tblHeader/>
        </w:trPr>
        <w:tc>
          <w:p w14:paraId="4F2E26F4">
            <w:pPr>
              <w:pStyle w:val="28"/>
              <w:jc w:val="left"/>
              <w:rPr>
                <w:color w:val="auto"/>
              </w:rPr>
            </w:pPr>
            <w:r>
              <w:rPr>
                <w:b/>
                <w:bCs/>
                <w:color w:val="auto"/>
              </w:rPr>
              <w:t>Nr.</w:t>
            </w:r>
          </w:p>
        </w:tc>
        <w:tc>
          <w:tcPr>
            <w:tcW w:w="3563" w:type="dxa"/>
          </w:tcPr>
          <w:p w14:paraId="099DE77F">
            <w:pPr>
              <w:pStyle w:val="28"/>
              <w:jc w:val="left"/>
              <w:rPr>
                <w:color w:val="auto"/>
              </w:rPr>
            </w:pPr>
            <w:r>
              <w:rPr>
                <w:b/>
                <w:bCs/>
                <w:color w:val="auto"/>
              </w:rPr>
              <w:t>Prasība (Latviešu) / Requirement (Latvian)</w:t>
            </w:r>
          </w:p>
        </w:tc>
        <w:tc>
          <w:tcPr>
            <w:tcW w:w="3437" w:type="dxa"/>
          </w:tcPr>
          <w:p w14:paraId="3932D29C">
            <w:pPr>
              <w:pStyle w:val="28"/>
              <w:jc w:val="left"/>
              <w:rPr>
                <w:color w:val="auto"/>
              </w:rPr>
            </w:pPr>
            <w:r>
              <w:rPr>
                <w:b/>
                <w:bCs/>
                <w:color w:val="auto"/>
              </w:rPr>
              <w:t>Requirement (English)</w:t>
            </w:r>
          </w:p>
        </w:tc>
        <w:tc>
          <w:p w14:paraId="0031EEFE">
            <w:pPr>
              <w:pStyle w:val="28"/>
              <w:jc w:val="left"/>
              <w:rPr>
                <w:color w:val="auto"/>
              </w:rPr>
            </w:pPr>
            <w:r>
              <w:rPr>
                <w:b/>
                <w:bCs/>
                <w:color w:val="auto"/>
              </w:rPr>
              <w:t>Pretendenta atbilstības apraksts / Supplier compliance statement</w:t>
            </w:r>
          </w:p>
        </w:tc>
      </w:tr>
      <w:tr w14:paraId="4C025EAC">
        <w:tc>
          <w:p w14:paraId="4633A018">
            <w:pPr>
              <w:pStyle w:val="28"/>
              <w:jc w:val="left"/>
              <w:rPr>
                <w:color w:val="auto"/>
              </w:rPr>
            </w:pPr>
            <w:r>
              <w:rPr>
                <w:b/>
                <w:bCs/>
                <w:color w:val="auto"/>
              </w:rPr>
              <w:t>1.1</w:t>
            </w:r>
          </w:p>
        </w:tc>
        <w:tc>
          <w:tcPr>
            <w:tcW w:w="3563" w:type="dxa"/>
          </w:tcPr>
          <w:p w14:paraId="775443FD">
            <w:pPr>
              <w:pStyle w:val="28"/>
              <w:jc w:val="left"/>
              <w:rPr>
                <w:color w:val="auto"/>
              </w:rPr>
            </w:pPr>
            <w:r>
              <w:rPr>
                <w:color w:val="auto"/>
              </w:rPr>
              <w:t>Šīs daļas mērķis ir IPCEI CIS projekta “NextGen Microfactories” ietvaros nodrošināt DAĻĀ 1 noteiktā rūpnieciskā pētījuma praktisko īstenošanu, projektējot, izveidojot un validējot automatizētu HDPE Edge pētniecības vidi. Pētniecības vide izmantojama pētījuma hipotēžu praktiskai pārbaudei, pētījuma testu veikšanai, datu iegūšanai un pētījuma rezultātu dokumentēšanai.</w:t>
            </w:r>
          </w:p>
        </w:tc>
        <w:tc>
          <w:tcPr>
            <w:tcW w:w="3437" w:type="dxa"/>
          </w:tcPr>
          <w:p w14:paraId="386E93C0">
            <w:pPr>
              <w:pStyle w:val="28"/>
              <w:jc w:val="left"/>
              <w:rPr>
                <w:color w:val="auto"/>
              </w:rPr>
            </w:pPr>
            <w:r>
              <w:rPr>
                <w:i/>
                <w:iCs/>
                <w:color w:val="auto"/>
              </w:rPr>
              <w:t>The objective of this Part is to ensure the practical implementation of the industrial research specified in PART 1 within the IPCEI CIS “NextGen Microfactories” project by designing, implementing and validating an automated HDPE Edge research environment. The research environment shall be used for the practical testing of the research hypotheses, conducting research tests, acquiring data and documenting the research results.</w:t>
            </w:r>
          </w:p>
        </w:tc>
        <w:tc>
          <w:p w14:paraId="51199AC3">
            <w:pPr>
              <w:pStyle w:val="28"/>
              <w:jc w:val="left"/>
              <w:rPr>
                <w:color w:val="auto"/>
              </w:rPr>
            </w:pPr>
            <w:r>
              <w:rPr>
                <w:color w:val="auto"/>
              </w:rPr>
              <w:t>Atbilst / Complies</w:t>
            </w:r>
          </w:p>
        </w:tc>
      </w:tr>
      <w:tr w14:paraId="4C1C2DAE">
        <w:tc>
          <w:p w14:paraId="11F5D488">
            <w:pPr>
              <w:pStyle w:val="28"/>
              <w:jc w:val="left"/>
              <w:rPr>
                <w:color w:val="auto"/>
              </w:rPr>
            </w:pPr>
            <w:r>
              <w:rPr>
                <w:b/>
                <w:bCs/>
                <w:color w:val="auto"/>
              </w:rPr>
              <w:t>1.2</w:t>
            </w:r>
          </w:p>
        </w:tc>
        <w:tc>
          <w:tcPr>
            <w:tcW w:w="3563" w:type="dxa"/>
          </w:tcPr>
          <w:p w14:paraId="40A28633">
            <w:pPr>
              <w:pStyle w:val="28"/>
              <w:jc w:val="left"/>
              <w:rPr>
                <w:color w:val="auto"/>
                <w:highlight w:val="none"/>
              </w:rPr>
            </w:pPr>
            <w:r>
              <w:rPr>
                <w:color w:val="auto"/>
                <w:highlight w:val="none"/>
              </w:rPr>
              <w:t xml:space="preserve">Darbu apjomā jāietver automatizētas HDPE Edge pētniecības vides </w:t>
            </w:r>
            <w:r>
              <w:rPr>
                <w:highlight w:val="none"/>
              </w:rPr>
              <w:t>sagatavošana pētījuma veikšanai: projektēšana, komplektēšana, programmatūras konfigurēšana un licencēšana, integrācija, kalibrēšana, funkcionālā validācija</w:t>
            </w:r>
            <w:r>
              <w:rPr>
                <w:color w:val="auto"/>
                <w:highlight w:val="none"/>
              </w:rPr>
              <w:t>. Darbu izpildei jānodrošina vismaz: a) robotizēta HDPE ekstrūzijas metināšanas sistēma ar portāla tipa robota pārvietošanas sistēmu; b) DAĻĀ 1 noteikto testu veikšanai nepieciešamās mehāniskās abrazīvās apstrādes un lāzera apstrādes tehnoloģijas; c) digitālā dvīņa un robota bezsaistes programmēšanas vide; d) Edge datu apstrādes platforma un nepieciešamās saskarnes procesa datu iegūšanai, apstrādei, glabāšanai un apmaiņai.</w:t>
            </w:r>
          </w:p>
        </w:tc>
        <w:tc>
          <w:tcPr>
            <w:tcW w:w="3437" w:type="dxa"/>
          </w:tcPr>
          <w:p w14:paraId="321FE62D">
            <w:pPr>
              <w:pStyle w:val="28"/>
              <w:jc w:val="left"/>
              <w:rPr>
                <w:color w:val="auto"/>
              </w:rPr>
            </w:pPr>
            <w:r>
              <w:rPr>
                <w:i/>
                <w:iCs/>
                <w:color w:val="auto"/>
              </w:rPr>
              <w:t xml:space="preserve">The scope of work shall include the </w:t>
            </w:r>
            <w:r>
              <w:rPr>
                <w:rStyle w:val="17"/>
              </w:rPr>
              <w:t>design, assembly, software configuration and licensing, integration, calibration, functional validation</w:t>
            </w:r>
            <w:r>
              <w:rPr>
                <w:i/>
                <w:iCs/>
                <w:color w:val="auto"/>
              </w:rPr>
              <w:t xml:space="preserve"> of an automated HDPE Edge research environment. The following shall be provided as a minimum:</w:t>
            </w:r>
            <w:r>
              <w:rPr>
                <w:color w:val="auto"/>
              </w:rPr>
              <w:t xml:space="preserve"> </w:t>
            </w:r>
            <w:r>
              <w:rPr>
                <w:i/>
                <w:iCs/>
                <w:color w:val="auto"/>
              </w:rPr>
              <w:t>a) a robotic HDPE extrusion welding system incorporating a gantry-type robot positioning system;</w:t>
            </w:r>
            <w:r>
              <w:rPr>
                <w:color w:val="auto"/>
              </w:rPr>
              <w:t xml:space="preserve"> </w:t>
            </w:r>
            <w:r>
              <w:rPr>
                <w:i/>
                <w:iCs/>
                <w:color w:val="auto"/>
              </w:rPr>
              <w:t>b) the mechanical abrasive treatment and laser treatment technologies required to perform the tests specified in PART 1;</w:t>
            </w:r>
            <w:r>
              <w:rPr>
                <w:color w:val="auto"/>
              </w:rPr>
              <w:t xml:space="preserve"> </w:t>
            </w:r>
            <w:r>
              <w:rPr>
                <w:i/>
                <w:iCs/>
                <w:color w:val="auto"/>
              </w:rPr>
              <w:t>c) a digital twin and offline robot programming environment;</w:t>
            </w:r>
            <w:r>
              <w:rPr>
                <w:color w:val="auto"/>
              </w:rPr>
              <w:t xml:space="preserve"> </w:t>
            </w:r>
            <w:r>
              <w:rPr>
                <w:i/>
                <w:iCs/>
                <w:color w:val="auto"/>
              </w:rPr>
              <w:t>d) an Edge data-processing platform and the interfaces required for the acquisition, processing, storage and exchange of process data.</w:t>
            </w:r>
          </w:p>
        </w:tc>
        <w:tc>
          <w:p w14:paraId="5706B1A8">
            <w:pPr>
              <w:pStyle w:val="28"/>
              <w:jc w:val="left"/>
              <w:rPr>
                <w:color w:val="auto"/>
              </w:rPr>
            </w:pPr>
            <w:r>
              <w:rPr>
                <w:color w:val="auto"/>
              </w:rPr>
              <w:t>Atbilst / Complies</w:t>
            </w:r>
          </w:p>
        </w:tc>
      </w:tr>
      <w:tr w14:paraId="0E0637CC">
        <w:tc>
          <w:p w14:paraId="54AB79B6">
            <w:pPr>
              <w:pStyle w:val="28"/>
              <w:jc w:val="left"/>
              <w:rPr>
                <w:color w:val="auto"/>
              </w:rPr>
            </w:pPr>
            <w:r>
              <w:rPr>
                <w:b/>
                <w:bCs/>
                <w:color w:val="auto"/>
              </w:rPr>
              <w:t>1.3</w:t>
            </w:r>
          </w:p>
        </w:tc>
        <w:tc>
          <w:tcPr>
            <w:tcW w:w="3563" w:type="dxa"/>
          </w:tcPr>
          <w:p w14:paraId="69D03F3A">
            <w:pPr>
              <w:pStyle w:val="28"/>
              <w:jc w:val="left"/>
              <w:rPr>
                <w:color w:val="auto"/>
              </w:rPr>
            </w:pPr>
            <w:r>
              <w:rPr>
                <w:color w:val="auto"/>
              </w:rPr>
              <w:t>Darbu rezultātā jābūt izveidotai, integrētai, kalibrētai un validētai pētniecības videi, kurā izpildīti DAĻĀ 1 noteiktie pētījuma uzdevumi un veikti paredzētie testi, bet iegūtie rezultāti dokumentēti pētījuma ziņojumos. Detalizētas prasības nodevumiem un to pieņemšanas kritērijiem noteiktas 6.1. un 6.2. apakšnodaļā.</w:t>
            </w:r>
          </w:p>
        </w:tc>
        <w:tc>
          <w:tcPr>
            <w:tcW w:w="3437" w:type="dxa"/>
          </w:tcPr>
          <w:p w14:paraId="0306D5F5">
            <w:pPr>
              <w:pStyle w:val="28"/>
              <w:jc w:val="left"/>
              <w:rPr>
                <w:color w:val="auto"/>
              </w:rPr>
            </w:pPr>
            <w:r>
              <w:rPr>
                <w:i/>
                <w:iCs/>
                <w:color w:val="auto"/>
              </w:rPr>
              <w:t>The work shall result in an implemented, integrated, calibrated and validated research environment in which the research tasks specified in PART 1 have been completed and the required tests performed, with the results documented in the research reports. Detailed requirements for the deliverables and their acceptance criteria are specified in Subsections 6.1 and 6.2.</w:t>
            </w:r>
          </w:p>
        </w:tc>
        <w:tc>
          <w:p w14:paraId="6C82004F">
            <w:pPr>
              <w:pStyle w:val="28"/>
              <w:jc w:val="left"/>
              <w:rPr>
                <w:color w:val="auto"/>
              </w:rPr>
            </w:pPr>
            <w:r>
              <w:rPr>
                <w:color w:val="auto"/>
              </w:rPr>
              <w:t>Atbilst / Complies</w:t>
            </w:r>
          </w:p>
        </w:tc>
      </w:tr>
    </w:tbl>
    <w:p w14:paraId="646A673E">
      <w:pPr>
        <w:pStyle w:val="3"/>
        <w:rPr>
          <w:color w:val="auto"/>
        </w:rPr>
      </w:pPr>
      <w:r>
        <w:rPr>
          <w:b/>
          <w:bCs/>
          <w:color w:val="auto"/>
        </w:rPr>
        <w:t>2. PĒTĪJUMA OBJEKTS UN TESTU NOSACĪJUMI</w:t>
      </w:r>
    </w:p>
    <w:p w14:paraId="0A8C994E">
      <w:pPr>
        <w:pStyle w:val="3"/>
        <w:rPr>
          <w:color w:val="auto"/>
        </w:rPr>
      </w:pPr>
      <w:r>
        <w:rPr>
          <w:b/>
          <w:bCs/>
          <w:i/>
          <w:iCs/>
          <w:color w:val="auto"/>
        </w:rPr>
        <w:t>2. RESEARCH OBJECT AND TEST CONDITIONS</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63"/>
        <w:gridCol w:w="3437"/>
        <w:gridCol w:w="2900"/>
      </w:tblGrid>
      <w:tr w14:paraId="3F9594BE">
        <w:trPr>
          <w:tblHeader/>
        </w:trPr>
        <w:tc>
          <w:p w14:paraId="1846C837">
            <w:pPr>
              <w:pStyle w:val="28"/>
              <w:jc w:val="left"/>
              <w:rPr>
                <w:color w:val="auto"/>
              </w:rPr>
            </w:pPr>
            <w:r>
              <w:rPr>
                <w:b/>
                <w:bCs/>
                <w:color w:val="auto"/>
              </w:rPr>
              <w:t>Nr.</w:t>
            </w:r>
          </w:p>
        </w:tc>
        <w:tc>
          <w:tcPr>
            <w:tcW w:w="3563" w:type="dxa"/>
          </w:tcPr>
          <w:p w14:paraId="3D314401">
            <w:pPr>
              <w:pStyle w:val="28"/>
              <w:jc w:val="left"/>
              <w:rPr>
                <w:color w:val="auto"/>
              </w:rPr>
            </w:pPr>
            <w:r>
              <w:rPr>
                <w:b/>
                <w:bCs/>
                <w:color w:val="auto"/>
              </w:rPr>
              <w:t>Prasība (Latviešu) / Requirement (Latvian)</w:t>
            </w:r>
          </w:p>
        </w:tc>
        <w:tc>
          <w:tcPr>
            <w:tcW w:w="3437" w:type="dxa"/>
          </w:tcPr>
          <w:p w14:paraId="39F2F646">
            <w:pPr>
              <w:pStyle w:val="28"/>
              <w:jc w:val="left"/>
              <w:rPr>
                <w:color w:val="auto"/>
              </w:rPr>
            </w:pPr>
            <w:r>
              <w:rPr>
                <w:b/>
                <w:bCs/>
                <w:color w:val="auto"/>
              </w:rPr>
              <w:t>Requirement (English)</w:t>
            </w:r>
          </w:p>
        </w:tc>
        <w:tc>
          <w:p w14:paraId="07DE7F06">
            <w:pPr>
              <w:pStyle w:val="28"/>
              <w:jc w:val="left"/>
              <w:rPr>
                <w:color w:val="auto"/>
              </w:rPr>
            </w:pPr>
            <w:r>
              <w:rPr>
                <w:b/>
                <w:bCs/>
                <w:color w:val="auto"/>
              </w:rPr>
              <w:t>Pretendenta atbilstības apraksts / Supplier compliance statement</w:t>
            </w:r>
          </w:p>
        </w:tc>
      </w:tr>
      <w:tr w14:paraId="2B0CCDC8">
        <w:tc>
          <w:p w14:paraId="223C8450">
            <w:pPr>
              <w:pStyle w:val="28"/>
              <w:jc w:val="left"/>
              <w:rPr>
                <w:color w:val="auto"/>
              </w:rPr>
            </w:pPr>
            <w:r>
              <w:rPr>
                <w:b/>
                <w:bCs/>
                <w:color w:val="auto"/>
              </w:rPr>
              <w:t>2.1</w:t>
            </w:r>
          </w:p>
        </w:tc>
        <w:tc>
          <w:tcPr>
            <w:tcW w:w="3563" w:type="dxa"/>
          </w:tcPr>
          <w:p w14:paraId="0CE877FE">
            <w:pPr>
              <w:pStyle w:val="28"/>
              <w:jc w:val="left"/>
              <w:rPr>
                <w:color w:val="auto"/>
              </w:rPr>
            </w:pPr>
            <w:r>
              <w:rPr>
                <w:color w:val="auto"/>
              </w:rPr>
              <w:t>Pētījuma objekts ir HDPE materiāla virsmas apstrāde un robotizēta ekstrūzijas metināšana. Primārais pielietojums ir lielizmēra HDPE konstrukciju savienošana.</w:t>
            </w:r>
          </w:p>
        </w:tc>
        <w:tc>
          <w:tcPr>
            <w:tcW w:w="3437" w:type="dxa"/>
          </w:tcPr>
          <w:p w14:paraId="41136379">
            <w:pPr>
              <w:pStyle w:val="28"/>
              <w:jc w:val="left"/>
              <w:rPr>
                <w:color w:val="auto"/>
              </w:rPr>
            </w:pPr>
            <w:r>
              <w:rPr>
                <w:i/>
                <w:iCs/>
                <w:color w:val="auto"/>
              </w:rPr>
              <w:t>The research object is the surface treatment and robotic extrusion welding of HDPE material. The primary application is the joining of large-scale HDPE structures.</w:t>
            </w:r>
          </w:p>
        </w:tc>
        <w:tc>
          <w:p w14:paraId="3F21972E">
            <w:pPr>
              <w:pStyle w:val="28"/>
              <w:jc w:val="left"/>
              <w:rPr>
                <w:color w:val="auto"/>
              </w:rPr>
            </w:pPr>
            <w:r>
              <w:rPr>
                <w:color w:val="auto"/>
              </w:rPr>
              <w:t>Atbilst / Complies</w:t>
            </w:r>
          </w:p>
        </w:tc>
      </w:tr>
      <w:tr w14:paraId="5BE887A0">
        <w:tc>
          <w:p w14:paraId="291B3DA4">
            <w:pPr>
              <w:pStyle w:val="28"/>
              <w:jc w:val="left"/>
              <w:rPr>
                <w:color w:val="auto"/>
              </w:rPr>
            </w:pPr>
            <w:r>
              <w:rPr>
                <w:b/>
                <w:bCs/>
                <w:color w:val="auto"/>
              </w:rPr>
              <w:t>2.2</w:t>
            </w:r>
          </w:p>
        </w:tc>
        <w:tc>
          <w:tcPr>
            <w:tcW w:w="3563" w:type="dxa"/>
          </w:tcPr>
          <w:p w14:paraId="18E9E885">
            <w:pPr>
              <w:pStyle w:val="28"/>
              <w:jc w:val="left"/>
              <w:rPr>
                <w:color w:val="auto"/>
              </w:rPr>
            </w:pPr>
            <w:r>
              <w:rPr>
                <w:color w:val="auto"/>
              </w:rPr>
              <w:t>Virsmas apstrādes un ekstrūzijas metināšanas testi jāveic ar HDPE paraugiem 10–20 mm biezuma diapazonā. Salīdzinošajos testos jāizmanto vienādas materiāla markas un biezuma paraugi, lai nodrošinātu rezultātu salīdzināmību.</w:t>
            </w:r>
          </w:p>
        </w:tc>
        <w:tc>
          <w:tcPr>
            <w:tcW w:w="3437" w:type="dxa"/>
          </w:tcPr>
          <w:p w14:paraId="118FAC41">
            <w:pPr>
              <w:pStyle w:val="28"/>
              <w:jc w:val="left"/>
              <w:rPr>
                <w:color w:val="auto"/>
              </w:rPr>
            </w:pPr>
            <w:r>
              <w:rPr>
                <w:i/>
                <w:iCs/>
                <w:color w:val="auto"/>
              </w:rPr>
              <w:t>The surface-treatment and extrusion welding tests shall be performed using HDPE specimens with a thickness range of 10–20 mm. Specimens of the same material grade and thickness shall be used in the comparative tests to ensure the comparability of the results.</w:t>
            </w:r>
          </w:p>
        </w:tc>
        <w:tc>
          <w:p w14:paraId="636C9F3B">
            <w:pPr>
              <w:pStyle w:val="28"/>
              <w:jc w:val="left"/>
              <w:rPr>
                <w:color w:val="auto"/>
              </w:rPr>
            </w:pPr>
            <w:r>
              <w:rPr>
                <w:color w:val="auto"/>
              </w:rPr>
              <w:t>Atbilst / Complies</w:t>
            </w:r>
          </w:p>
        </w:tc>
      </w:tr>
      <w:tr w14:paraId="4144CFE0">
        <w:tc>
          <w:p w14:paraId="460F93D3">
            <w:pPr>
              <w:pStyle w:val="28"/>
              <w:jc w:val="left"/>
              <w:rPr>
                <w:color w:val="auto"/>
              </w:rPr>
            </w:pPr>
            <w:r>
              <w:rPr>
                <w:b/>
                <w:bCs/>
                <w:color w:val="auto"/>
              </w:rPr>
              <w:t>2.3</w:t>
            </w:r>
          </w:p>
        </w:tc>
        <w:tc>
          <w:tcPr>
            <w:tcW w:w="3563" w:type="dxa"/>
          </w:tcPr>
          <w:p w14:paraId="25B9AE32">
            <w:pPr>
              <w:pStyle w:val="28"/>
              <w:jc w:val="left"/>
              <w:rPr>
                <w:color w:val="auto"/>
              </w:rPr>
            </w:pPr>
            <w:r>
              <w:rPr>
                <w:color w:val="auto"/>
              </w:rPr>
              <w:t>Ekstrūzijas metināšanas testos jāizmanto ar pamatmateriālu savietojama HDPE metināšanas stieple ar 3 mm un 4 mm diametru. Katram testam jādokumentē materiāla marka, biezums, metināšanas stieples diametrs, izmantotā virsmas apstrādes metode, metināšanas procesa parametri un parauga identifikācijas numurs, nodrošinot rezultātu izsekojamību un atkārtojamību.</w:t>
            </w:r>
          </w:p>
        </w:tc>
        <w:tc>
          <w:tcPr>
            <w:tcW w:w="3437" w:type="dxa"/>
          </w:tcPr>
          <w:p w14:paraId="3E93ACE6">
            <w:pPr>
              <w:pStyle w:val="28"/>
              <w:jc w:val="left"/>
              <w:rPr>
                <w:color w:val="auto"/>
              </w:rPr>
            </w:pPr>
            <w:r>
              <w:rPr>
                <w:i/>
                <w:iCs/>
                <w:color w:val="auto"/>
              </w:rPr>
              <w:t>The extrusion welding tests shall use HDPE welding rod compatible with the base material, with diameters of 3 mm and 4 mm. For each test, the material grade, thickness, welding-rod diameter, surface-treatment method, welding-process parameters and specimen identification number shall be documented to ensure the traceability and repeatability of the results.</w:t>
            </w:r>
          </w:p>
        </w:tc>
        <w:tc>
          <w:p w14:paraId="1B1DB31F">
            <w:pPr>
              <w:pStyle w:val="28"/>
              <w:jc w:val="left"/>
              <w:rPr>
                <w:color w:val="auto"/>
              </w:rPr>
            </w:pPr>
            <w:r>
              <w:rPr>
                <w:color w:val="auto"/>
              </w:rPr>
              <w:t>Atbilst / Complies</w:t>
            </w:r>
          </w:p>
        </w:tc>
      </w:tr>
    </w:tbl>
    <w:p w14:paraId="3CC787F0">
      <w:pPr>
        <w:pStyle w:val="3"/>
        <w:rPr>
          <w:color w:val="auto"/>
        </w:rPr>
      </w:pPr>
      <w:r>
        <w:rPr>
          <w:b/>
          <w:bCs/>
          <w:color w:val="auto"/>
        </w:rPr>
        <w:t>3. PĒTNIECĪBAS VIDES TEHNISKĀS PRASĪBAS</w:t>
      </w:r>
    </w:p>
    <w:p w14:paraId="0B7B9AB3">
      <w:pPr>
        <w:pStyle w:val="3"/>
        <w:rPr>
          <w:color w:val="auto"/>
        </w:rPr>
      </w:pPr>
      <w:r>
        <w:rPr>
          <w:b/>
          <w:bCs/>
          <w:i/>
          <w:iCs/>
          <w:color w:val="auto"/>
        </w:rPr>
        <w:t>3. TECHNICAL REQUIREMENTS FOR THE RESEARCH ENVIRONMENT</w:t>
      </w:r>
    </w:p>
    <w:p w14:paraId="733E919F">
      <w:pPr>
        <w:pStyle w:val="3"/>
        <w:rPr>
          <w:color w:val="auto"/>
        </w:rPr>
      </w:pPr>
      <w:r>
        <w:rPr>
          <w:b/>
          <w:bCs/>
          <w:color w:val="auto"/>
        </w:rPr>
        <w:t>3.1 Darba zona un portāla tipa pārvietošanas sistēma / Working envelope and gantry-type positioning system</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63"/>
        <w:gridCol w:w="3437"/>
        <w:gridCol w:w="2900"/>
      </w:tblGrid>
      <w:tr w14:paraId="04F8ACFD">
        <w:trPr>
          <w:tblHeader/>
        </w:trPr>
        <w:tc>
          <w:p w14:paraId="6EEE970A">
            <w:pPr>
              <w:pStyle w:val="28"/>
              <w:jc w:val="left"/>
              <w:rPr>
                <w:color w:val="auto"/>
              </w:rPr>
            </w:pPr>
            <w:r>
              <w:rPr>
                <w:b/>
                <w:bCs/>
                <w:color w:val="auto"/>
              </w:rPr>
              <w:t>Nr.</w:t>
            </w:r>
          </w:p>
        </w:tc>
        <w:tc>
          <w:tcPr>
            <w:tcW w:w="3563" w:type="dxa"/>
          </w:tcPr>
          <w:p w14:paraId="08C10D64">
            <w:pPr>
              <w:pStyle w:val="28"/>
              <w:jc w:val="left"/>
              <w:rPr>
                <w:color w:val="auto"/>
              </w:rPr>
            </w:pPr>
            <w:r>
              <w:rPr>
                <w:b/>
                <w:bCs/>
                <w:color w:val="auto"/>
              </w:rPr>
              <w:t>Prasība (Latviešu) / Requirement (Latvian)</w:t>
            </w:r>
          </w:p>
        </w:tc>
        <w:tc>
          <w:tcPr>
            <w:tcW w:w="3437" w:type="dxa"/>
          </w:tcPr>
          <w:p w14:paraId="459736C0">
            <w:pPr>
              <w:pStyle w:val="28"/>
              <w:jc w:val="left"/>
              <w:rPr>
                <w:color w:val="auto"/>
              </w:rPr>
            </w:pPr>
            <w:r>
              <w:rPr>
                <w:b/>
                <w:bCs/>
                <w:color w:val="auto"/>
              </w:rPr>
              <w:t>Requirement (English)</w:t>
            </w:r>
          </w:p>
        </w:tc>
        <w:tc>
          <w:p w14:paraId="4409D251">
            <w:pPr>
              <w:pStyle w:val="28"/>
              <w:jc w:val="left"/>
              <w:rPr>
                <w:color w:val="auto"/>
              </w:rPr>
            </w:pPr>
            <w:r>
              <w:rPr>
                <w:b/>
                <w:bCs/>
                <w:color w:val="auto"/>
              </w:rPr>
              <w:t>Pretendenta atbilstības apraksts / Supplier compliance statement</w:t>
            </w:r>
          </w:p>
        </w:tc>
      </w:tr>
      <w:tr w14:paraId="78CA39D3">
        <w:tc>
          <w:p w14:paraId="3FBCFE46">
            <w:pPr>
              <w:pStyle w:val="28"/>
              <w:jc w:val="left"/>
              <w:rPr>
                <w:color w:val="auto"/>
              </w:rPr>
            </w:pPr>
            <w:r>
              <w:rPr>
                <w:b/>
                <w:bCs/>
                <w:color w:val="auto"/>
              </w:rPr>
              <w:t>3.1.1</w:t>
            </w:r>
          </w:p>
        </w:tc>
        <w:tc>
          <w:tcPr>
            <w:tcW w:w="3563" w:type="dxa"/>
          </w:tcPr>
          <w:p w14:paraId="3EFA5D2A">
            <w:pPr>
              <w:pStyle w:val="28"/>
              <w:jc w:val="left"/>
              <w:rPr>
                <w:color w:val="auto"/>
              </w:rPr>
            </w:pPr>
            <w:r>
              <w:rPr>
                <w:color w:val="auto"/>
              </w:rPr>
              <w:t>Pētniecības videi jānodrošina darba zona, kas nav mazāka par 12 m garumā, 3 m platumā un 3 m augstumā. Izstrādājuma apstrāde visā 12 m garumā jānodrošina vienā novietojumā, bez izstrādājuma manuālas pārvietošanas.</w:t>
            </w:r>
          </w:p>
        </w:tc>
        <w:tc>
          <w:tcPr>
            <w:tcW w:w="3437" w:type="dxa"/>
          </w:tcPr>
          <w:p w14:paraId="24A42D28">
            <w:pPr>
              <w:pStyle w:val="28"/>
              <w:jc w:val="left"/>
              <w:rPr>
                <w:color w:val="auto"/>
              </w:rPr>
            </w:pPr>
            <w:r>
              <w:rPr>
                <w:i/>
                <w:iCs/>
                <w:color w:val="auto"/>
              </w:rPr>
              <w:t>The research environment shall provide a working envelope of not less than 12 m in length, 3 m in width and 3 m in height. Processing along the full 12 m length of the workpiece shall be possible in a single position without manual repositioning of the workpiece.</w:t>
            </w:r>
          </w:p>
        </w:tc>
        <w:tc>
          <w:p w14:paraId="6CF0A215">
            <w:pPr>
              <w:pStyle w:val="28"/>
              <w:jc w:val="left"/>
              <w:rPr>
                <w:color w:val="auto"/>
              </w:rPr>
            </w:pPr>
            <w:r>
              <w:rPr>
                <w:color w:val="auto"/>
              </w:rPr>
              <w:t>Atbilst / Complies</w:t>
            </w:r>
          </w:p>
        </w:tc>
      </w:tr>
      <w:tr w14:paraId="7C54CA75">
        <w:tc>
          <w:p w14:paraId="43969EEF">
            <w:pPr>
              <w:pStyle w:val="28"/>
              <w:jc w:val="left"/>
              <w:rPr>
                <w:color w:val="auto"/>
              </w:rPr>
            </w:pPr>
            <w:r>
              <w:rPr>
                <w:b/>
                <w:bCs/>
                <w:color w:val="auto"/>
              </w:rPr>
              <w:t>3.1.2</w:t>
            </w:r>
          </w:p>
        </w:tc>
        <w:tc>
          <w:tcPr>
            <w:tcW w:w="3563" w:type="dxa"/>
          </w:tcPr>
          <w:p w14:paraId="50E91618">
            <w:pPr>
              <w:pStyle w:val="28"/>
              <w:jc w:val="left"/>
              <w:rPr>
                <w:color w:val="auto"/>
              </w:rPr>
            </w:pPr>
            <w:r>
              <w:rPr>
                <w:color w:val="auto"/>
              </w:rPr>
              <w:t>Robots jāuzstāda uz portāla tipa pārvietošanas sistēmas, kas nodrošina robota kustību noteiktajā darba zonā. Lineārās kustības ass gaita var būt īsāka par 12 m, ja nepieciešamā darba zona tiek nodrošināta, izmantojot portāla kustību un robota sasniedzamību.</w:t>
            </w:r>
          </w:p>
        </w:tc>
        <w:tc>
          <w:tcPr>
            <w:tcW w:w="3437" w:type="dxa"/>
          </w:tcPr>
          <w:p w14:paraId="6243F933">
            <w:pPr>
              <w:pStyle w:val="28"/>
              <w:jc w:val="left"/>
              <w:rPr>
                <w:color w:val="auto"/>
              </w:rPr>
            </w:pPr>
            <w:r>
              <w:rPr>
                <w:i/>
                <w:iCs/>
                <w:color w:val="auto"/>
              </w:rPr>
              <w:t>The robot shall be mounted on a gantry-type positioning system that enables robot movement throughout the specified working envelope. The travel of the linear axis may be shorter than 12 m, provided that the required working envelope is achieved through the combined movement of the gantry system and the robot reach.</w:t>
            </w:r>
          </w:p>
        </w:tc>
        <w:tc>
          <w:p w14:paraId="63A58621">
            <w:pPr>
              <w:pStyle w:val="28"/>
              <w:jc w:val="left"/>
              <w:rPr>
                <w:color w:val="auto"/>
              </w:rPr>
            </w:pPr>
            <w:r>
              <w:rPr>
                <w:color w:val="auto"/>
              </w:rPr>
              <w:t>Norādīt sistēmas uzbūvi un kustības diapazonus / State the system configuration and travel ranges</w:t>
            </w:r>
          </w:p>
        </w:tc>
      </w:tr>
      <w:tr w14:paraId="51C6027E">
        <w:tc>
          <w:p w14:paraId="0936242B">
            <w:pPr>
              <w:pStyle w:val="28"/>
              <w:jc w:val="left"/>
              <w:rPr>
                <w:color w:val="auto"/>
              </w:rPr>
            </w:pPr>
            <w:r>
              <w:rPr>
                <w:b/>
                <w:bCs/>
                <w:color w:val="auto"/>
              </w:rPr>
              <w:t>3.1.3</w:t>
            </w:r>
          </w:p>
        </w:tc>
        <w:tc>
          <w:tcPr>
            <w:tcW w:w="3563" w:type="dxa"/>
          </w:tcPr>
          <w:p w14:paraId="47D1EC0B">
            <w:pPr>
              <w:pStyle w:val="28"/>
              <w:jc w:val="left"/>
              <w:rPr>
                <w:color w:val="auto"/>
              </w:rPr>
            </w:pPr>
            <w:r>
              <w:rPr>
                <w:color w:val="auto"/>
              </w:rPr>
              <w:t>Līguma izpildes laikā Izpildītājam jāveic robota sasniedzamības un sadursmju pārbaude. Pirms praktisko pētījumu uzsākšanas jāpārbauda paredzēto testa pozīciju sasniedzamība, un pārbaudes rezultāti jāiekļauj pētījuma dokumentācijā.</w:t>
            </w:r>
          </w:p>
        </w:tc>
        <w:tc>
          <w:tcPr>
            <w:tcW w:w="3437" w:type="dxa"/>
          </w:tcPr>
          <w:p w14:paraId="53574618">
            <w:pPr>
              <w:pStyle w:val="28"/>
              <w:jc w:val="left"/>
              <w:rPr>
                <w:color w:val="auto"/>
                <w:lang w:val="en-US"/>
              </w:rPr>
            </w:pPr>
            <w:r>
              <w:rPr>
                <w:i/>
                <w:iCs/>
                <w:color w:val="auto"/>
                <w:lang w:val="en-US"/>
              </w:rPr>
              <w:t>During the performance of the contract, the Contractor shall perform robot reachability and collision checks. Before the practical research activities commence, the reachability of the intended test positions shall be verified and the results included in the research documentation.</w:t>
            </w:r>
          </w:p>
        </w:tc>
        <w:tc>
          <w:p w14:paraId="6E9EB89F">
            <w:pPr>
              <w:pStyle w:val="28"/>
              <w:jc w:val="left"/>
              <w:rPr>
                <w:color w:val="auto"/>
              </w:rPr>
            </w:pPr>
            <w:r>
              <w:rPr>
                <w:color w:val="auto"/>
              </w:rPr>
              <w:t>Iesniegt izkārtojuma plāna projektu / Submit a draft layout plan</w:t>
            </w:r>
          </w:p>
        </w:tc>
      </w:tr>
    </w:tbl>
    <w:p w14:paraId="52B7EFA4">
      <w:pPr>
        <w:pStyle w:val="3"/>
        <w:rPr>
          <w:color w:val="auto"/>
        </w:rPr>
      </w:pPr>
      <w:r>
        <w:rPr>
          <w:b/>
          <w:bCs/>
          <w:color w:val="auto"/>
        </w:rPr>
        <w:t>3.2 Rūpnieciskais robots / Industrial robot</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74"/>
        <w:gridCol w:w="3426"/>
        <w:gridCol w:w="2900"/>
      </w:tblGrid>
      <w:tr w14:paraId="43516E11">
        <w:trPr>
          <w:tblHeader/>
        </w:trPr>
        <w:tc>
          <w:p w14:paraId="7E13DE32">
            <w:pPr>
              <w:pStyle w:val="28"/>
              <w:jc w:val="left"/>
              <w:rPr>
                <w:color w:val="auto"/>
              </w:rPr>
            </w:pPr>
            <w:r>
              <w:rPr>
                <w:b/>
                <w:bCs/>
                <w:color w:val="auto"/>
              </w:rPr>
              <w:t>Nr.</w:t>
            </w:r>
          </w:p>
        </w:tc>
        <w:tc>
          <w:tcPr>
            <w:tcW w:w="3574" w:type="dxa"/>
          </w:tcPr>
          <w:p w14:paraId="17267538">
            <w:pPr>
              <w:pStyle w:val="28"/>
              <w:jc w:val="left"/>
              <w:rPr>
                <w:color w:val="auto"/>
              </w:rPr>
            </w:pPr>
            <w:r>
              <w:rPr>
                <w:b/>
                <w:bCs/>
                <w:color w:val="auto"/>
              </w:rPr>
              <w:t>Prasība (Latviešu) / Requirement (Latvian)</w:t>
            </w:r>
          </w:p>
        </w:tc>
        <w:tc>
          <w:tcPr>
            <w:tcW w:w="3426" w:type="dxa"/>
          </w:tcPr>
          <w:p w14:paraId="12D97FAF">
            <w:pPr>
              <w:pStyle w:val="28"/>
              <w:jc w:val="left"/>
              <w:rPr>
                <w:color w:val="auto"/>
              </w:rPr>
            </w:pPr>
            <w:r>
              <w:rPr>
                <w:b/>
                <w:bCs/>
                <w:color w:val="auto"/>
              </w:rPr>
              <w:t>Requirement (English)</w:t>
            </w:r>
          </w:p>
        </w:tc>
        <w:tc>
          <w:p w14:paraId="2D93E84C">
            <w:pPr>
              <w:pStyle w:val="28"/>
              <w:jc w:val="left"/>
              <w:rPr>
                <w:color w:val="auto"/>
              </w:rPr>
            </w:pPr>
            <w:r>
              <w:rPr>
                <w:b/>
                <w:bCs/>
                <w:color w:val="auto"/>
              </w:rPr>
              <w:t>Pretendenta atbilstības apraksts / Supplier compliance statement</w:t>
            </w:r>
          </w:p>
        </w:tc>
      </w:tr>
      <w:tr w14:paraId="11F8F737">
        <w:tc>
          <w:p w14:paraId="01A972D4">
            <w:pPr>
              <w:pStyle w:val="28"/>
              <w:jc w:val="left"/>
              <w:rPr>
                <w:color w:val="auto"/>
              </w:rPr>
            </w:pPr>
            <w:r>
              <w:rPr>
                <w:b/>
                <w:bCs/>
                <w:color w:val="auto"/>
              </w:rPr>
              <w:t>3.2.1</w:t>
            </w:r>
          </w:p>
        </w:tc>
        <w:tc>
          <w:tcPr>
            <w:tcW w:w="3574" w:type="dxa"/>
          </w:tcPr>
          <w:p w14:paraId="7241651A">
            <w:pPr>
              <w:pStyle w:val="28"/>
              <w:jc w:val="left"/>
              <w:rPr>
                <w:color w:val="auto"/>
              </w:rPr>
            </w:pPr>
            <w:r>
              <w:rPr>
                <w:color w:val="auto"/>
              </w:rPr>
              <w:t>Pētniecības vidē jāizmanto sešu asu rūpnieciskais robots, kas piemērots robotizētai ekstrūzijas metināšanai. Robotam jābūt piemērotam uzstādīšanai uz portāla tipa pārvietošanas sistēmas.</w:t>
            </w:r>
          </w:p>
        </w:tc>
        <w:tc>
          <w:tcPr>
            <w:tcW w:w="3426" w:type="dxa"/>
          </w:tcPr>
          <w:p w14:paraId="6D2FD7B3">
            <w:pPr>
              <w:pStyle w:val="28"/>
              <w:jc w:val="left"/>
              <w:rPr>
                <w:color w:val="auto"/>
              </w:rPr>
            </w:pPr>
            <w:r>
              <w:rPr>
                <w:i/>
                <w:iCs/>
                <w:color w:val="auto"/>
              </w:rPr>
              <w:t>The research environment shall incorporate a six-axis industrial robot suitable for robotic extrusion welding. The robot shall be suitable for installation on a gantry-type positioning system.</w:t>
            </w:r>
          </w:p>
        </w:tc>
        <w:tc>
          <w:p w14:paraId="4B998D26">
            <w:pPr>
              <w:pStyle w:val="28"/>
              <w:jc w:val="left"/>
              <w:rPr>
                <w:color w:val="auto"/>
              </w:rPr>
            </w:pPr>
            <w:r>
              <w:rPr>
                <w:color w:val="auto"/>
              </w:rPr>
              <w:t>Norādīt robota ražotāju un modeli / State the robot manufacturer and model</w:t>
            </w:r>
          </w:p>
        </w:tc>
      </w:tr>
      <w:tr w14:paraId="4F60164A">
        <w:tc>
          <w:p w14:paraId="0F00D7AA">
            <w:pPr>
              <w:pStyle w:val="28"/>
              <w:jc w:val="left"/>
              <w:rPr>
                <w:color w:val="auto"/>
              </w:rPr>
            </w:pPr>
            <w:r>
              <w:rPr>
                <w:b/>
                <w:bCs/>
                <w:color w:val="auto"/>
              </w:rPr>
              <w:t>3.2.2</w:t>
            </w:r>
          </w:p>
        </w:tc>
        <w:tc>
          <w:tcPr>
            <w:tcW w:w="3574" w:type="dxa"/>
          </w:tcPr>
          <w:p w14:paraId="2FCBC608">
            <w:pPr>
              <w:pStyle w:val="28"/>
              <w:jc w:val="left"/>
              <w:rPr>
                <w:color w:val="auto"/>
              </w:rPr>
            </w:pPr>
            <w:r>
              <w:rPr>
                <w:color w:val="auto"/>
              </w:rPr>
              <w:t>Robota minimālie tehniskie parametri: a) nominālā kravnesība — vismaz 10 kg; b) maksimālā sasniedzamība — vismaz 1 600 mm; c) pozicionēšanas atkārtojamība — ne sliktāka par ±0,1 mm.</w:t>
            </w:r>
          </w:p>
        </w:tc>
        <w:tc>
          <w:tcPr>
            <w:tcW w:w="3426" w:type="dxa"/>
          </w:tcPr>
          <w:p w14:paraId="107642F9">
            <w:pPr>
              <w:pStyle w:val="28"/>
              <w:jc w:val="left"/>
              <w:rPr>
                <w:color w:val="auto"/>
                <w:lang w:val="en-US"/>
              </w:rPr>
            </w:pPr>
            <w:r>
              <w:rPr>
                <w:i/>
                <w:iCs/>
                <w:color w:val="auto"/>
                <w:lang w:val="en-US"/>
              </w:rPr>
              <w:t>The minimum technical parameters of the robot shall be:</w:t>
            </w:r>
            <w:r>
              <w:rPr>
                <w:color w:val="auto"/>
                <w:lang w:val="en-US"/>
              </w:rPr>
              <w:t xml:space="preserve"> </w:t>
            </w:r>
            <w:r>
              <w:rPr>
                <w:i/>
                <w:iCs/>
                <w:color w:val="auto"/>
                <w:lang w:val="en-US"/>
              </w:rPr>
              <w:t>a) rated payload — at least 10 kg;</w:t>
            </w:r>
            <w:r>
              <w:rPr>
                <w:color w:val="auto"/>
                <w:lang w:val="en-US"/>
              </w:rPr>
              <w:t xml:space="preserve"> b) maximum reach — at least 1,600 mm; c) positioning repeatability — not worse than ±0.1 mm.</w:t>
            </w:r>
          </w:p>
        </w:tc>
        <w:tc>
          <w:p w14:paraId="0663076E">
            <w:pPr>
              <w:pStyle w:val="28"/>
              <w:jc w:val="left"/>
              <w:rPr>
                <w:color w:val="auto"/>
              </w:rPr>
            </w:pPr>
            <w:r>
              <w:rPr>
                <w:color w:val="auto"/>
              </w:rPr>
              <w:t>Norādīt tehniskos parametrus / State the technical parameters</w:t>
            </w:r>
          </w:p>
        </w:tc>
      </w:tr>
      <w:tr w14:paraId="03C9455E">
        <w:tc>
          <w:p w14:paraId="4059B573">
            <w:pPr>
              <w:pStyle w:val="28"/>
              <w:jc w:val="left"/>
              <w:rPr>
                <w:color w:val="auto"/>
              </w:rPr>
            </w:pPr>
            <w:r>
              <w:rPr>
                <w:b/>
                <w:bCs/>
                <w:color w:val="auto"/>
              </w:rPr>
              <w:t>3.2.3</w:t>
            </w:r>
          </w:p>
        </w:tc>
        <w:tc>
          <w:tcPr>
            <w:tcW w:w="3574" w:type="dxa"/>
          </w:tcPr>
          <w:p w14:paraId="620BCA40">
            <w:pPr>
              <w:pStyle w:val="28"/>
              <w:jc w:val="left"/>
              <w:rPr>
                <w:color w:val="auto"/>
              </w:rPr>
            </w:pPr>
            <w:r>
              <w:rPr>
                <w:color w:val="auto"/>
              </w:rPr>
              <w:t>Robota vadības sistēmai jānodrošina koordinēta robota, portāla tipa pārvietošanas sistēmas un ekstrūzijas metināšanas instrumenta darbība. Vadības risinājumam jānodrošina robota programmu izpilde, portāla kustību vadība un nepieciešamo procesa signālu apmaiņa.</w:t>
            </w:r>
          </w:p>
        </w:tc>
        <w:tc>
          <w:tcPr>
            <w:tcW w:w="3426" w:type="dxa"/>
          </w:tcPr>
          <w:p w14:paraId="671C50EA">
            <w:pPr>
              <w:pStyle w:val="28"/>
              <w:jc w:val="left"/>
              <w:rPr>
                <w:color w:val="auto"/>
              </w:rPr>
            </w:pPr>
            <w:r>
              <w:rPr>
                <w:i/>
                <w:iCs/>
                <w:color w:val="auto"/>
              </w:rPr>
              <w:t>The robot control system shall provide coordinated operation of the robot, gantry-type positioning system and extrusion welding tool. The control solution shall support robot-program execution, control of gantry movements and the exchange of the required process signals.</w:t>
            </w:r>
          </w:p>
        </w:tc>
        <w:tc>
          <w:p w14:paraId="7465B7C8">
            <w:pPr>
              <w:pStyle w:val="28"/>
              <w:jc w:val="left"/>
              <w:rPr>
                <w:color w:val="auto"/>
              </w:rPr>
            </w:pPr>
            <w:r>
              <w:rPr>
                <w:color w:val="auto"/>
              </w:rPr>
              <w:t>Aprakstīt vadības risinājumu / Describe the control solution</w:t>
            </w:r>
          </w:p>
        </w:tc>
      </w:tr>
    </w:tbl>
    <w:p w14:paraId="2EC15E5D">
      <w:pPr>
        <w:pStyle w:val="3"/>
        <w:rPr>
          <w:color w:val="auto"/>
        </w:rPr>
      </w:pPr>
      <w:r>
        <w:rPr>
          <w:b/>
          <w:bCs/>
          <w:color w:val="auto"/>
        </w:rPr>
        <w:t>3.3 Ekstrūzijas metināšanas instruments / Extrusion welding tool</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74"/>
        <w:gridCol w:w="3426"/>
        <w:gridCol w:w="2900"/>
      </w:tblGrid>
      <w:tr w14:paraId="542048C3">
        <w:trPr>
          <w:tblHeader/>
        </w:trPr>
        <w:tc>
          <w:p w14:paraId="456735CC">
            <w:pPr>
              <w:pStyle w:val="28"/>
              <w:jc w:val="left"/>
              <w:rPr>
                <w:color w:val="auto"/>
              </w:rPr>
            </w:pPr>
            <w:r>
              <w:rPr>
                <w:b/>
                <w:bCs/>
                <w:color w:val="auto"/>
              </w:rPr>
              <w:t>Nr.</w:t>
            </w:r>
          </w:p>
        </w:tc>
        <w:tc>
          <w:tcPr>
            <w:tcW w:w="3574" w:type="dxa"/>
          </w:tcPr>
          <w:p w14:paraId="62A153CA">
            <w:pPr>
              <w:pStyle w:val="28"/>
              <w:jc w:val="left"/>
              <w:rPr>
                <w:color w:val="auto"/>
              </w:rPr>
            </w:pPr>
            <w:r>
              <w:rPr>
                <w:b/>
                <w:bCs/>
                <w:color w:val="auto"/>
              </w:rPr>
              <w:t>Prasība (Latviešu) / Requirement (Latvian)</w:t>
            </w:r>
          </w:p>
        </w:tc>
        <w:tc>
          <w:tcPr>
            <w:tcW w:w="3426" w:type="dxa"/>
          </w:tcPr>
          <w:p w14:paraId="27DF67EA">
            <w:pPr>
              <w:pStyle w:val="28"/>
              <w:jc w:val="left"/>
              <w:rPr>
                <w:color w:val="auto"/>
              </w:rPr>
            </w:pPr>
            <w:r>
              <w:rPr>
                <w:b/>
                <w:bCs/>
                <w:color w:val="auto"/>
              </w:rPr>
              <w:t>Requirement (English)</w:t>
            </w:r>
          </w:p>
        </w:tc>
        <w:tc>
          <w:p w14:paraId="06D8BB5B">
            <w:pPr>
              <w:pStyle w:val="28"/>
              <w:jc w:val="left"/>
              <w:rPr>
                <w:color w:val="auto"/>
              </w:rPr>
            </w:pPr>
            <w:r>
              <w:rPr>
                <w:b/>
                <w:bCs/>
                <w:color w:val="auto"/>
              </w:rPr>
              <w:t>Pretendenta atbilstības apraksts / Supplier compliance statement</w:t>
            </w:r>
          </w:p>
        </w:tc>
      </w:tr>
      <w:tr w14:paraId="7FBF8149">
        <w:tc>
          <w:p w14:paraId="6CCFB22E">
            <w:pPr>
              <w:pStyle w:val="28"/>
              <w:jc w:val="left"/>
              <w:rPr>
                <w:color w:val="auto"/>
              </w:rPr>
            </w:pPr>
            <w:r>
              <w:rPr>
                <w:b/>
                <w:bCs/>
                <w:color w:val="auto"/>
              </w:rPr>
              <w:t>3.3.1</w:t>
            </w:r>
          </w:p>
        </w:tc>
        <w:tc>
          <w:tcPr>
            <w:tcW w:w="3574" w:type="dxa"/>
          </w:tcPr>
          <w:p w14:paraId="5B6BB629">
            <w:pPr>
              <w:pStyle w:val="28"/>
              <w:jc w:val="left"/>
              <w:rPr>
                <w:color w:val="auto"/>
              </w:rPr>
            </w:pPr>
            <w:r>
              <w:rPr>
                <w:color w:val="auto"/>
              </w:rPr>
              <w:t>Robotizētajai ekstrūzijas metināšanai jāizmanto instruments, kas piemērots HDPE metināšanai ar 3 mm un 4 mm diametra metināšanas stiepli un uzstādīšanai uz rūpnieciskā robota.</w:t>
            </w:r>
          </w:p>
        </w:tc>
        <w:tc>
          <w:tcPr>
            <w:tcW w:w="3426" w:type="dxa"/>
          </w:tcPr>
          <w:p w14:paraId="4367A385">
            <w:pPr>
              <w:pStyle w:val="28"/>
              <w:jc w:val="left"/>
              <w:rPr>
                <w:color w:val="auto"/>
              </w:rPr>
            </w:pPr>
            <w:r>
              <w:rPr>
                <w:i/>
                <w:iCs/>
                <w:color w:val="auto"/>
              </w:rPr>
              <w:t>The robotic extrusion welding process shall use a tool suitable for welding HDPE with welding rods of 3 mm and 4 mm in diameter and for mounting on an industrial robot.</w:t>
            </w:r>
          </w:p>
        </w:tc>
        <w:tc>
          <w:p w14:paraId="1D7B5E8C">
            <w:pPr>
              <w:pStyle w:val="28"/>
              <w:jc w:val="left"/>
              <w:rPr>
                <w:color w:val="auto"/>
              </w:rPr>
            </w:pPr>
            <w:r>
              <w:rPr>
                <w:color w:val="auto"/>
              </w:rPr>
              <w:t>Norādīt ražotāju un modeli / State the manufacturer and model</w:t>
            </w:r>
          </w:p>
        </w:tc>
      </w:tr>
      <w:tr w14:paraId="2413937D">
        <w:tc>
          <w:p w14:paraId="7BA782B5">
            <w:pPr>
              <w:pStyle w:val="28"/>
              <w:jc w:val="left"/>
              <w:rPr>
                <w:color w:val="auto"/>
              </w:rPr>
            </w:pPr>
            <w:r>
              <w:rPr>
                <w:b/>
                <w:bCs/>
                <w:color w:val="auto"/>
              </w:rPr>
              <w:t>3.3.2</w:t>
            </w:r>
          </w:p>
        </w:tc>
        <w:tc>
          <w:tcPr>
            <w:tcW w:w="3574" w:type="dxa"/>
          </w:tcPr>
          <w:p w14:paraId="3194813D">
            <w:pPr>
              <w:pStyle w:val="28"/>
              <w:jc w:val="left"/>
              <w:rPr>
                <w:color w:val="auto"/>
              </w:rPr>
            </w:pPr>
            <w:r>
              <w:rPr>
                <w:color w:val="auto"/>
              </w:rPr>
              <w:t>Ekstrūzijas metināšanas instrumenta ražotāja norādītajai maksimālajai materiāla padeves ražībai jābūt vismaz 2,5 kg/h, bet instrumenta masai — ne vairāk kā 5 kg.</w:t>
            </w:r>
          </w:p>
        </w:tc>
        <w:tc>
          <w:tcPr>
            <w:tcW w:w="3426" w:type="dxa"/>
          </w:tcPr>
          <w:p w14:paraId="173FDA96">
            <w:pPr>
              <w:pStyle w:val="28"/>
              <w:jc w:val="left"/>
              <w:rPr>
                <w:color w:val="auto"/>
              </w:rPr>
            </w:pPr>
            <w:r>
              <w:rPr>
                <w:i/>
                <w:iCs/>
                <w:color w:val="auto"/>
              </w:rPr>
              <w:t>The manufacturer-declared maximum material output of the extrusion welding tool shall be at least 2.5 kg/h, while the tool weight shall not exceed 5 kg.</w:t>
            </w:r>
          </w:p>
        </w:tc>
        <w:tc>
          <w:p w14:paraId="226869C8">
            <w:pPr>
              <w:pStyle w:val="28"/>
              <w:jc w:val="left"/>
              <w:rPr>
                <w:color w:val="auto"/>
              </w:rPr>
            </w:pPr>
            <w:r>
              <w:rPr>
                <w:color w:val="auto"/>
              </w:rPr>
              <w:t>Norādīt materiāla padeves ražību un instrumenta masu / State the material output and tool weight</w:t>
            </w:r>
          </w:p>
        </w:tc>
      </w:tr>
      <w:tr w14:paraId="7DD90CFA">
        <w:tc>
          <w:p w14:paraId="70D1CB3C">
            <w:pPr>
              <w:pStyle w:val="28"/>
              <w:jc w:val="left"/>
              <w:rPr>
                <w:color w:val="auto"/>
              </w:rPr>
            </w:pPr>
            <w:r>
              <w:rPr>
                <w:b/>
                <w:bCs/>
                <w:color w:val="auto"/>
              </w:rPr>
              <w:t>3.3.3</w:t>
            </w:r>
          </w:p>
        </w:tc>
        <w:tc>
          <w:tcPr>
            <w:tcW w:w="3574" w:type="dxa"/>
          </w:tcPr>
          <w:p w14:paraId="124582B7">
            <w:pPr>
              <w:pStyle w:val="28"/>
              <w:jc w:val="left"/>
              <w:rPr>
                <w:color w:val="auto"/>
              </w:rPr>
            </w:pPr>
            <w:r>
              <w:rPr>
                <w:color w:val="auto"/>
              </w:rPr>
              <w:t>Ekstrūzijas metināšanas instrumentam jābūt integrējamam kopējā vadības sistēmā. Vadības sistēmai jānodrošina vismaz darba temperatūras iestatīšana, instrumenta ieslēgšana un izslēgšana, kā arī materiāla padeves ātruma regulēšana.</w:t>
            </w:r>
          </w:p>
        </w:tc>
        <w:tc>
          <w:tcPr>
            <w:tcW w:w="3426" w:type="dxa"/>
          </w:tcPr>
          <w:p w14:paraId="27023AE6">
            <w:pPr>
              <w:pStyle w:val="28"/>
              <w:jc w:val="left"/>
              <w:rPr>
                <w:color w:val="auto"/>
              </w:rPr>
            </w:pPr>
            <w:r>
              <w:rPr>
                <w:i/>
                <w:iCs/>
                <w:color w:val="auto"/>
              </w:rPr>
              <w:t>The extrusion welding tool shall be capable of integration into the overall control system. The control system shall provide, as a minimum, setting of the operating temperature, switching the tool on and off, and adjustment of the material feed rate.</w:t>
            </w:r>
          </w:p>
        </w:tc>
        <w:tc>
          <w:p w14:paraId="3CC5676D">
            <w:pPr>
              <w:pStyle w:val="28"/>
              <w:jc w:val="left"/>
              <w:rPr>
                <w:color w:val="auto"/>
              </w:rPr>
            </w:pPr>
            <w:r>
              <w:rPr>
                <w:color w:val="auto"/>
              </w:rPr>
              <w:t>Aprakstīt vadības un integrācijas risinājumu / Describe the control and integration solution</w:t>
            </w:r>
          </w:p>
        </w:tc>
      </w:tr>
    </w:tbl>
    <w:p w14:paraId="1BA64368">
      <w:pPr>
        <w:pStyle w:val="3"/>
        <w:rPr>
          <w:color w:val="auto"/>
        </w:rPr>
      </w:pPr>
      <w:r>
        <w:rPr>
          <w:b/>
          <w:bCs/>
          <w:color w:val="auto"/>
        </w:rPr>
        <w:t>3.4 Virsmas apstrādes tehnoloģijas / Surface-treatment technologies</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74"/>
        <w:gridCol w:w="3426"/>
        <w:gridCol w:w="2900"/>
      </w:tblGrid>
      <w:tr w14:paraId="40377FBC">
        <w:trPr>
          <w:tblHeader/>
        </w:trPr>
        <w:tc>
          <w:p w14:paraId="0263D962">
            <w:pPr>
              <w:pStyle w:val="28"/>
              <w:jc w:val="left"/>
              <w:rPr>
                <w:color w:val="auto"/>
              </w:rPr>
            </w:pPr>
            <w:r>
              <w:rPr>
                <w:b/>
                <w:bCs/>
                <w:color w:val="auto"/>
              </w:rPr>
              <w:t>Nr.</w:t>
            </w:r>
          </w:p>
        </w:tc>
        <w:tc>
          <w:tcPr>
            <w:tcW w:w="3574" w:type="dxa"/>
          </w:tcPr>
          <w:p w14:paraId="00169951">
            <w:pPr>
              <w:pStyle w:val="28"/>
              <w:jc w:val="left"/>
              <w:rPr>
                <w:color w:val="auto"/>
              </w:rPr>
            </w:pPr>
            <w:r>
              <w:rPr>
                <w:b/>
                <w:bCs/>
                <w:color w:val="auto"/>
              </w:rPr>
              <w:t>Prasība (Latviešu) / Requirement (Latvian)</w:t>
            </w:r>
          </w:p>
        </w:tc>
        <w:tc>
          <w:tcPr>
            <w:tcW w:w="3426" w:type="dxa"/>
          </w:tcPr>
          <w:p w14:paraId="065D348B">
            <w:pPr>
              <w:pStyle w:val="28"/>
              <w:jc w:val="left"/>
              <w:rPr>
                <w:color w:val="auto"/>
              </w:rPr>
            </w:pPr>
            <w:r>
              <w:rPr>
                <w:b/>
                <w:bCs/>
                <w:color w:val="auto"/>
              </w:rPr>
              <w:t>Requirement (English)</w:t>
            </w:r>
          </w:p>
        </w:tc>
        <w:tc>
          <w:p w14:paraId="15DF041E">
            <w:pPr>
              <w:pStyle w:val="28"/>
              <w:jc w:val="left"/>
              <w:rPr>
                <w:color w:val="auto"/>
              </w:rPr>
            </w:pPr>
            <w:r>
              <w:rPr>
                <w:b/>
                <w:bCs/>
                <w:color w:val="auto"/>
              </w:rPr>
              <w:t>Pretendenta atbilstības apraksts / Supplier compliance statement</w:t>
            </w:r>
          </w:p>
        </w:tc>
      </w:tr>
      <w:tr w14:paraId="3DB56C03">
        <w:tc>
          <w:p w14:paraId="3CDD9FB6">
            <w:pPr>
              <w:pStyle w:val="28"/>
              <w:jc w:val="left"/>
              <w:rPr>
                <w:color w:val="auto"/>
              </w:rPr>
            </w:pPr>
            <w:r>
              <w:rPr>
                <w:b/>
                <w:bCs/>
                <w:color w:val="auto"/>
              </w:rPr>
              <w:t>3.4.1</w:t>
            </w:r>
          </w:p>
        </w:tc>
        <w:tc>
          <w:tcPr>
            <w:tcW w:w="3574" w:type="dxa"/>
          </w:tcPr>
          <w:p w14:paraId="2AC8963F">
            <w:pPr>
              <w:pStyle w:val="28"/>
              <w:jc w:val="left"/>
              <w:rPr>
                <w:color w:val="auto"/>
              </w:rPr>
            </w:pPr>
            <w:r>
              <w:rPr>
                <w:color w:val="auto"/>
              </w:rPr>
              <w:t>DAĻĀ 1 noteikto pētījuma testu veikšanai Izpildītājam pētījuma norises vietā jānodrošina HDPE virsmas mehāniskās abrazīvās apstrādes un lāzera apstrādes tehnoloģiju pieejamība.</w:t>
            </w:r>
          </w:p>
        </w:tc>
        <w:tc>
          <w:tcPr>
            <w:tcW w:w="3426" w:type="dxa"/>
          </w:tcPr>
          <w:p w14:paraId="79DD27D7">
            <w:pPr>
              <w:pStyle w:val="28"/>
              <w:jc w:val="left"/>
              <w:rPr>
                <w:color w:val="auto"/>
              </w:rPr>
            </w:pPr>
            <w:r>
              <w:rPr>
                <w:i/>
                <w:iCs/>
                <w:color w:val="auto"/>
              </w:rPr>
              <w:t>For the performance of the research tests specified in PART 1, the Contractor shall make available at the research site mechanical abrasive-treatment and laser-treatment technologies suitable for HDPE surfaces.</w:t>
            </w:r>
          </w:p>
        </w:tc>
        <w:tc>
          <w:p w14:paraId="7719CA81">
            <w:pPr>
              <w:pStyle w:val="28"/>
              <w:jc w:val="left"/>
              <w:rPr>
                <w:color w:val="auto"/>
              </w:rPr>
            </w:pPr>
            <w:r>
              <w:rPr>
                <w:color w:val="auto"/>
              </w:rPr>
              <w:t>Aprakstīt piedāvātās virsmas apstrādes tehnoloģijas / Describe the proposed surface-treatment technologies</w:t>
            </w:r>
          </w:p>
        </w:tc>
      </w:tr>
      <w:tr w14:paraId="02F6566A">
        <w:tc>
          <w:p w14:paraId="30F30D88">
            <w:pPr>
              <w:pStyle w:val="28"/>
              <w:jc w:val="left"/>
              <w:rPr>
                <w:color w:val="auto"/>
              </w:rPr>
            </w:pPr>
            <w:r>
              <w:rPr>
                <w:b/>
                <w:bCs/>
                <w:color w:val="auto"/>
              </w:rPr>
              <w:t>3.4.2</w:t>
            </w:r>
          </w:p>
        </w:tc>
        <w:tc>
          <w:tcPr>
            <w:tcW w:w="3574" w:type="dxa"/>
          </w:tcPr>
          <w:p w14:paraId="326B8026">
            <w:pPr>
              <w:pStyle w:val="28"/>
              <w:jc w:val="left"/>
              <w:rPr>
                <w:color w:val="auto"/>
              </w:rPr>
            </w:pPr>
            <w:r>
              <w:rPr>
                <w:color w:val="auto"/>
              </w:rPr>
              <w:t>Katram virsmas apstrādes veidam jānodrošina izmantoto procesa parametru iestatīšana un dokumentēšana tādā apjomā, lai nodrošinātu pētījuma testu nosacījumu izsekojamību un testu atkārtojamību.</w:t>
            </w:r>
          </w:p>
        </w:tc>
        <w:tc>
          <w:tcPr>
            <w:tcW w:w="3426" w:type="dxa"/>
          </w:tcPr>
          <w:p w14:paraId="556513B2">
            <w:pPr>
              <w:pStyle w:val="28"/>
              <w:jc w:val="left"/>
              <w:rPr>
                <w:color w:val="auto"/>
              </w:rPr>
            </w:pPr>
            <w:r>
              <w:rPr>
                <w:i/>
                <w:iCs/>
                <w:color w:val="auto"/>
              </w:rPr>
              <w:t>For each surface-treatment method, the applied process parameters shall be adjustable and documented to an extent sufficient to ensure the traceability of the research-test conditions and the repeatability of the tests.</w:t>
            </w:r>
          </w:p>
        </w:tc>
        <w:tc>
          <w:p w14:paraId="3DEFD930">
            <w:pPr>
              <w:pStyle w:val="28"/>
              <w:jc w:val="left"/>
              <w:rPr>
                <w:color w:val="auto"/>
              </w:rPr>
            </w:pPr>
            <w:r>
              <w:rPr>
                <w:color w:val="auto"/>
              </w:rPr>
              <w:t>Norādīt regulējamos un dokumentējamos parametrus / State the adjustable and documented parameters</w:t>
            </w:r>
          </w:p>
        </w:tc>
      </w:tr>
    </w:tbl>
    <w:p w14:paraId="62AB86C8">
      <w:pPr>
        <w:pStyle w:val="3"/>
        <w:rPr>
          <w:color w:val="auto"/>
        </w:rPr>
      </w:pPr>
      <w:r>
        <w:rPr>
          <w:b/>
          <w:bCs/>
          <w:color w:val="auto"/>
        </w:rPr>
        <w:t>3.5 Adaptīvā metināšanas trajektorijas vadība un šuves izsekošana / Adaptive welding-path control and seam tracking</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74"/>
        <w:gridCol w:w="3426"/>
        <w:gridCol w:w="2900"/>
      </w:tblGrid>
      <w:tr w14:paraId="36120C54">
        <w:trPr>
          <w:tblHeader/>
        </w:trPr>
        <w:tc>
          <w:p w14:paraId="21E2527D">
            <w:pPr>
              <w:pStyle w:val="28"/>
              <w:jc w:val="left"/>
              <w:rPr>
                <w:color w:val="auto"/>
              </w:rPr>
            </w:pPr>
            <w:r>
              <w:rPr>
                <w:b/>
                <w:bCs/>
                <w:color w:val="auto"/>
              </w:rPr>
              <w:t>Nr.</w:t>
            </w:r>
          </w:p>
        </w:tc>
        <w:tc>
          <w:tcPr>
            <w:tcW w:w="3574" w:type="dxa"/>
          </w:tcPr>
          <w:p w14:paraId="5B77CAEF">
            <w:pPr>
              <w:pStyle w:val="28"/>
              <w:jc w:val="left"/>
              <w:rPr>
                <w:color w:val="auto"/>
              </w:rPr>
            </w:pPr>
            <w:r>
              <w:rPr>
                <w:b/>
                <w:bCs/>
                <w:color w:val="auto"/>
              </w:rPr>
              <w:t>Prasība (Latviešu) / Requirement (Latvian)</w:t>
            </w:r>
          </w:p>
        </w:tc>
        <w:tc>
          <w:tcPr>
            <w:tcW w:w="3426" w:type="dxa"/>
          </w:tcPr>
          <w:p w14:paraId="64E2A56E">
            <w:pPr>
              <w:pStyle w:val="28"/>
              <w:jc w:val="left"/>
              <w:rPr>
                <w:color w:val="auto"/>
              </w:rPr>
            </w:pPr>
            <w:r>
              <w:rPr>
                <w:b/>
                <w:bCs/>
                <w:color w:val="auto"/>
              </w:rPr>
              <w:t>Requirement (English)</w:t>
            </w:r>
          </w:p>
        </w:tc>
        <w:tc>
          <w:p w14:paraId="32B13FB7">
            <w:pPr>
              <w:pStyle w:val="28"/>
              <w:jc w:val="left"/>
              <w:rPr>
                <w:color w:val="auto"/>
              </w:rPr>
            </w:pPr>
            <w:r>
              <w:rPr>
                <w:b/>
                <w:bCs/>
                <w:color w:val="auto"/>
              </w:rPr>
              <w:t>Pretendenta atbilstības apraksts / Supplier compliance statement</w:t>
            </w:r>
          </w:p>
        </w:tc>
      </w:tr>
      <w:tr w14:paraId="4B6D0565">
        <w:tc>
          <w:p w14:paraId="63B43CA5">
            <w:pPr>
              <w:pStyle w:val="28"/>
              <w:jc w:val="left"/>
              <w:rPr>
                <w:color w:val="auto"/>
              </w:rPr>
            </w:pPr>
            <w:r>
              <w:rPr>
                <w:b/>
                <w:bCs/>
                <w:color w:val="auto"/>
              </w:rPr>
              <w:t>3.5.1</w:t>
            </w:r>
          </w:p>
        </w:tc>
        <w:tc>
          <w:tcPr>
            <w:tcW w:w="3574" w:type="dxa"/>
          </w:tcPr>
          <w:p w14:paraId="158ABBAD">
            <w:pPr>
              <w:pStyle w:val="28"/>
              <w:jc w:val="left"/>
            </w:pPr>
            <w:r>
              <w:rPr>
                <w:color w:val="auto"/>
              </w:rPr>
              <w:t xml:space="preserve">Robotam jābūt aprīkotam ar sistēmu, kas nosaka šuves atrašanās vietu un metināšanas laikā seko tās trajektorijai. </w:t>
            </w:r>
          </w:p>
        </w:tc>
        <w:tc>
          <w:tcPr>
            <w:tcW w:w="3426" w:type="dxa"/>
          </w:tcPr>
          <w:p w14:paraId="090E68FE">
            <w:pPr>
              <w:pStyle w:val="28"/>
              <w:jc w:val="left"/>
            </w:pPr>
            <w:r>
              <w:rPr>
                <w:i/>
                <w:iCs/>
                <w:color w:val="auto"/>
              </w:rPr>
              <w:t>The robot shall be equipped with a system that detects the seam position and tracks its path during welding.</w:t>
            </w:r>
          </w:p>
        </w:tc>
        <w:tc>
          <w:p w14:paraId="17E55697">
            <w:pPr>
              <w:pStyle w:val="28"/>
              <w:jc w:val="left"/>
              <w:rPr>
                <w:color w:val="auto"/>
              </w:rPr>
            </w:pPr>
            <w:r>
              <w:rPr>
                <w:color w:val="auto"/>
              </w:rPr>
              <w:t>Norādīt darbības principu un galvenos tehniskos parametrus / State the operating principle and key technical parameters</w:t>
            </w:r>
          </w:p>
        </w:tc>
      </w:tr>
      <w:tr w14:paraId="2E497963">
        <w:tc>
          <w:p w14:paraId="42CDFC1F">
            <w:pPr>
              <w:pStyle w:val="28"/>
              <w:jc w:val="left"/>
              <w:rPr>
                <w:color w:val="auto"/>
              </w:rPr>
            </w:pPr>
            <w:r>
              <w:rPr>
                <w:b/>
                <w:bCs/>
                <w:color w:val="auto"/>
              </w:rPr>
              <w:t>3.5.2</w:t>
            </w:r>
          </w:p>
        </w:tc>
        <w:tc>
          <w:tcPr>
            <w:tcW w:w="3574" w:type="dxa"/>
          </w:tcPr>
          <w:p w14:paraId="5634207F">
            <w:pPr>
              <w:pStyle w:val="28"/>
              <w:jc w:val="left"/>
              <w:rPr>
                <w:color w:val="auto"/>
              </w:rPr>
            </w:pPr>
            <w:r>
              <w:rPr>
                <w:color w:val="auto"/>
              </w:rPr>
              <w:t>Sistēmai pirms metināšanas automātiski jānosaka sagataves sākumpunkts un šuves sākuma pozīcija.</w:t>
            </w:r>
          </w:p>
        </w:tc>
        <w:tc>
          <w:tcPr>
            <w:tcW w:w="3426" w:type="dxa"/>
          </w:tcPr>
          <w:p w14:paraId="5F4F0BDB">
            <w:pPr>
              <w:pStyle w:val="28"/>
              <w:jc w:val="left"/>
              <w:rPr>
                <w:color w:val="auto"/>
              </w:rPr>
            </w:pPr>
            <w:r>
              <w:rPr>
                <w:i/>
                <w:iCs/>
                <w:color w:val="auto"/>
              </w:rPr>
              <w:t>Before welding, the system shall automatically locate the workpiece start point and the seam start position.</w:t>
            </w:r>
          </w:p>
        </w:tc>
        <w:tc>
          <w:p w14:paraId="54A9B1F2">
            <w:pPr>
              <w:pStyle w:val="28"/>
              <w:jc w:val="left"/>
              <w:rPr>
                <w:color w:val="auto"/>
              </w:rPr>
            </w:pPr>
            <w:r>
              <w:rPr>
                <w:color w:val="auto"/>
              </w:rPr>
              <w:t>Atbilst / Complies</w:t>
            </w:r>
          </w:p>
        </w:tc>
      </w:tr>
    </w:tbl>
    <w:p w14:paraId="272D5501">
      <w:pPr>
        <w:pStyle w:val="3"/>
        <w:rPr>
          <w:color w:val="auto"/>
        </w:rPr>
      </w:pPr>
      <w:r>
        <w:rPr>
          <w:b/>
          <w:bCs/>
          <w:color w:val="auto"/>
        </w:rPr>
        <w:t>4. VADĪBA, DIGITĀLAIS DVĪNIS UN EDGE VIDE</w:t>
      </w:r>
    </w:p>
    <w:p w14:paraId="64CCFD2B">
      <w:pPr>
        <w:pStyle w:val="3"/>
        <w:rPr>
          <w:color w:val="auto"/>
        </w:rPr>
      </w:pPr>
      <w:r>
        <w:rPr>
          <w:b/>
          <w:bCs/>
          <w:i/>
          <w:iCs/>
          <w:color w:val="auto"/>
        </w:rPr>
        <w:t>4. CONTROL, DIGITAL TWIN AND EDGE ENVIRONMENT</w:t>
      </w:r>
    </w:p>
    <w:p w14:paraId="29E416D7">
      <w:pPr>
        <w:pStyle w:val="3"/>
        <w:rPr>
          <w:color w:val="auto"/>
        </w:rPr>
      </w:pPr>
      <w:r>
        <w:rPr>
          <w:b/>
          <w:bCs/>
          <w:color w:val="auto"/>
        </w:rPr>
        <w:t>4.1 Procesa parametru vadība / Process-parameter control</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74"/>
        <w:gridCol w:w="3426"/>
        <w:gridCol w:w="2900"/>
      </w:tblGrid>
      <w:tr w14:paraId="7E8BD00F">
        <w:trPr>
          <w:tblHeader/>
        </w:trPr>
        <w:tc>
          <w:p w14:paraId="313C9A8E">
            <w:pPr>
              <w:pStyle w:val="28"/>
              <w:jc w:val="left"/>
              <w:rPr>
                <w:color w:val="auto"/>
              </w:rPr>
            </w:pPr>
            <w:r>
              <w:rPr>
                <w:b/>
                <w:bCs/>
                <w:color w:val="auto"/>
              </w:rPr>
              <w:t>Nr.</w:t>
            </w:r>
          </w:p>
        </w:tc>
        <w:tc>
          <w:tcPr>
            <w:tcW w:w="3574" w:type="dxa"/>
          </w:tcPr>
          <w:p w14:paraId="0F6B281B">
            <w:pPr>
              <w:pStyle w:val="28"/>
              <w:jc w:val="left"/>
              <w:rPr>
                <w:color w:val="auto"/>
              </w:rPr>
            </w:pPr>
            <w:r>
              <w:rPr>
                <w:b/>
                <w:bCs/>
                <w:color w:val="auto"/>
              </w:rPr>
              <w:t>Prasība (Latviešu) / Requirement (Latvian)</w:t>
            </w:r>
          </w:p>
        </w:tc>
        <w:tc>
          <w:tcPr>
            <w:tcW w:w="3426" w:type="dxa"/>
          </w:tcPr>
          <w:p w14:paraId="10A2DE7A">
            <w:pPr>
              <w:pStyle w:val="28"/>
              <w:jc w:val="left"/>
              <w:rPr>
                <w:color w:val="auto"/>
              </w:rPr>
            </w:pPr>
            <w:r>
              <w:rPr>
                <w:b/>
                <w:bCs/>
                <w:color w:val="auto"/>
              </w:rPr>
              <w:t>Requirement (English)</w:t>
            </w:r>
          </w:p>
        </w:tc>
        <w:tc>
          <w:p w14:paraId="4A893975">
            <w:pPr>
              <w:pStyle w:val="28"/>
              <w:jc w:val="left"/>
              <w:rPr>
                <w:color w:val="auto"/>
              </w:rPr>
            </w:pPr>
            <w:r>
              <w:rPr>
                <w:b/>
                <w:bCs/>
                <w:color w:val="auto"/>
              </w:rPr>
              <w:t>Pretendenta atbilstības apraksts / Supplier compliance statement</w:t>
            </w:r>
          </w:p>
        </w:tc>
      </w:tr>
      <w:tr w14:paraId="7BFC15D6">
        <w:tc>
          <w:p w14:paraId="6AF28E89">
            <w:pPr>
              <w:pStyle w:val="28"/>
              <w:jc w:val="left"/>
              <w:rPr>
                <w:color w:val="auto"/>
              </w:rPr>
            </w:pPr>
            <w:r>
              <w:rPr>
                <w:b/>
                <w:bCs/>
                <w:color w:val="auto"/>
              </w:rPr>
              <w:t>4.1.1</w:t>
            </w:r>
          </w:p>
        </w:tc>
        <w:tc>
          <w:tcPr>
            <w:tcW w:w="3574" w:type="dxa"/>
          </w:tcPr>
          <w:p w14:paraId="1A9CBF37">
            <w:pPr>
              <w:pStyle w:val="28"/>
              <w:jc w:val="left"/>
              <w:rPr>
                <w:color w:val="auto"/>
              </w:rPr>
            </w:pPr>
            <w:r>
              <w:rPr>
                <w:color w:val="auto"/>
              </w:rPr>
              <w:t>Vadības sistēmai jānodrošina robota kustības, metināšanas temperatūras, materiāla padeves ātruma un citu pētījuma veikšanai nepieciešamo procesa parametru iestatīšana un uzraudzība. Sistēmā jāattēlo aktuālie parametri, darbības stāvoklis un kļūdu paziņojumi.</w:t>
            </w:r>
          </w:p>
        </w:tc>
        <w:tc>
          <w:tcPr>
            <w:tcW w:w="3426" w:type="dxa"/>
          </w:tcPr>
          <w:p w14:paraId="718F6B2B">
            <w:pPr>
              <w:pStyle w:val="28"/>
              <w:jc w:val="left"/>
              <w:rPr>
                <w:color w:val="auto"/>
              </w:rPr>
            </w:pPr>
            <w:r>
              <w:rPr>
                <w:i/>
                <w:iCs/>
                <w:color w:val="auto"/>
              </w:rPr>
              <w:t>The control system shall enable the setting and monitoring of robot motion, welding temperature, material feed rate and other process parameters required for the research. The system shall display the current parameters, operating status and fault messages.</w:t>
            </w:r>
          </w:p>
        </w:tc>
        <w:tc>
          <w:p w14:paraId="556037D0">
            <w:pPr>
              <w:pStyle w:val="28"/>
              <w:jc w:val="left"/>
              <w:rPr>
                <w:color w:val="auto"/>
              </w:rPr>
            </w:pPr>
            <w:r>
              <w:rPr>
                <w:color w:val="auto"/>
              </w:rPr>
              <w:t>Aprakstīt procesa parametru vadības risinājumu / Describe the process-parameter control solution</w:t>
            </w:r>
          </w:p>
        </w:tc>
      </w:tr>
      <w:tr w14:paraId="2F47D899">
        <w:tc>
          <w:p w14:paraId="0605A8A0">
            <w:pPr>
              <w:pStyle w:val="28"/>
              <w:jc w:val="left"/>
              <w:rPr>
                <w:color w:val="auto"/>
              </w:rPr>
            </w:pPr>
            <w:r>
              <w:rPr>
                <w:b/>
                <w:bCs/>
                <w:color w:val="auto"/>
              </w:rPr>
              <w:t>4.1.2</w:t>
            </w:r>
          </w:p>
        </w:tc>
        <w:tc>
          <w:tcPr>
            <w:tcW w:w="3574" w:type="dxa"/>
          </w:tcPr>
          <w:p w14:paraId="6253A959">
            <w:pPr>
              <w:pStyle w:val="28"/>
              <w:jc w:val="left"/>
              <w:rPr>
                <w:color w:val="auto"/>
              </w:rPr>
            </w:pPr>
            <w:r>
              <w:rPr>
                <w:color w:val="auto"/>
              </w:rPr>
              <w:t>Vadības sistēmai jānodrošina pētījumā izmantojamo procesa parametru kopu saglabāšana, atkārtota izmantošana un veikto izmaiņu dokumentēšana. Saglabātajos datos jāietver vismaz robota kustības ātrums, metināšanas temperatūra un materiāla padeves ātrums.</w:t>
            </w:r>
          </w:p>
        </w:tc>
        <w:tc>
          <w:tcPr>
            <w:tcW w:w="3426" w:type="dxa"/>
          </w:tcPr>
          <w:p w14:paraId="5E3F520A">
            <w:pPr>
              <w:pStyle w:val="28"/>
              <w:jc w:val="left"/>
              <w:rPr>
                <w:color w:val="auto"/>
              </w:rPr>
            </w:pPr>
            <w:r>
              <w:rPr>
                <w:i/>
                <w:iCs/>
                <w:color w:val="auto"/>
              </w:rPr>
              <w:t>The control system shall enable sets of process parameters used in the research to be saved, reused and documented when changes are made. The stored data shall include, as a minimum, robot travel speed, welding temperature and material feed rate.</w:t>
            </w:r>
          </w:p>
        </w:tc>
        <w:tc>
          <w:p w14:paraId="628B7478">
            <w:pPr>
              <w:pStyle w:val="28"/>
              <w:jc w:val="left"/>
              <w:rPr>
                <w:color w:val="auto"/>
              </w:rPr>
            </w:pPr>
            <w:r>
              <w:rPr>
                <w:color w:val="auto"/>
              </w:rPr>
              <w:t>Aprakstīt parametru saglabāšanas un dokumentēšanas risinājumu / Describe the parameter storage and documentation solution</w:t>
            </w:r>
          </w:p>
        </w:tc>
      </w:tr>
    </w:tbl>
    <w:p w14:paraId="5D14CD1E">
      <w:pPr>
        <w:pStyle w:val="3"/>
        <w:rPr>
          <w:color w:val="auto"/>
        </w:rPr>
      </w:pPr>
      <w:r>
        <w:rPr>
          <w:b/>
          <w:bCs/>
          <w:color w:val="auto"/>
        </w:rPr>
        <w:t>4.2 Digitālais dvīnis un bezsaistes programmēšana / Digital twin and offline programming</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74"/>
        <w:gridCol w:w="3426"/>
        <w:gridCol w:w="2900"/>
      </w:tblGrid>
      <w:tr w14:paraId="03F2375A">
        <w:trPr>
          <w:tblHeader/>
        </w:trPr>
        <w:tc>
          <w:p w14:paraId="30436E28">
            <w:pPr>
              <w:pStyle w:val="28"/>
              <w:jc w:val="left"/>
              <w:rPr>
                <w:color w:val="auto"/>
              </w:rPr>
            </w:pPr>
            <w:r>
              <w:rPr>
                <w:b/>
                <w:bCs/>
                <w:color w:val="auto"/>
              </w:rPr>
              <w:t>Nr.</w:t>
            </w:r>
          </w:p>
        </w:tc>
        <w:tc>
          <w:tcPr>
            <w:tcW w:w="3574" w:type="dxa"/>
          </w:tcPr>
          <w:p w14:paraId="571532E3">
            <w:pPr>
              <w:pStyle w:val="28"/>
              <w:jc w:val="left"/>
              <w:rPr>
                <w:color w:val="auto"/>
              </w:rPr>
            </w:pPr>
            <w:r>
              <w:rPr>
                <w:b/>
                <w:bCs/>
                <w:color w:val="auto"/>
              </w:rPr>
              <w:t>Prasība (Latviešu) / Requirement (Latvian)</w:t>
            </w:r>
          </w:p>
        </w:tc>
        <w:tc>
          <w:tcPr>
            <w:tcW w:w="3426" w:type="dxa"/>
          </w:tcPr>
          <w:p w14:paraId="134BD9D4">
            <w:pPr>
              <w:pStyle w:val="28"/>
              <w:jc w:val="left"/>
              <w:rPr>
                <w:color w:val="auto"/>
              </w:rPr>
            </w:pPr>
            <w:r>
              <w:rPr>
                <w:b/>
                <w:bCs/>
                <w:color w:val="auto"/>
              </w:rPr>
              <w:t>Requirement (English)</w:t>
            </w:r>
          </w:p>
        </w:tc>
        <w:tc>
          <w:p w14:paraId="45BF3BB1">
            <w:pPr>
              <w:pStyle w:val="28"/>
              <w:jc w:val="left"/>
              <w:rPr>
                <w:color w:val="auto"/>
              </w:rPr>
            </w:pPr>
            <w:r>
              <w:rPr>
                <w:b/>
                <w:bCs/>
                <w:color w:val="auto"/>
              </w:rPr>
              <w:t>Pretendenta atbilstības apraksts / Supplier compliance statement</w:t>
            </w:r>
          </w:p>
        </w:tc>
      </w:tr>
      <w:tr w14:paraId="45481DDE">
        <w:tc>
          <w:p w14:paraId="05CEF3FF">
            <w:pPr>
              <w:pStyle w:val="28"/>
              <w:jc w:val="left"/>
              <w:rPr>
                <w:color w:val="auto"/>
              </w:rPr>
            </w:pPr>
            <w:r>
              <w:rPr>
                <w:b/>
                <w:bCs/>
                <w:color w:val="auto"/>
              </w:rPr>
              <w:t>4.2.1</w:t>
            </w:r>
          </w:p>
        </w:tc>
        <w:tc>
          <w:tcPr>
            <w:tcW w:w="3574" w:type="dxa"/>
          </w:tcPr>
          <w:p w14:paraId="6E7618EF">
            <w:pPr>
              <w:pStyle w:val="28"/>
              <w:jc w:val="left"/>
              <w:rPr>
                <w:color w:val="auto"/>
              </w:rPr>
            </w:pPr>
            <w:r>
              <w:rPr>
                <w:color w:val="auto"/>
              </w:rPr>
              <w:t>Digitālajam dvīnim jāietver pētniecības vides modelis, kurā attēlots robots, portāla tipa pārvietošanas sistēma, ekstrūzijas metināšanas instruments, darba zona un testējamais izstrādājums. Digitālajam dvīnim jānodrošina sistēmas kustību kinemātiskā simulācija.</w:t>
            </w:r>
          </w:p>
        </w:tc>
        <w:tc>
          <w:tcPr>
            <w:tcW w:w="3426" w:type="dxa"/>
          </w:tcPr>
          <w:p w14:paraId="4DCA20AF">
            <w:pPr>
              <w:pStyle w:val="28"/>
              <w:jc w:val="left"/>
              <w:rPr>
                <w:color w:val="auto"/>
              </w:rPr>
            </w:pPr>
            <w:r>
              <w:rPr>
                <w:i/>
                <w:iCs/>
                <w:color w:val="auto"/>
              </w:rPr>
              <w:t>The digital twin shall include a model of the research environment representing the robot, gantry-type positioning system, extrusion welding tool, working envelope and test workpiece. The digital twin shall support the kinematic simulation of system movements.</w:t>
            </w:r>
          </w:p>
        </w:tc>
        <w:tc>
          <w:p w14:paraId="7A8B2201">
            <w:pPr>
              <w:pStyle w:val="28"/>
              <w:jc w:val="left"/>
              <w:rPr>
                <w:color w:val="auto"/>
              </w:rPr>
            </w:pPr>
            <w:r>
              <w:rPr>
                <w:color w:val="auto"/>
              </w:rPr>
              <w:t>Norādīt programmatūru un licences veidu / State the software and licence type</w:t>
            </w:r>
          </w:p>
        </w:tc>
      </w:tr>
      <w:tr w14:paraId="32441F51">
        <w:tc>
          <w:p w14:paraId="47CA595B">
            <w:pPr>
              <w:pStyle w:val="28"/>
              <w:jc w:val="left"/>
              <w:rPr>
                <w:color w:val="auto"/>
              </w:rPr>
            </w:pPr>
            <w:r>
              <w:rPr>
                <w:b/>
                <w:bCs/>
                <w:color w:val="auto"/>
              </w:rPr>
              <w:t>4.2.2</w:t>
            </w:r>
          </w:p>
        </w:tc>
        <w:tc>
          <w:tcPr>
            <w:tcW w:w="3574" w:type="dxa"/>
          </w:tcPr>
          <w:p w14:paraId="4E324575">
            <w:pPr>
              <w:pStyle w:val="28"/>
              <w:jc w:val="left"/>
              <w:rPr>
                <w:color w:val="auto"/>
              </w:rPr>
            </w:pPr>
            <w:r>
              <w:rPr>
                <w:color w:val="auto"/>
              </w:rPr>
              <w:t>Bezsaistes programmēšanas videi jānodrošina robota programmu izveide, rediģēšana un simulācija, kā arī robota sasniedzamības un iespējamo sadursmju pārbaude. Izveidotajām programmām jābūt pārsūtāmām uz robota vadības sistēmu.</w:t>
            </w:r>
          </w:p>
        </w:tc>
        <w:tc>
          <w:tcPr>
            <w:tcW w:w="3426" w:type="dxa"/>
          </w:tcPr>
          <w:p w14:paraId="69FC9601">
            <w:pPr>
              <w:pStyle w:val="28"/>
              <w:jc w:val="left"/>
              <w:rPr>
                <w:color w:val="auto"/>
              </w:rPr>
            </w:pPr>
            <w:r>
              <w:rPr>
                <w:i/>
                <w:iCs/>
                <w:color w:val="auto"/>
              </w:rPr>
              <w:t>The offline programming environment shall enable robot programs to be created, edited and simulated, including verification of robot reach and potential collisions. The generated programs shall be transferable to the robot control system.</w:t>
            </w:r>
          </w:p>
        </w:tc>
        <w:tc>
          <w:p w14:paraId="51468BAE">
            <w:pPr>
              <w:pStyle w:val="28"/>
              <w:jc w:val="left"/>
              <w:rPr>
                <w:color w:val="auto"/>
              </w:rPr>
            </w:pPr>
            <w:r>
              <w:rPr>
                <w:color w:val="auto"/>
              </w:rPr>
              <w:t>Atbilst / Complies</w:t>
            </w:r>
          </w:p>
        </w:tc>
      </w:tr>
      <w:tr w14:paraId="4433D4D6">
        <w:tc>
          <w:p w14:paraId="63F79699">
            <w:pPr>
              <w:pStyle w:val="28"/>
              <w:jc w:val="left"/>
              <w:rPr>
                <w:color w:val="auto"/>
              </w:rPr>
            </w:pPr>
            <w:r>
              <w:rPr>
                <w:b/>
                <w:bCs/>
                <w:color w:val="auto"/>
              </w:rPr>
              <w:t>4.2.3</w:t>
            </w:r>
          </w:p>
        </w:tc>
        <w:tc>
          <w:tcPr>
            <w:tcW w:w="3574" w:type="dxa"/>
          </w:tcPr>
          <w:p w14:paraId="70B8F04C">
            <w:pPr>
              <w:pStyle w:val="28"/>
              <w:jc w:val="left"/>
              <w:rPr>
                <w:color w:val="auto"/>
              </w:rPr>
            </w:pPr>
            <w:r>
              <w:rPr>
                <w:color w:val="auto"/>
              </w:rPr>
              <w:t>Pirms praktisko pētījumu uzsākšanas digitālā dvīņa modelis jākalibrē atbilstoši faktiskajai pētniecības videi. Kalibrācijā jāietver vismaz robota instrumenta koordinātu sistēma, robota bāzes koordinātu sistēma un portāla tipa pārvietošanas sistēmas asu novietojums. Kalibrācijas un pārbaudes rezultāti jāiekļauj pētījuma dokumentācijā.</w:t>
            </w:r>
          </w:p>
        </w:tc>
        <w:tc>
          <w:tcPr>
            <w:tcW w:w="3426" w:type="dxa"/>
          </w:tcPr>
          <w:p w14:paraId="0E58840F">
            <w:pPr>
              <w:pStyle w:val="28"/>
              <w:jc w:val="left"/>
              <w:rPr>
                <w:color w:val="auto"/>
              </w:rPr>
            </w:pPr>
            <w:r>
              <w:rPr>
                <w:i/>
                <w:iCs/>
                <w:color w:val="auto"/>
              </w:rPr>
              <w:t>Before the practical research activities commence, the digital-twin model shall be calibrated to the actual research environment. The calibration shall include, as a minimum, the robot tool coordinate system, robot base coordinate system and the positions of the gantry-type positioning-system axes. The calibration and verification results shall be included in the research documentation.</w:t>
            </w:r>
          </w:p>
        </w:tc>
        <w:tc>
          <w:p w14:paraId="1466942C">
            <w:pPr>
              <w:pStyle w:val="28"/>
              <w:jc w:val="left"/>
              <w:rPr>
                <w:color w:val="auto"/>
              </w:rPr>
            </w:pPr>
            <w:r>
              <w:rPr>
                <w:color w:val="auto"/>
              </w:rPr>
              <w:t>Atbilst / Complies</w:t>
            </w:r>
          </w:p>
        </w:tc>
      </w:tr>
      <w:tr w14:paraId="07C47C46">
        <w:tc>
          <w:p w14:paraId="67DC6339">
            <w:pPr>
              <w:pStyle w:val="28"/>
              <w:jc w:val="left"/>
              <w:rPr>
                <w:color w:val="auto"/>
              </w:rPr>
            </w:pPr>
            <w:r>
              <w:rPr>
                <w:b/>
                <w:bCs/>
                <w:color w:val="auto"/>
              </w:rPr>
              <w:t>4.2.4</w:t>
            </w:r>
          </w:p>
        </w:tc>
        <w:tc>
          <w:tcPr>
            <w:tcW w:w="3574" w:type="dxa"/>
          </w:tcPr>
          <w:p w14:paraId="6291ED16">
            <w:pPr>
              <w:pStyle w:val="28"/>
              <w:jc w:val="left"/>
              <w:rPr>
                <w:color w:val="auto"/>
              </w:rPr>
            </w:pPr>
            <w:r>
              <w:rPr>
                <w:color w:val="auto"/>
              </w:rPr>
              <w:t>Mainot sagataves izmērus vai šuves ģeometriju digitālajā modelī, bezsaistes programmēšanas videi jānodrošina iespēja ģenerēt vai atjaunināt robota trajektoriju bez pilnīgas programmas manuālas izveides no jauna.</w:t>
            </w:r>
          </w:p>
        </w:tc>
        <w:tc>
          <w:tcPr>
            <w:tcW w:w="3426" w:type="dxa"/>
          </w:tcPr>
          <w:p w14:paraId="4235D191">
            <w:pPr>
              <w:pStyle w:val="28"/>
              <w:jc w:val="left"/>
              <w:rPr>
                <w:color w:val="auto"/>
              </w:rPr>
            </w:pPr>
            <w:r>
              <w:rPr>
                <w:i/>
                <w:iCs/>
                <w:color w:val="auto"/>
              </w:rPr>
              <w:t>When the workpiece dimensions or seam geometry are changed in the digital model, the offline programming environment shall enable the robot path to be generated or updated without recreating the entire program manually.</w:t>
            </w:r>
          </w:p>
        </w:tc>
        <w:tc>
          <w:p w14:paraId="67F7415D">
            <w:pPr>
              <w:pStyle w:val="28"/>
              <w:jc w:val="left"/>
              <w:rPr>
                <w:color w:val="auto"/>
              </w:rPr>
            </w:pPr>
            <w:r>
              <w:rPr>
                <w:color w:val="auto"/>
              </w:rPr>
              <w:t>Aprakstīt trajektorijas ģenerēšanas un atjaunināšanas funkcionalitāti / Describe the path-generation and update functionality</w:t>
            </w:r>
          </w:p>
        </w:tc>
      </w:tr>
      <w:tr w14:paraId="384101C9">
        <w:tc>
          <w:p w14:paraId="1E821401">
            <w:pPr>
              <w:pStyle w:val="28"/>
              <w:jc w:val="left"/>
              <w:rPr>
                <w:color w:val="auto"/>
              </w:rPr>
            </w:pPr>
            <w:r>
              <w:rPr>
                <w:b/>
                <w:bCs/>
                <w:color w:val="auto"/>
              </w:rPr>
              <w:t>4.2.5</w:t>
            </w:r>
          </w:p>
        </w:tc>
        <w:tc>
          <w:tcPr>
            <w:tcW w:w="3574" w:type="dxa"/>
          </w:tcPr>
          <w:p w14:paraId="24335D51">
            <w:pPr>
              <w:pStyle w:val="28"/>
              <w:jc w:val="left"/>
              <w:rPr>
                <w:color w:val="auto"/>
              </w:rPr>
            </w:pPr>
            <w:r>
              <w:rPr>
                <w:color w:val="auto"/>
              </w:rPr>
              <w:t>Digitālā dvīņa un bezsaistes programmēšanas videi jānodrošina iespēja importēt Pasūtītāja iesniegtus papildu iekārtu un robotizēto sistēmu 3D ģeometrijas modeļus vismaz STEP, IGES un STL formātā un iekļaut tos pētniecības vides digitālajā modelī. Importētajiem modeļiem jābūt izmantojamiem kopīgās darba vides izkārtojuma, sasniedzamības un iespējamo sadursmju izvērtēšanai.</w:t>
            </w:r>
          </w:p>
        </w:tc>
        <w:tc>
          <w:tcPr>
            <w:tcW w:w="3426" w:type="dxa"/>
          </w:tcPr>
          <w:p w14:paraId="354A1F67">
            <w:pPr>
              <w:pStyle w:val="28"/>
              <w:jc w:val="left"/>
              <w:rPr>
                <w:color w:val="auto"/>
              </w:rPr>
            </w:pPr>
            <w:r>
              <w:rPr>
                <w:i/>
                <w:iCs/>
                <w:color w:val="auto"/>
              </w:rPr>
              <w:t>The digital-twin and offline programming environment shall enable the import of additional 3D geometry models of equipment and robotic systems provided by the Contracting Authority in at least STEP, IGES and STL formats and their inclusion in the digital model of the research environment. The imported models shall be usable for evaluating the layout, reachability and potential collisions within the shared working environment.</w:t>
            </w:r>
          </w:p>
        </w:tc>
        <w:tc>
          <w:p w14:paraId="59DB63A9">
            <w:pPr>
              <w:pStyle w:val="28"/>
              <w:jc w:val="left"/>
              <w:rPr>
                <w:color w:val="auto"/>
              </w:rPr>
            </w:pPr>
            <w:r>
              <w:rPr>
                <w:color w:val="auto"/>
              </w:rPr>
              <w:t>Atbilst / Complies</w:t>
            </w:r>
          </w:p>
        </w:tc>
      </w:tr>
    </w:tbl>
    <w:p w14:paraId="57934799">
      <w:pPr>
        <w:pStyle w:val="3"/>
        <w:rPr>
          <w:color w:val="auto"/>
        </w:rPr>
      </w:pPr>
      <w:r>
        <w:rPr>
          <w:b/>
          <w:bCs/>
          <w:color w:val="auto"/>
        </w:rPr>
        <w:t>4.3 Edge platforma un datu apmaiņa / Edge platform and data exchange</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74"/>
        <w:gridCol w:w="3426"/>
        <w:gridCol w:w="2900"/>
      </w:tblGrid>
      <w:tr w14:paraId="220CF00D">
        <w:trPr>
          <w:tblHeader/>
        </w:trPr>
        <w:tc>
          <w:p w14:paraId="02B48AE6">
            <w:pPr>
              <w:pStyle w:val="28"/>
              <w:jc w:val="left"/>
              <w:rPr>
                <w:color w:val="auto"/>
              </w:rPr>
            </w:pPr>
            <w:r>
              <w:rPr>
                <w:b/>
                <w:bCs/>
                <w:color w:val="auto"/>
              </w:rPr>
              <w:t>Nr.</w:t>
            </w:r>
          </w:p>
        </w:tc>
        <w:tc>
          <w:tcPr>
            <w:tcW w:w="3574" w:type="dxa"/>
          </w:tcPr>
          <w:p w14:paraId="07BE51AD">
            <w:pPr>
              <w:pStyle w:val="28"/>
              <w:jc w:val="left"/>
              <w:rPr>
                <w:color w:val="auto"/>
              </w:rPr>
            </w:pPr>
            <w:r>
              <w:rPr>
                <w:b/>
                <w:bCs/>
                <w:color w:val="auto"/>
              </w:rPr>
              <w:t>Prasība (Latviešu) / Requirement (Latvian)</w:t>
            </w:r>
          </w:p>
        </w:tc>
        <w:tc>
          <w:tcPr>
            <w:tcW w:w="3426" w:type="dxa"/>
          </w:tcPr>
          <w:p w14:paraId="02CBA625">
            <w:pPr>
              <w:pStyle w:val="28"/>
              <w:jc w:val="left"/>
              <w:rPr>
                <w:color w:val="auto"/>
              </w:rPr>
            </w:pPr>
            <w:r>
              <w:rPr>
                <w:b/>
                <w:bCs/>
                <w:color w:val="auto"/>
              </w:rPr>
              <w:t>Requirement (English)</w:t>
            </w:r>
          </w:p>
        </w:tc>
        <w:tc>
          <w:p w14:paraId="4BEF6468">
            <w:pPr>
              <w:pStyle w:val="28"/>
              <w:jc w:val="left"/>
              <w:rPr>
                <w:color w:val="auto"/>
              </w:rPr>
            </w:pPr>
            <w:r>
              <w:rPr>
                <w:b/>
                <w:bCs/>
                <w:color w:val="auto"/>
              </w:rPr>
              <w:t>Pretendenta atbilstības apraksts / Supplier compliance statement</w:t>
            </w:r>
          </w:p>
        </w:tc>
      </w:tr>
      <w:tr w14:paraId="15995251">
        <w:tc>
          <w:p w14:paraId="5EEBE992">
            <w:pPr>
              <w:pStyle w:val="28"/>
              <w:jc w:val="left"/>
              <w:rPr>
                <w:color w:val="auto"/>
              </w:rPr>
            </w:pPr>
            <w:r>
              <w:rPr>
                <w:b/>
                <w:bCs/>
                <w:color w:val="auto"/>
              </w:rPr>
              <w:t>4.3.1</w:t>
            </w:r>
          </w:p>
        </w:tc>
        <w:tc>
          <w:tcPr>
            <w:tcW w:w="3574" w:type="dxa"/>
          </w:tcPr>
          <w:p w14:paraId="78779B4A">
            <w:pPr>
              <w:pStyle w:val="28"/>
              <w:jc w:val="left"/>
              <w:rPr>
                <w:color w:val="auto"/>
              </w:rPr>
            </w:pPr>
            <w:r>
              <w:rPr>
                <w:color w:val="auto"/>
              </w:rPr>
              <w:t>Edge platformai jānodrošina pieejamo procesa datu iegūšana un lokāla saglabāšana no PLC, robota vadības sistēmas, ekstrūzijas metināšanas instrumenta vadības un šuves izsekošanas risinājuma.</w:t>
            </w:r>
          </w:p>
        </w:tc>
        <w:tc>
          <w:tcPr>
            <w:tcW w:w="3426" w:type="dxa"/>
          </w:tcPr>
          <w:p w14:paraId="435B645D">
            <w:pPr>
              <w:pStyle w:val="28"/>
              <w:jc w:val="left"/>
              <w:rPr>
                <w:color w:val="auto"/>
              </w:rPr>
            </w:pPr>
            <w:r>
              <w:rPr>
                <w:i/>
                <w:iCs/>
                <w:color w:val="auto"/>
              </w:rPr>
              <w:t>The Edge platform shall acquire and locally store the available process data from the PLC, robot control system, extrusion welding tool control and seam-tracking solution.</w:t>
            </w:r>
          </w:p>
        </w:tc>
        <w:tc>
          <w:p w14:paraId="44705E3D">
            <w:pPr>
              <w:pStyle w:val="28"/>
              <w:jc w:val="left"/>
              <w:rPr>
                <w:color w:val="auto"/>
              </w:rPr>
            </w:pPr>
            <w:r>
              <w:rPr>
                <w:color w:val="auto"/>
              </w:rPr>
              <w:t>Atbilst / Complies</w:t>
            </w:r>
          </w:p>
        </w:tc>
      </w:tr>
      <w:tr w14:paraId="1AF0BDA9">
        <w:tc>
          <w:p w14:paraId="7FBED883">
            <w:pPr>
              <w:pStyle w:val="28"/>
              <w:jc w:val="left"/>
              <w:rPr>
                <w:color w:val="auto"/>
              </w:rPr>
            </w:pPr>
            <w:r>
              <w:rPr>
                <w:b/>
                <w:bCs/>
                <w:color w:val="auto"/>
              </w:rPr>
              <w:t>4.3.2</w:t>
            </w:r>
          </w:p>
        </w:tc>
        <w:tc>
          <w:tcPr>
            <w:tcW w:w="3574" w:type="dxa"/>
          </w:tcPr>
          <w:p w14:paraId="06365EAD">
            <w:pPr>
              <w:pStyle w:val="28"/>
              <w:jc w:val="left"/>
              <w:rPr>
                <w:color w:val="auto"/>
              </w:rPr>
            </w:pPr>
            <w:r>
              <w:rPr>
                <w:color w:val="auto"/>
              </w:rPr>
              <w:t>Edge platformas arhitektūrai jānodrošina iespēja DAĻĀ 1 paredzētā pētījuma ietvaros ieviest un pārbaudīt OPC UA, MQTT un ROS 2 datu apmaiņu, kā arī izmantot atvērtu un dokumentētu REST API. REST API dokumentācija un piekļuves nosacījumi jānodod Pasūtītājam. REST API jānodrošina iespēja pievienot DAĻĀ 1 2.6.3. punktā noteikto integrācijas modeli, neveicot izmaiņas Edge platformas slēgtajā programmatūras daļā. Platformai jānodrošina iespēja testos vienlaikus izmantot vismaz divu dažādu ražotāju robotu vadības sistēmas vai to simulatorus.</w:t>
            </w:r>
          </w:p>
        </w:tc>
        <w:tc>
          <w:tcPr>
            <w:tcW w:w="3426" w:type="dxa"/>
          </w:tcPr>
          <w:p w14:paraId="1B8E778E">
            <w:pPr>
              <w:pStyle w:val="28"/>
              <w:jc w:val="left"/>
              <w:rPr>
                <w:color w:val="auto"/>
              </w:rPr>
            </w:pPr>
            <w:r>
              <w:rPr>
                <w:i/>
                <w:iCs/>
                <w:color w:val="auto"/>
              </w:rPr>
              <w:t>The architecture of the Edge platform shall enable OPC UA, MQTT and ROS 2 data exchange to be implemented and tested within the research specified in PART 1 and shall provide an open and documented REST API. The REST API documentation and access conditions shall be provided to the Contracting Authority. The REST API shall enable the integration model specified in Point 2.6.3 of PART 1 to be connected without requiring modifications to the proprietary software components of the Edge platform. The platform shall enable the simultaneous use of robot control systems, or their simulators, from at least two different manufacturers during the tests.</w:t>
            </w:r>
          </w:p>
        </w:tc>
        <w:tc>
          <w:p w14:paraId="5AAD0E93">
            <w:pPr>
              <w:pStyle w:val="28"/>
              <w:jc w:val="left"/>
              <w:rPr>
                <w:color w:val="auto"/>
              </w:rPr>
            </w:pPr>
            <w:r>
              <w:rPr>
                <w:color w:val="auto"/>
              </w:rPr>
              <w:t>Norādīt nodrošinātās saskarnes un paplašināšanas iespējas / State the provided interfaces and extension capabilities</w:t>
            </w:r>
          </w:p>
        </w:tc>
      </w:tr>
    </w:tbl>
    <w:p w14:paraId="6DFD90AA">
      <w:pPr>
        <w:pStyle w:val="3"/>
        <w:rPr>
          <w:color w:val="auto"/>
        </w:rPr>
      </w:pPr>
      <w:r>
        <w:rPr>
          <w:b/>
          <w:bCs/>
          <w:color w:val="auto"/>
        </w:rPr>
        <w:t>5. DROŠĪBA UN INFRASTRUKTŪRA</w:t>
      </w:r>
    </w:p>
    <w:p w14:paraId="7CF0CB13">
      <w:pPr>
        <w:pStyle w:val="3"/>
        <w:rPr>
          <w:color w:val="auto"/>
        </w:rPr>
      </w:pPr>
      <w:r>
        <w:rPr>
          <w:b/>
          <w:bCs/>
          <w:i/>
          <w:iCs/>
          <w:color w:val="auto"/>
        </w:rPr>
        <w:t>5. SAFETY AND INFRASTRUCTURE</w:t>
      </w:r>
    </w:p>
    <w:p w14:paraId="4D7EC26E">
      <w:pPr>
        <w:pStyle w:val="3"/>
        <w:rPr>
          <w:color w:val="auto"/>
        </w:rPr>
      </w:pPr>
      <w:r>
        <w:rPr>
          <w:b/>
          <w:bCs/>
          <w:color w:val="auto"/>
        </w:rPr>
        <w:t>5.1 Risku novērtēšana un drošības funkcijas / Risk assessment and safety functions</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74"/>
        <w:gridCol w:w="3426"/>
        <w:gridCol w:w="2900"/>
      </w:tblGrid>
      <w:tr w14:paraId="49436D68">
        <w:trPr>
          <w:tblHeader/>
        </w:trPr>
        <w:tc>
          <w:p w14:paraId="207B31B3">
            <w:pPr>
              <w:pStyle w:val="28"/>
              <w:jc w:val="left"/>
              <w:rPr>
                <w:color w:val="auto"/>
              </w:rPr>
            </w:pPr>
            <w:r>
              <w:rPr>
                <w:b/>
                <w:bCs/>
                <w:color w:val="auto"/>
              </w:rPr>
              <w:t>Nr.</w:t>
            </w:r>
          </w:p>
        </w:tc>
        <w:tc>
          <w:tcPr>
            <w:tcW w:w="3574" w:type="dxa"/>
          </w:tcPr>
          <w:p w14:paraId="5B68E30B">
            <w:pPr>
              <w:pStyle w:val="28"/>
              <w:jc w:val="left"/>
              <w:rPr>
                <w:color w:val="auto"/>
              </w:rPr>
            </w:pPr>
            <w:r>
              <w:rPr>
                <w:b/>
                <w:bCs/>
                <w:color w:val="auto"/>
              </w:rPr>
              <w:t>Prasība (Latviešu) / Requirement (Latvian)</w:t>
            </w:r>
          </w:p>
        </w:tc>
        <w:tc>
          <w:tcPr>
            <w:tcW w:w="3426" w:type="dxa"/>
          </w:tcPr>
          <w:p w14:paraId="5386DDDF">
            <w:pPr>
              <w:pStyle w:val="28"/>
              <w:jc w:val="left"/>
              <w:rPr>
                <w:color w:val="auto"/>
              </w:rPr>
            </w:pPr>
            <w:r>
              <w:rPr>
                <w:b/>
                <w:bCs/>
                <w:color w:val="auto"/>
              </w:rPr>
              <w:t>Requirement (English)</w:t>
            </w:r>
          </w:p>
        </w:tc>
        <w:tc>
          <w:p w14:paraId="62E0B2CD">
            <w:pPr>
              <w:pStyle w:val="28"/>
              <w:jc w:val="left"/>
              <w:rPr>
                <w:color w:val="auto"/>
              </w:rPr>
            </w:pPr>
            <w:r>
              <w:rPr>
                <w:b/>
                <w:bCs/>
                <w:color w:val="auto"/>
              </w:rPr>
              <w:t>Pretendenta atbilstības apraksts / Supplier compliance statement</w:t>
            </w:r>
          </w:p>
        </w:tc>
      </w:tr>
      <w:tr w14:paraId="73DE4AE0">
        <w:tc>
          <w:p w14:paraId="3470E07F">
            <w:pPr>
              <w:pStyle w:val="28"/>
              <w:jc w:val="left"/>
              <w:rPr>
                <w:color w:val="auto"/>
              </w:rPr>
            </w:pPr>
            <w:r>
              <w:rPr>
                <w:b/>
                <w:bCs/>
                <w:color w:val="auto"/>
              </w:rPr>
              <w:t>5.1.1</w:t>
            </w:r>
          </w:p>
        </w:tc>
        <w:tc>
          <w:tcPr>
            <w:tcW w:w="3574" w:type="dxa"/>
          </w:tcPr>
          <w:p w14:paraId="0CB7ED4E">
            <w:pPr>
              <w:pStyle w:val="28"/>
              <w:jc w:val="left"/>
              <w:rPr>
                <w:color w:val="auto"/>
              </w:rPr>
            </w:pPr>
            <w:r>
              <w:rPr>
                <w:color w:val="auto"/>
              </w:rPr>
              <w:t>Pētniecības vide jāprojektē un jāintegrē, pamatojoties uz dokumentētu risku novērtējumu.  Drošības funkcijām nepieciešamais veiktspējas līmenis jānosaka risku novērtējumā.</w:t>
            </w:r>
          </w:p>
        </w:tc>
        <w:tc>
          <w:tcPr>
            <w:tcW w:w="3426" w:type="dxa"/>
          </w:tcPr>
          <w:p w14:paraId="4424E819">
            <w:pPr>
              <w:pStyle w:val="28"/>
              <w:jc w:val="left"/>
              <w:rPr>
                <w:color w:val="auto"/>
              </w:rPr>
            </w:pPr>
            <w:r>
              <w:rPr>
                <w:i/>
                <w:iCs/>
                <w:color w:val="auto"/>
              </w:rPr>
              <w:t>The research environment shall be designed and integrated on the basis of a documented risk assessment. The required performance level of the safety functions shall be determined by the risk assessment.</w:t>
            </w:r>
          </w:p>
        </w:tc>
        <w:tc>
          <w:p w14:paraId="27776615">
            <w:pPr>
              <w:pStyle w:val="28"/>
              <w:jc w:val="left"/>
              <w:rPr>
                <w:color w:val="auto"/>
              </w:rPr>
            </w:pPr>
            <w:r>
              <w:rPr>
                <w:color w:val="auto"/>
              </w:rPr>
              <w:t>Atbilst / Complies</w:t>
            </w:r>
          </w:p>
        </w:tc>
      </w:tr>
      <w:tr w14:paraId="470B0ED6">
        <w:tc>
          <w:p w14:paraId="643A0D51">
            <w:pPr>
              <w:pStyle w:val="28"/>
              <w:jc w:val="left"/>
              <w:rPr>
                <w:color w:val="auto"/>
              </w:rPr>
            </w:pPr>
            <w:r>
              <w:rPr>
                <w:b/>
                <w:bCs/>
                <w:color w:val="auto"/>
              </w:rPr>
              <w:t>5.1.2</w:t>
            </w:r>
          </w:p>
        </w:tc>
        <w:tc>
          <w:tcPr>
            <w:tcW w:w="3574" w:type="dxa"/>
          </w:tcPr>
          <w:p w14:paraId="11D3FC9F">
            <w:pPr>
              <w:pStyle w:val="28"/>
              <w:jc w:val="left"/>
              <w:rPr>
                <w:color w:val="auto"/>
              </w:rPr>
            </w:pPr>
            <w:r>
              <w:rPr>
                <w:color w:val="auto"/>
              </w:rPr>
              <w:t>Pirms praktisko pētījumu uzsākšanas jāveic drošības funkciju pārbaude un validācija. Jāpārbauda vismaz avārijas apturēšana, piekļuves aizsardzības darbība un sistēmas droša apturēšana, aktivizējot aizsardzības ierīces. Pārbaudes rezultāti jādokumentē.</w:t>
            </w:r>
          </w:p>
        </w:tc>
        <w:tc>
          <w:tcPr>
            <w:tcW w:w="3426" w:type="dxa"/>
          </w:tcPr>
          <w:p w14:paraId="5298A06A">
            <w:pPr>
              <w:pStyle w:val="28"/>
              <w:jc w:val="left"/>
              <w:rPr>
                <w:color w:val="auto"/>
              </w:rPr>
            </w:pPr>
            <w:r>
              <w:rPr>
                <w:i/>
                <w:iCs/>
                <w:color w:val="auto"/>
              </w:rPr>
              <w:t>Before the practical research activities commence, the safety functions shall be tested and validated. The testing shall include, as a minimum, emergency stopping, operation of the access safeguards and safe stopping of the system when a protective device is activated. The test results shall be documented.</w:t>
            </w:r>
          </w:p>
        </w:tc>
        <w:tc>
          <w:p w14:paraId="6516CDA8">
            <w:pPr>
              <w:pStyle w:val="28"/>
              <w:jc w:val="left"/>
              <w:rPr>
                <w:color w:val="auto"/>
              </w:rPr>
            </w:pPr>
            <w:r>
              <w:rPr>
                <w:color w:val="auto"/>
              </w:rPr>
              <w:t>Atbilst / Complies</w:t>
            </w:r>
          </w:p>
        </w:tc>
      </w:tr>
    </w:tbl>
    <w:p w14:paraId="2C8FB52E">
      <w:pPr>
        <w:pStyle w:val="3"/>
        <w:rPr>
          <w:color w:val="auto"/>
        </w:rPr>
      </w:pPr>
      <w:r>
        <w:rPr>
          <w:b/>
          <w:bCs/>
          <w:color w:val="auto"/>
        </w:rPr>
        <w:t>5.2 Darba zonas aizsardzība / Working-area safeguarding</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74"/>
        <w:gridCol w:w="3426"/>
        <w:gridCol w:w="2900"/>
      </w:tblGrid>
      <w:tr w14:paraId="0C300743">
        <w:trPr>
          <w:tblHeader/>
        </w:trPr>
        <w:tc>
          <w:p w14:paraId="1EF897FA">
            <w:pPr>
              <w:pStyle w:val="28"/>
              <w:jc w:val="left"/>
              <w:rPr>
                <w:color w:val="auto"/>
              </w:rPr>
            </w:pPr>
            <w:r>
              <w:rPr>
                <w:b/>
                <w:bCs/>
                <w:color w:val="auto"/>
              </w:rPr>
              <w:t>Nr.</w:t>
            </w:r>
          </w:p>
        </w:tc>
        <w:tc>
          <w:tcPr>
            <w:tcW w:w="3574" w:type="dxa"/>
          </w:tcPr>
          <w:p w14:paraId="5D9D0005">
            <w:pPr>
              <w:pStyle w:val="28"/>
              <w:jc w:val="left"/>
              <w:rPr>
                <w:color w:val="auto"/>
              </w:rPr>
            </w:pPr>
            <w:r>
              <w:rPr>
                <w:b/>
                <w:bCs/>
                <w:color w:val="auto"/>
              </w:rPr>
              <w:t>Prasība (Latviešu) / Requirement (Latvian)</w:t>
            </w:r>
          </w:p>
        </w:tc>
        <w:tc>
          <w:tcPr>
            <w:tcW w:w="3426" w:type="dxa"/>
          </w:tcPr>
          <w:p w14:paraId="60077B79">
            <w:pPr>
              <w:pStyle w:val="28"/>
              <w:jc w:val="left"/>
              <w:rPr>
                <w:color w:val="auto"/>
              </w:rPr>
            </w:pPr>
            <w:r>
              <w:rPr>
                <w:b/>
                <w:bCs/>
                <w:color w:val="auto"/>
              </w:rPr>
              <w:t>Requirement (English)</w:t>
            </w:r>
          </w:p>
        </w:tc>
        <w:tc>
          <w:p w14:paraId="3914D34E">
            <w:pPr>
              <w:pStyle w:val="28"/>
              <w:jc w:val="left"/>
              <w:rPr>
                <w:color w:val="auto"/>
              </w:rPr>
            </w:pPr>
            <w:r>
              <w:rPr>
                <w:b/>
                <w:bCs/>
                <w:color w:val="auto"/>
              </w:rPr>
              <w:t>Pretendenta atbilstības apraksts / Supplier compliance statement</w:t>
            </w:r>
          </w:p>
        </w:tc>
      </w:tr>
      <w:tr w14:paraId="2972D36E">
        <w:tc>
          <w:p w14:paraId="561FAA5C">
            <w:pPr>
              <w:pStyle w:val="28"/>
              <w:jc w:val="left"/>
              <w:rPr>
                <w:color w:val="auto"/>
              </w:rPr>
            </w:pPr>
            <w:r>
              <w:rPr>
                <w:b/>
                <w:bCs/>
                <w:color w:val="auto"/>
              </w:rPr>
              <w:t>5.2.1</w:t>
            </w:r>
          </w:p>
        </w:tc>
        <w:tc>
          <w:tcPr>
            <w:tcW w:w="3574" w:type="dxa"/>
          </w:tcPr>
          <w:p w14:paraId="29EBBFAE">
            <w:pPr>
              <w:pStyle w:val="28"/>
              <w:jc w:val="left"/>
              <w:rPr>
                <w:color w:val="auto"/>
              </w:rPr>
            </w:pPr>
            <w:r>
              <w:rPr>
                <w:color w:val="auto"/>
              </w:rPr>
              <w:t>Pētniecības vides darba zona jānorobežo ar aizsargnožogojumu, drošības skeneriem, gaismas barjerām vai līdzvērtīgu risinājumu, kas nepieļauj personu iekļūšanu bīstamajā zonā sistēmas automātiskās darbības laikā. Piekļūstot bīstamajai zonai, jāaktivizē sistēmas droša apturēšana.</w:t>
            </w:r>
          </w:p>
        </w:tc>
        <w:tc>
          <w:tcPr>
            <w:tcW w:w="3426" w:type="dxa"/>
          </w:tcPr>
          <w:p w14:paraId="5CE66D21">
            <w:pPr>
              <w:pStyle w:val="28"/>
              <w:jc w:val="left"/>
              <w:rPr>
                <w:color w:val="auto"/>
              </w:rPr>
            </w:pPr>
            <w:r>
              <w:rPr>
                <w:i/>
                <w:iCs/>
                <w:color w:val="auto"/>
              </w:rPr>
              <w:t>The working area of the research environment shall be safeguarded by protective fencing, safety scanners, light curtains or an equivalent solution that prevents access to the hazardous area during automatic operation. Entry into the hazardous area shall activate a safe stop of the system.</w:t>
            </w:r>
          </w:p>
        </w:tc>
        <w:tc>
          <w:p w14:paraId="68813263">
            <w:pPr>
              <w:pStyle w:val="28"/>
              <w:jc w:val="left"/>
              <w:rPr>
                <w:color w:val="auto"/>
              </w:rPr>
            </w:pPr>
            <w:r>
              <w:rPr>
                <w:color w:val="auto"/>
              </w:rPr>
              <w:t>Atbilst / Complies</w:t>
            </w:r>
          </w:p>
        </w:tc>
      </w:tr>
      <w:tr w14:paraId="7C22457D">
        <w:tc>
          <w:p w14:paraId="4D15DC8F">
            <w:pPr>
              <w:pStyle w:val="28"/>
              <w:jc w:val="left"/>
              <w:rPr>
                <w:color w:val="auto"/>
              </w:rPr>
            </w:pPr>
            <w:r>
              <w:rPr>
                <w:b/>
                <w:bCs/>
                <w:color w:val="auto"/>
              </w:rPr>
              <w:t>5.2.2</w:t>
            </w:r>
          </w:p>
        </w:tc>
        <w:tc>
          <w:tcPr>
            <w:tcW w:w="3574" w:type="dxa"/>
          </w:tcPr>
          <w:p w14:paraId="5625D430">
            <w:pPr>
              <w:pStyle w:val="28"/>
              <w:jc w:val="left"/>
              <w:rPr>
                <w:color w:val="auto"/>
              </w:rPr>
            </w:pPr>
            <w:r>
              <w:rPr>
                <w:color w:val="auto"/>
              </w:rPr>
              <w:t>Avārijas apturēšanas ierīcēm jābūt izvietotām pie operatora vadības vietas un galvenajiem piekļuves punktiem. Tām jābūt viegli pieejamām un jānodrošina risku novērtējumā noteikto bīstamo kustību un procesu apturēšana.</w:t>
            </w:r>
          </w:p>
        </w:tc>
        <w:tc>
          <w:tcPr>
            <w:tcW w:w="3426" w:type="dxa"/>
          </w:tcPr>
          <w:p w14:paraId="3E3FA996">
            <w:pPr>
              <w:pStyle w:val="28"/>
              <w:jc w:val="left"/>
              <w:rPr>
                <w:color w:val="auto"/>
              </w:rPr>
            </w:pPr>
            <w:r>
              <w:rPr>
                <w:i/>
                <w:iCs/>
                <w:color w:val="auto"/>
              </w:rPr>
              <w:t>Emergency-stop devices shall be located at the operator control station and the main access points. They shall be readily accessible and shall stop the hazardous movements and processes identified in the risk assessment.</w:t>
            </w:r>
          </w:p>
        </w:tc>
        <w:tc>
          <w:p w14:paraId="5F45E2A7">
            <w:pPr>
              <w:pStyle w:val="28"/>
              <w:jc w:val="left"/>
              <w:rPr>
                <w:color w:val="auto"/>
              </w:rPr>
            </w:pPr>
            <w:r>
              <w:rPr>
                <w:color w:val="auto"/>
              </w:rPr>
              <w:t>Atbilst / Complies</w:t>
            </w:r>
          </w:p>
        </w:tc>
      </w:tr>
    </w:tbl>
    <w:p w14:paraId="5CCE9DE0">
      <w:pPr>
        <w:pStyle w:val="3"/>
        <w:rPr>
          <w:color w:val="auto"/>
        </w:rPr>
      </w:pPr>
      <w:r>
        <w:rPr>
          <w:b/>
          <w:bCs/>
          <w:color w:val="auto"/>
        </w:rPr>
        <w:t>5.3 Infrastruktūras prasības / Infrastructure requirements</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74"/>
        <w:gridCol w:w="3426"/>
        <w:gridCol w:w="2900"/>
      </w:tblGrid>
      <w:tr w14:paraId="071855E3">
        <w:trPr>
          <w:tblHeader/>
        </w:trPr>
        <w:tc>
          <w:p w14:paraId="4F9357C0">
            <w:pPr>
              <w:pStyle w:val="28"/>
              <w:jc w:val="left"/>
              <w:rPr>
                <w:color w:val="auto"/>
              </w:rPr>
            </w:pPr>
            <w:r>
              <w:rPr>
                <w:b/>
                <w:bCs/>
                <w:color w:val="auto"/>
              </w:rPr>
              <w:t>Nr.</w:t>
            </w:r>
          </w:p>
        </w:tc>
        <w:tc>
          <w:tcPr>
            <w:tcW w:w="3574" w:type="dxa"/>
          </w:tcPr>
          <w:p w14:paraId="0B389720">
            <w:pPr>
              <w:pStyle w:val="28"/>
              <w:jc w:val="left"/>
              <w:rPr>
                <w:color w:val="auto"/>
              </w:rPr>
            </w:pPr>
            <w:r>
              <w:rPr>
                <w:b/>
                <w:bCs/>
                <w:color w:val="auto"/>
              </w:rPr>
              <w:t>Prasība (Latviešu) / Requirement (Latvian)</w:t>
            </w:r>
          </w:p>
        </w:tc>
        <w:tc>
          <w:tcPr>
            <w:tcW w:w="3426" w:type="dxa"/>
          </w:tcPr>
          <w:p w14:paraId="03F41FA8">
            <w:pPr>
              <w:pStyle w:val="28"/>
              <w:jc w:val="left"/>
              <w:rPr>
                <w:color w:val="auto"/>
              </w:rPr>
            </w:pPr>
            <w:r>
              <w:rPr>
                <w:b/>
                <w:bCs/>
                <w:color w:val="auto"/>
              </w:rPr>
              <w:t>Requirement (English)</w:t>
            </w:r>
          </w:p>
        </w:tc>
        <w:tc>
          <w:p w14:paraId="512683F2">
            <w:pPr>
              <w:pStyle w:val="28"/>
              <w:jc w:val="left"/>
              <w:rPr>
                <w:color w:val="auto"/>
              </w:rPr>
            </w:pPr>
            <w:r>
              <w:rPr>
                <w:b/>
                <w:bCs/>
                <w:color w:val="auto"/>
              </w:rPr>
              <w:t>Pretendenta atbilstības apraksts / Supplier compliance statement</w:t>
            </w:r>
          </w:p>
        </w:tc>
      </w:tr>
      <w:tr w14:paraId="40F263EF">
        <w:tc>
          <w:p w14:paraId="56CBA61B">
            <w:pPr>
              <w:pStyle w:val="28"/>
              <w:jc w:val="left"/>
              <w:rPr>
                <w:color w:val="auto"/>
              </w:rPr>
            </w:pPr>
            <w:r>
              <w:rPr>
                <w:b/>
                <w:bCs/>
                <w:color w:val="auto"/>
              </w:rPr>
              <w:t>5.3.1</w:t>
            </w:r>
          </w:p>
        </w:tc>
        <w:tc>
          <w:tcPr>
            <w:tcW w:w="3574" w:type="dxa"/>
          </w:tcPr>
          <w:p w14:paraId="1AB5A054">
            <w:pPr>
              <w:pStyle w:val="28"/>
              <w:jc w:val="left"/>
              <w:rPr>
                <w:color w:val="auto"/>
              </w:rPr>
            </w:pPr>
            <w:r>
              <w:rPr>
                <w:color w:val="auto"/>
              </w:rPr>
              <w:t>Pētniecības vides elektroaprīkojumam un elektroinstalācijai jāatbilst piemērojamām Eiropas Savienības elektrodrošības un elektromagnētiskās saderības prasībām, kā arī EN 60204-1 vai līdzvērtīga standarta prasībām. Elektroapgādei jābūt savietojamai ar Pasūtītāja tīklu: 3 × 230/400 V, 50 Hz, kā arī 230 V, 50 Hz vienfāzes pieslēgumiem. Pirms uzstādīšanas Izpildītājam ar Pasūtītāju jāsaskaņo nepieciešamais fāžu skaits, maksimālā strāva vienā fāzē, kopējā uzstādītā jauda un pieslēguma aizsardzība.</w:t>
            </w:r>
          </w:p>
        </w:tc>
        <w:tc>
          <w:tcPr>
            <w:tcW w:w="3426" w:type="dxa"/>
          </w:tcPr>
          <w:p w14:paraId="286707A3">
            <w:pPr>
              <w:pStyle w:val="28"/>
              <w:jc w:val="left"/>
              <w:rPr>
                <w:color w:val="auto"/>
              </w:rPr>
            </w:pPr>
            <w:r>
              <w:rPr>
                <w:i/>
                <w:iCs/>
                <w:color w:val="auto"/>
              </w:rPr>
              <w:t>The electrical equipment and electrical installation of the research environment shall comply with the applicable European Union electrical-safety and electromagnetic-compatibility requirements and with EN 60204-1 or an equivalent standard. The power supply shall be compatible with the Contracting Authority’s electrical network: 3 × 230/400 V, 50 Hz, and 230 V, 50 Hz for single-phase connections. Before installation, the Contractor shall coordinate with the Contracting Authority the required number of phases, maximum current per phase, total installed power and supply protection.</w:t>
            </w:r>
          </w:p>
        </w:tc>
        <w:tc>
          <w:p w14:paraId="781DF7B6">
            <w:pPr>
              <w:pStyle w:val="28"/>
              <w:jc w:val="left"/>
              <w:rPr>
                <w:color w:val="auto"/>
              </w:rPr>
            </w:pPr>
            <w:r>
              <w:rPr>
                <w:color w:val="auto"/>
              </w:rPr>
              <w:t>Atbilst / Complies</w:t>
            </w:r>
          </w:p>
        </w:tc>
      </w:tr>
      <w:tr w14:paraId="17C48A3B">
        <w:tc>
          <w:p w14:paraId="2D4EF332">
            <w:pPr>
              <w:pStyle w:val="28"/>
              <w:jc w:val="left"/>
              <w:rPr>
                <w:color w:val="auto"/>
              </w:rPr>
            </w:pPr>
            <w:r>
              <w:rPr>
                <w:b/>
                <w:bCs/>
                <w:color w:val="auto"/>
              </w:rPr>
              <w:t>5.3.2</w:t>
            </w:r>
          </w:p>
        </w:tc>
        <w:tc>
          <w:tcPr>
            <w:tcW w:w="3574" w:type="dxa"/>
          </w:tcPr>
          <w:p w14:paraId="47F3CA1D">
            <w:pPr>
              <w:pStyle w:val="28"/>
              <w:jc w:val="left"/>
              <w:rPr>
                <w:color w:val="auto"/>
              </w:rPr>
            </w:pPr>
            <w:r>
              <w:rPr>
                <w:color w:val="auto"/>
              </w:rPr>
              <w:t>Pirms uzstādīšanas Izpildītājam jānosaka un ar Pasūtītāju jāsaskaņo pētniecības videi nepieciešamie saspiestā gaisa parametri, tostarp spiediens, plūsma un gaisa kvalitāte, kā arī datu tīkla un citu ārējo pieslēgumu prasības.</w:t>
            </w:r>
          </w:p>
        </w:tc>
        <w:tc>
          <w:tcPr>
            <w:tcW w:w="3426" w:type="dxa"/>
          </w:tcPr>
          <w:p w14:paraId="4957B281">
            <w:pPr>
              <w:pStyle w:val="28"/>
              <w:jc w:val="left"/>
              <w:rPr>
                <w:color w:val="auto"/>
              </w:rPr>
            </w:pPr>
            <w:r>
              <w:rPr>
                <w:i/>
                <w:iCs/>
                <w:color w:val="auto"/>
              </w:rPr>
              <w:t>Before installation, the Contractor shall determine and coordinate with the Contracting Authority the compressed-air parameters required for the research environment, including pressure, flow rate and air quality, as well as the requirements for the data network and other external connections.</w:t>
            </w:r>
          </w:p>
        </w:tc>
        <w:tc>
          <w:p w14:paraId="197FD7BD">
            <w:pPr>
              <w:pStyle w:val="28"/>
              <w:jc w:val="left"/>
              <w:rPr>
                <w:color w:val="auto"/>
              </w:rPr>
            </w:pPr>
            <w:r>
              <w:rPr>
                <w:color w:val="auto"/>
              </w:rPr>
              <w:t>Atbilst / Complies</w:t>
            </w:r>
          </w:p>
        </w:tc>
      </w:tr>
      <w:tr w14:paraId="1C261901">
        <w:tc>
          <w:p w14:paraId="44C6301A">
            <w:pPr>
              <w:pStyle w:val="28"/>
              <w:jc w:val="left"/>
              <w:rPr>
                <w:color w:val="auto"/>
              </w:rPr>
            </w:pPr>
            <w:r>
              <w:rPr>
                <w:b/>
                <w:bCs/>
                <w:color w:val="auto"/>
              </w:rPr>
              <w:t>5.3.3</w:t>
            </w:r>
          </w:p>
        </w:tc>
        <w:tc>
          <w:tcPr>
            <w:tcW w:w="3574" w:type="dxa"/>
          </w:tcPr>
          <w:p w14:paraId="434B8AB0">
            <w:pPr>
              <w:pStyle w:val="28"/>
              <w:jc w:val="left"/>
              <w:rPr>
                <w:color w:val="auto"/>
              </w:rPr>
            </w:pPr>
            <w:r>
              <w:rPr>
                <w:color w:val="auto"/>
              </w:rPr>
              <w:t>Izpildītājam jānodrošina pētniecības vides sastāvdaļu savstarpējie elektriskie, pneimatiskie un datu savienojumi, kā arī nepieciešamā kabeļu un cauruļvadu instalācija no saskaņotajiem ārējo pieslēgumu punktiem.</w:t>
            </w:r>
          </w:p>
        </w:tc>
        <w:tc>
          <w:tcPr>
            <w:tcW w:w="3426" w:type="dxa"/>
          </w:tcPr>
          <w:p w14:paraId="7A1506A2">
            <w:pPr>
              <w:pStyle w:val="28"/>
              <w:jc w:val="left"/>
              <w:rPr>
                <w:color w:val="auto"/>
              </w:rPr>
            </w:pPr>
            <w:r>
              <w:rPr>
                <w:i/>
                <w:iCs/>
                <w:color w:val="auto"/>
              </w:rPr>
              <w:t>The Contractor shall provide the electrical, pneumatic and data connections between the components of the research environment, including the required cabling and pipework from the agreed external connection points.</w:t>
            </w:r>
          </w:p>
        </w:tc>
        <w:tc>
          <w:p w14:paraId="4193FAD7">
            <w:pPr>
              <w:pStyle w:val="28"/>
              <w:jc w:val="left"/>
              <w:rPr>
                <w:color w:val="auto"/>
              </w:rPr>
            </w:pPr>
            <w:r>
              <w:rPr>
                <w:color w:val="auto"/>
              </w:rPr>
              <w:t>Atbilst / Complies</w:t>
            </w:r>
          </w:p>
        </w:tc>
      </w:tr>
      <w:tr w14:paraId="0D3D19FF">
        <w:tc>
          <w:p w14:paraId="339B9B49">
            <w:pPr>
              <w:pStyle w:val="28"/>
              <w:jc w:val="left"/>
              <w:rPr>
                <w:color w:val="auto"/>
              </w:rPr>
            </w:pPr>
            <w:r>
              <w:rPr>
                <w:b/>
                <w:bCs/>
                <w:color w:val="auto"/>
              </w:rPr>
              <w:t>5.3.4</w:t>
            </w:r>
          </w:p>
        </w:tc>
        <w:tc>
          <w:tcPr>
            <w:tcW w:w="3574" w:type="dxa"/>
          </w:tcPr>
          <w:p w14:paraId="7F360400">
            <w:pPr>
              <w:pStyle w:val="28"/>
              <w:jc w:val="left"/>
              <w:rPr>
                <w:color w:val="auto"/>
              </w:rPr>
            </w:pPr>
            <w:r>
              <w:rPr>
                <w:color w:val="auto"/>
              </w:rPr>
              <w:t>Pētniecības videi kā integrētai sistēmai jāatbilst piemērojamām Eiropas Savienības CE marķējuma prasībām. Sistēmai jābūt marķētai ar CE marķējumu un nodrošinātai ar ES atbilstības deklarāciju.</w:t>
            </w:r>
          </w:p>
        </w:tc>
        <w:tc>
          <w:tcPr>
            <w:tcW w:w="3426" w:type="dxa"/>
          </w:tcPr>
          <w:p w14:paraId="626FE2C4">
            <w:pPr>
              <w:pStyle w:val="28"/>
              <w:jc w:val="left"/>
              <w:rPr>
                <w:color w:val="auto"/>
              </w:rPr>
            </w:pPr>
            <w:r>
              <w:rPr>
                <w:i/>
                <w:iCs/>
                <w:color w:val="auto"/>
              </w:rPr>
              <w:t>The research environment as an integrated system shall comply with the applicable European Union CE-marking requirements. The system shall bear the CE marking and be accompanied by an EU Declaration of Conformity.</w:t>
            </w:r>
          </w:p>
        </w:tc>
        <w:tc>
          <w:p w14:paraId="410801A4">
            <w:pPr>
              <w:pStyle w:val="28"/>
              <w:jc w:val="left"/>
              <w:rPr>
                <w:color w:val="auto"/>
              </w:rPr>
            </w:pPr>
            <w:r>
              <w:rPr>
                <w:color w:val="auto"/>
              </w:rPr>
              <w:t>Atbilst / Complies</w:t>
            </w:r>
          </w:p>
        </w:tc>
      </w:tr>
    </w:tbl>
    <w:p w14:paraId="73C0846E">
      <w:pPr>
        <w:pStyle w:val="3"/>
        <w:rPr>
          <w:color w:val="auto"/>
        </w:rPr>
      </w:pPr>
      <w:r>
        <w:rPr>
          <w:b/>
          <w:bCs/>
          <w:color w:val="auto"/>
        </w:rPr>
        <w:t>6. NODEVUMI, PIEŅEMŠANA, TERMIŅŠ UN ATBALSTS</w:t>
      </w:r>
    </w:p>
    <w:p w14:paraId="64DB4B61">
      <w:pPr>
        <w:pStyle w:val="3"/>
        <w:rPr>
          <w:color w:val="auto"/>
        </w:rPr>
      </w:pPr>
      <w:r>
        <w:rPr>
          <w:b/>
          <w:bCs/>
          <w:i/>
          <w:iCs/>
          <w:color w:val="auto"/>
        </w:rPr>
        <w:t>6. DELIVERABLES, ACCEPTANCE, EXECUTION PERIOD AND SUPPORT</w:t>
      </w:r>
    </w:p>
    <w:p w14:paraId="6A86DDCE">
      <w:pPr>
        <w:pStyle w:val="3"/>
        <w:rPr>
          <w:color w:val="auto"/>
        </w:rPr>
      </w:pPr>
      <w:r>
        <w:rPr>
          <w:b/>
          <w:bCs/>
          <w:color w:val="auto"/>
        </w:rPr>
        <w:t>6.1 Nodevumi un tehniskā dokumentācija / Deliverables and technical documentation</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74"/>
        <w:gridCol w:w="3426"/>
        <w:gridCol w:w="2900"/>
      </w:tblGrid>
      <w:tr w14:paraId="41B6B82E">
        <w:trPr>
          <w:tblHeader/>
        </w:trPr>
        <w:tc>
          <w:p w14:paraId="64446F77">
            <w:pPr>
              <w:pStyle w:val="28"/>
              <w:jc w:val="left"/>
              <w:rPr>
                <w:color w:val="auto"/>
              </w:rPr>
            </w:pPr>
            <w:r>
              <w:rPr>
                <w:b/>
                <w:bCs/>
                <w:color w:val="auto"/>
              </w:rPr>
              <w:t>Nr.</w:t>
            </w:r>
          </w:p>
        </w:tc>
        <w:tc>
          <w:tcPr>
            <w:tcW w:w="3574" w:type="dxa"/>
          </w:tcPr>
          <w:p w14:paraId="3EC513D3">
            <w:pPr>
              <w:pStyle w:val="28"/>
              <w:jc w:val="left"/>
              <w:rPr>
                <w:color w:val="auto"/>
              </w:rPr>
            </w:pPr>
            <w:r>
              <w:rPr>
                <w:b/>
                <w:bCs/>
                <w:color w:val="auto"/>
              </w:rPr>
              <w:t>Prasība (Latviešu) / Requirement (Latvian)</w:t>
            </w:r>
          </w:p>
        </w:tc>
        <w:tc>
          <w:tcPr>
            <w:tcW w:w="3426" w:type="dxa"/>
          </w:tcPr>
          <w:p w14:paraId="3B7AC00E">
            <w:pPr>
              <w:pStyle w:val="28"/>
              <w:jc w:val="left"/>
              <w:rPr>
                <w:color w:val="auto"/>
              </w:rPr>
            </w:pPr>
            <w:r>
              <w:rPr>
                <w:b/>
                <w:bCs/>
                <w:color w:val="auto"/>
              </w:rPr>
              <w:t>Requirement (English)</w:t>
            </w:r>
          </w:p>
        </w:tc>
        <w:tc>
          <w:p w14:paraId="528A3623">
            <w:pPr>
              <w:pStyle w:val="28"/>
              <w:jc w:val="left"/>
              <w:rPr>
                <w:color w:val="auto"/>
              </w:rPr>
            </w:pPr>
            <w:r>
              <w:rPr>
                <w:b/>
                <w:bCs/>
                <w:color w:val="auto"/>
              </w:rPr>
              <w:t>Pretendenta atbilstības apraksts / Supplier compliance statement</w:t>
            </w:r>
          </w:p>
        </w:tc>
      </w:tr>
      <w:tr w14:paraId="0B98400D">
        <w:tc>
          <w:p w14:paraId="16A433D0">
            <w:pPr>
              <w:pStyle w:val="28"/>
              <w:jc w:val="left"/>
              <w:rPr>
                <w:color w:val="auto"/>
              </w:rPr>
            </w:pPr>
            <w:r>
              <w:rPr>
                <w:b/>
                <w:bCs/>
                <w:color w:val="auto"/>
              </w:rPr>
              <w:t>6.1.1</w:t>
            </w:r>
          </w:p>
        </w:tc>
        <w:tc>
          <w:tcPr>
            <w:tcW w:w="3574" w:type="dxa"/>
          </w:tcPr>
          <w:p w14:paraId="18347CC4">
            <w:pPr>
              <w:pStyle w:val="28"/>
              <w:jc w:val="left"/>
              <w:rPr>
                <w:color w:val="auto"/>
              </w:rPr>
            </w:pPr>
            <w:r>
              <w:rPr>
                <w:color w:val="auto"/>
              </w:rPr>
              <w:t>Izpildītājam jāiesniedz DAĻĀ 1 noteiktie pētījuma ziņojumi angļu valodā. Ziņojumos jāietver pētījuma metodika, pārbaudītās hipotēzes, veikto pētījuma darbību un testu apraksts, iegūto rezultātu analīze, praktiskās validācijas rezultāti, secinājumi un ieteikumi.</w:t>
            </w:r>
          </w:p>
        </w:tc>
        <w:tc>
          <w:tcPr>
            <w:tcW w:w="3426" w:type="dxa"/>
          </w:tcPr>
          <w:p w14:paraId="66480ED8">
            <w:pPr>
              <w:pStyle w:val="28"/>
              <w:jc w:val="left"/>
              <w:rPr>
                <w:color w:val="auto"/>
              </w:rPr>
            </w:pPr>
            <w:r>
              <w:rPr>
                <w:i/>
                <w:iCs/>
                <w:color w:val="auto"/>
              </w:rPr>
              <w:t>The Contractor shall submit the research reports specified in PART 1 in English. The reports shall include the research methodology, hypotheses tested, a description of the research activities and tests performed, analysis of the results, practical validation results, conclusions and recommendations.</w:t>
            </w:r>
          </w:p>
        </w:tc>
        <w:tc>
          <w:p w14:paraId="46F18874">
            <w:pPr>
              <w:pStyle w:val="28"/>
              <w:jc w:val="left"/>
              <w:rPr>
                <w:color w:val="auto"/>
              </w:rPr>
            </w:pPr>
            <w:r>
              <w:rPr>
                <w:color w:val="auto"/>
              </w:rPr>
              <w:t>Atbilst / Complies</w:t>
            </w:r>
          </w:p>
        </w:tc>
      </w:tr>
      <w:tr w14:paraId="39010182">
        <w:tc>
          <w:p w14:paraId="49ED332B">
            <w:pPr>
              <w:pStyle w:val="28"/>
              <w:jc w:val="left"/>
              <w:rPr>
                <w:color w:val="auto"/>
              </w:rPr>
            </w:pPr>
            <w:r>
              <w:rPr>
                <w:b/>
                <w:bCs/>
                <w:color w:val="auto"/>
              </w:rPr>
              <w:t>6.1.2</w:t>
            </w:r>
          </w:p>
        </w:tc>
        <w:tc>
          <w:tcPr>
            <w:tcW w:w="3574" w:type="dxa"/>
          </w:tcPr>
          <w:p w14:paraId="0B1E914A">
            <w:pPr>
              <w:pStyle w:val="28"/>
              <w:jc w:val="left"/>
              <w:rPr>
                <w:color w:val="auto"/>
              </w:rPr>
            </w:pPr>
            <w:r>
              <w:rPr>
                <w:color w:val="auto"/>
              </w:rPr>
              <w:t>Kopā ar pētījuma ziņojumiem Izpildītājam elektroniskā formātā jāiesniedz visi pētījumā iegūtie neapstrādātie un apkopotie dati, ietverot paraugu identifikāciju, izmantotos procesa parametrus un mērījumu rezultātus.</w:t>
            </w:r>
          </w:p>
        </w:tc>
        <w:tc>
          <w:tcPr>
            <w:tcW w:w="3426" w:type="dxa"/>
          </w:tcPr>
          <w:p w14:paraId="091A9B1C">
            <w:pPr>
              <w:pStyle w:val="28"/>
              <w:jc w:val="left"/>
              <w:rPr>
                <w:color w:val="auto"/>
              </w:rPr>
            </w:pPr>
            <w:r>
              <w:rPr>
                <w:i/>
                <w:iCs/>
                <w:color w:val="auto"/>
              </w:rPr>
              <w:t>Together with the research reports, the Contractor shall submit electronically all raw and aggregated data obtained during the research, including specimen identification, applied process parameters and measurement results.</w:t>
            </w:r>
          </w:p>
        </w:tc>
        <w:tc>
          <w:p w14:paraId="7E9CBAAB">
            <w:pPr>
              <w:pStyle w:val="28"/>
              <w:jc w:val="left"/>
              <w:rPr>
                <w:color w:val="auto"/>
              </w:rPr>
            </w:pPr>
            <w:r>
              <w:rPr>
                <w:color w:val="auto"/>
              </w:rPr>
              <w:t>Atbilst / Complies</w:t>
            </w:r>
          </w:p>
        </w:tc>
      </w:tr>
      <w:tr w14:paraId="603580A7">
        <w:tc>
          <w:p w14:paraId="5E37FDB1">
            <w:pPr>
              <w:pStyle w:val="28"/>
              <w:jc w:val="left"/>
              <w:rPr>
                <w:color w:val="auto"/>
              </w:rPr>
            </w:pPr>
            <w:r>
              <w:rPr>
                <w:b/>
                <w:bCs/>
                <w:color w:val="auto"/>
              </w:rPr>
              <w:t>6.1.3</w:t>
            </w:r>
          </w:p>
        </w:tc>
        <w:tc>
          <w:tcPr>
            <w:tcW w:w="3574" w:type="dxa"/>
          </w:tcPr>
          <w:p w14:paraId="2FF4E740">
            <w:pPr>
              <w:pStyle w:val="28"/>
              <w:jc w:val="left"/>
              <w:rPr>
                <w:color w:val="auto"/>
              </w:rPr>
            </w:pPr>
            <w:r>
              <w:rPr>
                <w:color w:val="auto"/>
              </w:rPr>
              <w:t>Izpildītājam jāiesniedz pētniecības vides tehniskā dokumentācija angļu valodā, ietverot vismaz galīgo izkārtojuma plānu, ekspluatācijas un apkopes rokasgrāmatas, elektriskās un pneimatiskās shēmas, kalibrācijas protokolus, risku novērtējumu un ES atbilstības deklarāciju.</w:t>
            </w:r>
          </w:p>
        </w:tc>
        <w:tc>
          <w:tcPr>
            <w:tcW w:w="3426" w:type="dxa"/>
          </w:tcPr>
          <w:p w14:paraId="31BB9A97">
            <w:pPr>
              <w:pStyle w:val="28"/>
              <w:jc w:val="left"/>
              <w:rPr>
                <w:color w:val="auto"/>
              </w:rPr>
            </w:pPr>
            <w:r>
              <w:rPr>
                <w:i/>
                <w:iCs/>
                <w:color w:val="auto"/>
              </w:rPr>
              <w:t>The Contractor shall submit the technical documentation of the research environment in English, including, as a minimum, the final layout plan, operation and maintenance manuals, electrical and pneumatic diagrams, calibration protocols, risk assessment and EU Declaration of Conformity.</w:t>
            </w:r>
          </w:p>
        </w:tc>
        <w:tc>
          <w:p w14:paraId="70486594">
            <w:pPr>
              <w:pStyle w:val="28"/>
              <w:jc w:val="left"/>
              <w:rPr>
                <w:color w:val="auto"/>
              </w:rPr>
            </w:pPr>
            <w:r>
              <w:rPr>
                <w:color w:val="auto"/>
              </w:rPr>
              <w:t>Atbilst / Complies</w:t>
            </w:r>
          </w:p>
        </w:tc>
      </w:tr>
      <w:tr w14:paraId="53E44D08">
        <w:tc>
          <w:p w14:paraId="6EC9F0C9">
            <w:pPr>
              <w:pStyle w:val="28"/>
              <w:jc w:val="left"/>
              <w:rPr>
                <w:color w:val="auto"/>
              </w:rPr>
            </w:pPr>
            <w:r>
              <w:rPr>
                <w:b/>
                <w:bCs/>
                <w:color w:val="auto"/>
              </w:rPr>
              <w:t>6.1.4</w:t>
            </w:r>
          </w:p>
        </w:tc>
        <w:tc>
          <w:tcPr>
            <w:tcW w:w="3574" w:type="dxa"/>
          </w:tcPr>
          <w:p w14:paraId="40CB31FC">
            <w:pPr>
              <w:pStyle w:val="28"/>
              <w:jc w:val="left"/>
              <w:rPr>
                <w:color w:val="auto"/>
              </w:rPr>
            </w:pPr>
            <w:r>
              <w:rPr>
                <w:color w:val="auto"/>
              </w:rPr>
              <w:t>Izpildītājam jānodod Pasūtītājam robotu un PLC programmu rezerves kopijas un konfigurācijas faili, digitālā dvīņa projekta faili, Edge platformas konfigurācijas faili un datu apmaiņas saskarņu, tostarp REST API, dokumentācija. Izpildītājam jānodrošina arī visu šo nodevumu lietošanai nepieciešamās licences atbilstoši piedāvājumā norādītajiem licencēšanas nosacījumiem.</w:t>
            </w:r>
          </w:p>
        </w:tc>
        <w:tc>
          <w:tcPr>
            <w:tcW w:w="3426" w:type="dxa"/>
          </w:tcPr>
          <w:p w14:paraId="30E3657C">
            <w:pPr>
              <w:pStyle w:val="28"/>
              <w:jc w:val="left"/>
              <w:rPr>
                <w:color w:val="auto"/>
              </w:rPr>
            </w:pPr>
            <w:r>
              <w:rPr>
                <w:i/>
                <w:iCs/>
                <w:color w:val="auto"/>
              </w:rPr>
              <w:t>The Contractor shall provide the Contracting Authority with backup copies and configuration files of the robot and PLC programs, the digital-twin project files, the Edge-platform configuration files and documentation of the data-exchange interfaces, including the REST API. The Contractor shall also provide all licences required to use these deliverables in accordance with the licensing terms stated in the tender.</w:t>
            </w:r>
          </w:p>
        </w:tc>
        <w:tc>
          <w:p w14:paraId="0DC4C6BB">
            <w:pPr>
              <w:pStyle w:val="28"/>
              <w:jc w:val="left"/>
              <w:rPr>
                <w:color w:val="auto"/>
              </w:rPr>
            </w:pPr>
            <w:r>
              <w:rPr>
                <w:color w:val="auto"/>
              </w:rPr>
              <w:t>Atbilst / Complies</w:t>
            </w:r>
          </w:p>
        </w:tc>
      </w:tr>
    </w:tbl>
    <w:p w14:paraId="374DD4D9">
      <w:pPr>
        <w:pStyle w:val="3"/>
        <w:rPr>
          <w:color w:val="auto"/>
        </w:rPr>
      </w:pPr>
      <w:r>
        <w:rPr>
          <w:b/>
          <w:bCs/>
          <w:color w:val="auto"/>
        </w:rPr>
        <w:t>6.2 Pieņemšanas pārbaudes / Acceptance tests</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63"/>
        <w:gridCol w:w="3437"/>
        <w:gridCol w:w="2900"/>
      </w:tblGrid>
      <w:tr w14:paraId="535C9F3A">
        <w:trPr>
          <w:tblHeader/>
        </w:trPr>
        <w:tc>
          <w:p w14:paraId="35AC8AAE">
            <w:pPr>
              <w:pStyle w:val="28"/>
              <w:jc w:val="left"/>
              <w:rPr>
                <w:color w:val="auto"/>
              </w:rPr>
            </w:pPr>
            <w:r>
              <w:rPr>
                <w:b/>
                <w:bCs/>
                <w:color w:val="auto"/>
              </w:rPr>
              <w:t>Nr.</w:t>
            </w:r>
          </w:p>
        </w:tc>
        <w:tc>
          <w:tcPr>
            <w:tcW w:w="3563" w:type="dxa"/>
          </w:tcPr>
          <w:p w14:paraId="4C369526">
            <w:pPr>
              <w:pStyle w:val="28"/>
              <w:jc w:val="left"/>
              <w:rPr>
                <w:color w:val="auto"/>
              </w:rPr>
            </w:pPr>
            <w:r>
              <w:rPr>
                <w:b/>
                <w:bCs/>
                <w:color w:val="auto"/>
              </w:rPr>
              <w:t>Prasība (Latviešu) / Requirement (Latvian)</w:t>
            </w:r>
          </w:p>
        </w:tc>
        <w:tc>
          <w:tcPr>
            <w:tcW w:w="3437" w:type="dxa"/>
          </w:tcPr>
          <w:p w14:paraId="46D4E263">
            <w:pPr>
              <w:pStyle w:val="28"/>
              <w:jc w:val="left"/>
              <w:rPr>
                <w:color w:val="auto"/>
              </w:rPr>
            </w:pPr>
            <w:r>
              <w:rPr>
                <w:b/>
                <w:bCs/>
                <w:color w:val="auto"/>
              </w:rPr>
              <w:t>Requirement (English)</w:t>
            </w:r>
          </w:p>
        </w:tc>
        <w:tc>
          <w:p w14:paraId="259B97B7">
            <w:pPr>
              <w:pStyle w:val="28"/>
              <w:jc w:val="left"/>
              <w:rPr>
                <w:color w:val="auto"/>
              </w:rPr>
            </w:pPr>
            <w:r>
              <w:rPr>
                <w:b/>
                <w:bCs/>
                <w:color w:val="auto"/>
              </w:rPr>
              <w:t>Pretendenta atbilstības apraksts / Supplier compliance statement</w:t>
            </w:r>
          </w:p>
        </w:tc>
      </w:tr>
      <w:tr w14:paraId="0A0BA1D7">
        <w:tc>
          <w:p w14:paraId="0DC0D145">
            <w:pPr>
              <w:pStyle w:val="28"/>
              <w:jc w:val="left"/>
              <w:rPr>
                <w:color w:val="auto"/>
              </w:rPr>
            </w:pPr>
            <w:r>
              <w:rPr>
                <w:b/>
                <w:bCs/>
                <w:color w:val="auto"/>
              </w:rPr>
              <w:t>6.2.1</w:t>
            </w:r>
          </w:p>
        </w:tc>
        <w:tc>
          <w:tcPr>
            <w:tcW w:w="3563" w:type="dxa"/>
          </w:tcPr>
          <w:p w14:paraId="5C476353">
            <w:pPr>
              <w:pStyle w:val="28"/>
              <w:jc w:val="left"/>
              <w:rPr>
                <w:color w:val="auto"/>
              </w:rPr>
            </w:pPr>
            <w:r>
              <w:rPr>
                <w:color w:val="auto"/>
              </w:rPr>
              <w:t>Pirms pētniecības vides pieņemšanas Izpildītājam sadarbībā ar Pasūtītāju jāveic tās funkcionālās un drošības pārbaudes. Pārbaužu rezultāti jādokumentē pieņemšanas pārbaužu protokolā. Pieņemšanas pārbaudes neaizstāj DAĻĀ 1 noteiktās pētījuma darbības un testus.</w:t>
            </w:r>
          </w:p>
        </w:tc>
        <w:tc>
          <w:tcPr>
            <w:tcW w:w="3437" w:type="dxa"/>
          </w:tcPr>
          <w:p w14:paraId="2D88B444">
            <w:pPr>
              <w:pStyle w:val="28"/>
              <w:jc w:val="left"/>
              <w:rPr>
                <w:color w:val="auto"/>
              </w:rPr>
            </w:pPr>
            <w:r>
              <w:rPr>
                <w:i/>
                <w:iCs/>
                <w:color w:val="auto"/>
              </w:rPr>
              <w:t>Before acceptance of the research environment, the Contractor shall perform its functional and safety tests in cooperation with the Contracting Authority. The test results shall be documented in an acceptance-test report. The acceptance tests shall not replace the research activities and tests specified in PART 1.</w:t>
            </w:r>
          </w:p>
        </w:tc>
        <w:tc>
          <w:p w14:paraId="66F8E680">
            <w:pPr>
              <w:pStyle w:val="28"/>
              <w:jc w:val="left"/>
              <w:rPr>
                <w:color w:val="auto"/>
              </w:rPr>
            </w:pPr>
            <w:r>
              <w:rPr>
                <w:color w:val="auto"/>
              </w:rPr>
              <w:t>Atbilst / Complies</w:t>
            </w:r>
          </w:p>
        </w:tc>
      </w:tr>
      <w:tr w14:paraId="2736A385">
        <w:tc>
          <w:p w14:paraId="52B96A2C">
            <w:pPr>
              <w:pStyle w:val="28"/>
              <w:jc w:val="left"/>
              <w:rPr>
                <w:color w:val="auto"/>
              </w:rPr>
            </w:pPr>
            <w:r>
              <w:rPr>
                <w:b/>
                <w:bCs/>
                <w:color w:val="auto"/>
              </w:rPr>
              <w:t>6.2.2</w:t>
            </w:r>
          </w:p>
        </w:tc>
        <w:tc>
          <w:tcPr>
            <w:tcW w:w="3563" w:type="dxa"/>
          </w:tcPr>
          <w:p w14:paraId="772BEE10">
            <w:pPr>
              <w:pStyle w:val="28"/>
              <w:jc w:val="left"/>
              <w:rPr>
                <w:color w:val="auto"/>
              </w:rPr>
            </w:pPr>
            <w:r>
              <w:rPr>
                <w:color w:val="auto"/>
              </w:rPr>
              <w:t>Funkcionālajās pārbaudēs jāapliecina robota, portāla tipa pārvietošanas sistēmas un ekstrūzijas metināšanas instrumenta koordinēta darbība, kā arī metināšanas instrumenta pārvietošanas iespēja visā darba zonas garumā bez sagataves manuālas pārvietošanas. Robotizētas HDPE ekstrūzijas metināšanas process jāpārbauda ar 3 mm un 4 mm diametra HDPE metināšanas stiepli.</w:t>
            </w:r>
          </w:p>
        </w:tc>
        <w:tc>
          <w:tcPr>
            <w:tcW w:w="3437" w:type="dxa"/>
          </w:tcPr>
          <w:p w14:paraId="60D3F386">
            <w:pPr>
              <w:pStyle w:val="28"/>
              <w:jc w:val="left"/>
              <w:rPr>
                <w:color w:val="auto"/>
                <w:lang w:val="en-US"/>
              </w:rPr>
            </w:pPr>
            <w:r>
              <w:rPr>
                <w:i/>
                <w:iCs/>
                <w:color w:val="auto"/>
                <w:lang w:val="en-US"/>
              </w:rPr>
              <w:t>The functional tests shall demonstrate the coordinated operation of the robot, gantry-type positioning system and extrusion welding tool, as well as the ability to move the welding tool throughout the length of the working area without manual repositioning of the workpiece. The robotic HDPE extrusion welding process shall be tested using HDPE welding rods with diameters of 3 mm and 4 mm.</w:t>
            </w:r>
          </w:p>
        </w:tc>
        <w:tc>
          <w:p w14:paraId="24D6BB85">
            <w:pPr>
              <w:pStyle w:val="28"/>
              <w:jc w:val="left"/>
              <w:rPr>
                <w:color w:val="auto"/>
              </w:rPr>
            </w:pPr>
            <w:r>
              <w:rPr>
                <w:color w:val="auto"/>
              </w:rPr>
              <w:t>Atbilst / Complies</w:t>
            </w:r>
          </w:p>
        </w:tc>
      </w:tr>
      <w:tr w14:paraId="66C1A68E">
        <w:tc>
          <w:p w14:paraId="64426A2B">
            <w:pPr>
              <w:pStyle w:val="28"/>
              <w:jc w:val="left"/>
              <w:rPr>
                <w:color w:val="auto"/>
              </w:rPr>
            </w:pPr>
            <w:r>
              <w:rPr>
                <w:b/>
                <w:bCs/>
                <w:color w:val="auto"/>
              </w:rPr>
              <w:t>6.2.3</w:t>
            </w:r>
          </w:p>
        </w:tc>
        <w:tc>
          <w:tcPr>
            <w:tcW w:w="3563" w:type="dxa"/>
          </w:tcPr>
          <w:p w14:paraId="11972D4E">
            <w:pPr>
              <w:pStyle w:val="28"/>
              <w:jc w:val="left"/>
              <w:rPr>
                <w:color w:val="auto"/>
              </w:rPr>
            </w:pPr>
            <w:r>
              <w:rPr>
                <w:color w:val="auto"/>
              </w:rPr>
              <w:t>Pieņemšanas pārbaudēs jāapliecina digitālā dvīņa un robota bezsaistes programmēšanas vides darbība, ietverot kustību simulāciju, sasniedzamības un iespējamo sadursmju pārbaudi, papildu 3D modeļa importēšanu, robota trajektorijas ģenerēšanu vai atjaunināšanu, kā arī testa programmas pārsūtīšanu uz robota vadības sistēmu un tās izpildi pētniecības vidē.</w:t>
            </w:r>
          </w:p>
        </w:tc>
        <w:tc>
          <w:tcPr>
            <w:tcW w:w="3437" w:type="dxa"/>
          </w:tcPr>
          <w:p w14:paraId="11C771B3">
            <w:pPr>
              <w:pStyle w:val="28"/>
              <w:jc w:val="left"/>
              <w:rPr>
                <w:color w:val="auto"/>
              </w:rPr>
            </w:pPr>
            <w:r>
              <w:rPr>
                <w:i/>
                <w:iCs/>
                <w:color w:val="auto"/>
              </w:rPr>
              <w:t>The acceptance tests shall demonstrate the operation of the digital twin and offline robot programming environment, including motion simulation, reachability and potential-collision checks, import of an additional 3D model, generation or updating of a robot path, and transfer of a test program to the robot control system and its execution in the research environment.</w:t>
            </w:r>
          </w:p>
        </w:tc>
        <w:tc>
          <w:p w14:paraId="1380BE49">
            <w:pPr>
              <w:pStyle w:val="28"/>
              <w:jc w:val="left"/>
              <w:rPr>
                <w:color w:val="auto"/>
              </w:rPr>
            </w:pPr>
            <w:r>
              <w:rPr>
                <w:color w:val="auto"/>
              </w:rPr>
              <w:t>Atbilst / Complies</w:t>
            </w:r>
          </w:p>
        </w:tc>
      </w:tr>
      <w:tr w14:paraId="38300752">
        <w:tc>
          <w:p w14:paraId="3BAA154B">
            <w:pPr>
              <w:pStyle w:val="28"/>
              <w:jc w:val="left"/>
              <w:rPr>
                <w:color w:val="auto"/>
              </w:rPr>
            </w:pPr>
            <w:r>
              <w:rPr>
                <w:b/>
                <w:bCs/>
                <w:color w:val="auto"/>
              </w:rPr>
              <w:t>6.2.4</w:t>
            </w:r>
          </w:p>
        </w:tc>
        <w:tc>
          <w:tcPr>
            <w:tcW w:w="3563" w:type="dxa"/>
          </w:tcPr>
          <w:p w14:paraId="134BB78B">
            <w:pPr>
              <w:pStyle w:val="28"/>
              <w:jc w:val="left"/>
              <w:rPr>
                <w:color w:val="auto"/>
              </w:rPr>
            </w:pPr>
            <w:r>
              <w:rPr>
                <w:color w:val="auto"/>
              </w:rPr>
              <w:t>Pieņemšanas pārbaudēs jāapliecina Edge platformas spēja iegūt un lokāli saglabāt pieejamos procesa datus, kā arī veikt DAĻĀ 1 un 4.3. apakšnodaļā noteiktās datu apmaiņas un sintētiskās datu slodzes pārbaudes. Jāpārbauda arī DAĻĀ 1 2.6.3. punktā noteiktā integrācijas modeļa pievienošana, izmantojot 4.3.2. punktā noteikto REST API. Pārbaudēs jānosaka datu apmaiņas latentums, caurlaidspēja un laika svārstības, kā arī pakešu zuduma līmenis atteices scenārijos. Iegūtie rezultāti jādokumentē.</w:t>
            </w:r>
          </w:p>
        </w:tc>
        <w:tc>
          <w:tcPr>
            <w:tcW w:w="3437" w:type="dxa"/>
          </w:tcPr>
          <w:p w14:paraId="0D6E2732">
            <w:pPr>
              <w:pStyle w:val="28"/>
              <w:jc w:val="left"/>
              <w:rPr>
                <w:color w:val="auto"/>
              </w:rPr>
            </w:pPr>
            <w:r>
              <w:rPr>
                <w:i/>
                <w:iCs/>
                <w:color w:val="auto"/>
              </w:rPr>
              <w:t>The acceptance tests shall demonstrate the Edge platform’s ability to acquire and locally store the available process data and to perform the data-exchange and synthetic-data-load tests specified in PART 1 and Subsection 4.3. The connection of the integration model specified in Point 2.6.3 of PART 1 through the REST API specified in Point 4.3.2 shall also be tested. The tests shall determine data-exchange latency, throughput and jitter, as well as the packet-loss rate under failure scenarios. The results shall be documented.</w:t>
            </w:r>
          </w:p>
        </w:tc>
        <w:tc>
          <w:p w14:paraId="2E73D240">
            <w:pPr>
              <w:pStyle w:val="28"/>
              <w:jc w:val="left"/>
              <w:rPr>
                <w:color w:val="auto"/>
              </w:rPr>
            </w:pPr>
            <w:r>
              <w:rPr>
                <w:color w:val="auto"/>
              </w:rPr>
              <w:t>Atbilst / Complies</w:t>
            </w:r>
          </w:p>
        </w:tc>
      </w:tr>
    </w:tbl>
    <w:p w14:paraId="666C6797">
      <w:pPr>
        <w:pStyle w:val="3"/>
        <w:rPr>
          <w:color w:val="auto"/>
        </w:rPr>
      </w:pPr>
      <w:r>
        <w:rPr>
          <w:b/>
          <w:bCs/>
          <w:color w:val="auto"/>
        </w:rPr>
        <w:t>6.</w:t>
      </w:r>
      <w:r>
        <w:rPr>
          <w:rFonts w:hint="default"/>
          <w:b/>
          <w:bCs/>
          <w:color w:val="auto"/>
          <w:lang w:val="lv-LV"/>
        </w:rPr>
        <w:t>3</w:t>
      </w:r>
      <w:r>
        <w:rPr>
          <w:b/>
          <w:bCs/>
          <w:color w:val="auto"/>
        </w:rPr>
        <w:t xml:space="preserve"> Apmācība, garantija un tehniskais atbalsts / Training, warranty and technical support</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700"/>
        <w:gridCol w:w="3563"/>
        <w:gridCol w:w="3437"/>
        <w:gridCol w:w="2900"/>
      </w:tblGrid>
      <w:tr w14:paraId="503DCCAB">
        <w:trPr>
          <w:tblHeader/>
        </w:trPr>
        <w:tc>
          <w:p w14:paraId="0DE706DA">
            <w:pPr>
              <w:pStyle w:val="28"/>
              <w:jc w:val="left"/>
              <w:rPr>
                <w:color w:val="auto"/>
              </w:rPr>
            </w:pPr>
            <w:r>
              <w:rPr>
                <w:b/>
                <w:bCs/>
                <w:color w:val="auto"/>
              </w:rPr>
              <w:t>Nr.</w:t>
            </w:r>
          </w:p>
        </w:tc>
        <w:tc>
          <w:tcPr>
            <w:tcW w:w="3563" w:type="dxa"/>
          </w:tcPr>
          <w:p w14:paraId="7404B8BA">
            <w:pPr>
              <w:pStyle w:val="28"/>
              <w:jc w:val="left"/>
              <w:rPr>
                <w:color w:val="auto"/>
              </w:rPr>
            </w:pPr>
            <w:r>
              <w:rPr>
                <w:b/>
                <w:bCs/>
                <w:color w:val="auto"/>
              </w:rPr>
              <w:t>Prasība (Latviešu) / Requirement (Latvian)</w:t>
            </w:r>
          </w:p>
        </w:tc>
        <w:tc>
          <w:tcPr>
            <w:tcW w:w="3437" w:type="dxa"/>
          </w:tcPr>
          <w:p w14:paraId="0C669C75">
            <w:pPr>
              <w:pStyle w:val="28"/>
              <w:jc w:val="left"/>
              <w:rPr>
                <w:color w:val="auto"/>
              </w:rPr>
            </w:pPr>
            <w:r>
              <w:rPr>
                <w:b/>
                <w:bCs/>
                <w:color w:val="auto"/>
              </w:rPr>
              <w:t>Requirement (English)</w:t>
            </w:r>
          </w:p>
        </w:tc>
        <w:tc>
          <w:p w14:paraId="7791AF07">
            <w:pPr>
              <w:pStyle w:val="28"/>
              <w:jc w:val="left"/>
              <w:rPr>
                <w:color w:val="auto"/>
              </w:rPr>
            </w:pPr>
            <w:r>
              <w:rPr>
                <w:b/>
                <w:bCs/>
                <w:color w:val="auto"/>
              </w:rPr>
              <w:t>Pretendenta atbilstības apraksts / Supplier compliance statement</w:t>
            </w:r>
          </w:p>
        </w:tc>
      </w:tr>
      <w:tr w14:paraId="700FD848">
        <w:tc>
          <w:p w14:paraId="2359E271">
            <w:pPr>
              <w:pStyle w:val="28"/>
              <w:jc w:val="left"/>
              <w:rPr>
                <w:color w:val="auto"/>
              </w:rPr>
            </w:pPr>
            <w:r>
              <w:rPr>
                <w:b/>
                <w:bCs/>
                <w:color w:val="auto"/>
              </w:rPr>
              <w:t>6.</w:t>
            </w:r>
            <w:r>
              <w:rPr>
                <w:rFonts w:hint="default"/>
                <w:b/>
                <w:bCs/>
                <w:color w:val="auto"/>
                <w:lang w:val="lv-LV"/>
              </w:rPr>
              <w:t>3</w:t>
            </w:r>
            <w:r>
              <w:rPr>
                <w:b/>
                <w:bCs/>
                <w:color w:val="auto"/>
              </w:rPr>
              <w:t>.1</w:t>
            </w:r>
          </w:p>
        </w:tc>
        <w:tc>
          <w:tcPr>
            <w:tcW w:w="3563" w:type="dxa"/>
          </w:tcPr>
          <w:p w14:paraId="7A896743">
            <w:pPr>
              <w:pStyle w:val="28"/>
              <w:jc w:val="left"/>
              <w:rPr>
                <w:color w:val="auto"/>
              </w:rPr>
            </w:pPr>
            <w:r>
              <w:rPr>
                <w:color w:val="auto"/>
              </w:rPr>
              <w:t>Izpildītājam jānodrošina Pasūtītāja norādīto darbinieku apmācība vismaz trīs darbdienu apjomā. Apmācībā jāietver pētniecības vides droša lietošana, robota un vadības sistēmas darbība, robota programmēšana, ekstrūzijas metināšanas procesa vadība, digitālā dvīņa un bezsaistes programmēšanas vides lietošana, Edge platformas lietošana un pamata diagnostika.</w:t>
            </w:r>
          </w:p>
        </w:tc>
        <w:tc>
          <w:tcPr>
            <w:tcW w:w="3437" w:type="dxa"/>
          </w:tcPr>
          <w:p w14:paraId="4121D3DE">
            <w:pPr>
              <w:pStyle w:val="28"/>
              <w:jc w:val="left"/>
              <w:rPr>
                <w:color w:val="auto"/>
              </w:rPr>
            </w:pPr>
            <w:r>
              <w:rPr>
                <w:rFonts w:hint="default"/>
                <w:i/>
                <w:iCs/>
                <w:color w:val="auto"/>
                <w:lang w:val="lv-LV"/>
              </w:rPr>
              <w:t>T</w:t>
            </w:r>
            <w:r>
              <w:rPr>
                <w:i/>
                <w:iCs/>
                <w:color w:val="auto"/>
              </w:rPr>
              <w:t>he Contractor shall provide at least three working days of training for the personnel designated by the Contracting Authority. The training shall cover safe operation of the research environment, operation of the robot and control system, robot programming, control of the extrusion welding process, use of the digital twin and offline programming environment, use of the Edge platform, and basic diagnostics.</w:t>
            </w:r>
          </w:p>
        </w:tc>
        <w:tc>
          <w:p w14:paraId="1D58CD4E">
            <w:pPr>
              <w:pStyle w:val="28"/>
              <w:jc w:val="left"/>
              <w:rPr>
                <w:color w:val="auto"/>
              </w:rPr>
            </w:pPr>
            <w:r>
              <w:rPr>
                <w:color w:val="auto"/>
              </w:rPr>
              <w:t>Atbilst / Complies</w:t>
            </w:r>
          </w:p>
        </w:tc>
      </w:tr>
      <w:tr w14:paraId="0C3842B9">
        <w:tc>
          <w:p w14:paraId="1B3CE4C0">
            <w:pPr>
              <w:pStyle w:val="28"/>
              <w:jc w:val="left"/>
              <w:rPr>
                <w:rFonts w:hint="default"/>
                <w:color w:val="auto"/>
                <w:lang w:val="lv-LV"/>
              </w:rPr>
            </w:pPr>
            <w:r>
              <w:rPr>
                <w:b/>
                <w:bCs/>
                <w:color w:val="auto"/>
              </w:rPr>
              <w:t>6.</w:t>
            </w:r>
            <w:r>
              <w:rPr>
                <w:rFonts w:hint="default"/>
                <w:b/>
                <w:bCs/>
                <w:color w:val="auto"/>
                <w:lang w:val="lv-LV"/>
              </w:rPr>
              <w:t>3</w:t>
            </w:r>
            <w:r>
              <w:rPr>
                <w:b/>
                <w:bCs/>
                <w:color w:val="auto"/>
              </w:rPr>
              <w:t>.</w:t>
            </w:r>
            <w:r>
              <w:rPr>
                <w:rFonts w:hint="default"/>
                <w:b/>
                <w:bCs/>
                <w:color w:val="auto"/>
                <w:lang w:val="lv-LV"/>
              </w:rPr>
              <w:t>2</w:t>
            </w:r>
          </w:p>
        </w:tc>
        <w:tc>
          <w:tcPr>
            <w:tcW w:w="3563" w:type="dxa"/>
          </w:tcPr>
          <w:p w14:paraId="59E8E730">
            <w:pPr>
              <w:pStyle w:val="28"/>
              <w:jc w:val="left"/>
              <w:rPr>
                <w:color w:val="auto"/>
              </w:rPr>
            </w:pPr>
            <w:r>
              <w:rPr>
                <w:color w:val="auto"/>
              </w:rPr>
              <w:t>Izpildītājam jānodrošina tehniskais atbalsts, attālinātas diagnostikas iespēja.</w:t>
            </w:r>
          </w:p>
        </w:tc>
        <w:tc>
          <w:tcPr>
            <w:tcW w:w="3437" w:type="dxa"/>
          </w:tcPr>
          <w:p w14:paraId="31594201">
            <w:pPr>
              <w:pStyle w:val="28"/>
              <w:jc w:val="left"/>
              <w:rPr>
                <w:color w:val="auto"/>
              </w:rPr>
            </w:pPr>
            <w:r>
              <w:rPr>
                <w:rFonts w:hint="default"/>
                <w:i/>
                <w:iCs/>
                <w:color w:val="auto"/>
                <w:lang w:val="lv-LV"/>
              </w:rPr>
              <w:t>T</w:t>
            </w:r>
            <w:r>
              <w:rPr>
                <w:i/>
                <w:iCs/>
                <w:color w:val="auto"/>
              </w:rPr>
              <w:t>he Contractor shall provide technical support, remote diagnostic capability.</w:t>
            </w:r>
          </w:p>
        </w:tc>
        <w:tc>
          <w:p w14:paraId="64735070">
            <w:pPr>
              <w:pStyle w:val="28"/>
              <w:jc w:val="left"/>
              <w:rPr>
                <w:color w:val="auto"/>
              </w:rPr>
            </w:pPr>
            <w:r>
              <w:rPr>
                <w:color w:val="auto"/>
              </w:rPr>
              <w:t>Atbilst / Complies</w:t>
            </w:r>
          </w:p>
        </w:tc>
      </w:tr>
    </w:tbl>
    <w:p w14:paraId="5E439E3A">
      <w:pPr>
        <w:pStyle w:val="3"/>
        <w:rPr>
          <w:color w:val="auto"/>
        </w:rPr>
      </w:pPr>
      <w:r>
        <w:rPr>
          <w:color w:val="auto"/>
        </w:rPr>
        <w:t>Pretendenta paraksts / Tenderer signature: ___________________________</w:t>
      </w:r>
    </w:p>
    <w:p w14:paraId="453234A2">
      <w:pPr>
        <w:pStyle w:val="3"/>
        <w:rPr>
          <w:color w:val="auto"/>
        </w:rPr>
      </w:pPr>
      <w:r>
        <w:rPr>
          <w:color w:val="auto"/>
        </w:rPr>
        <w:t>Vārds, uzvārds / Name: ___________________________</w:t>
      </w:r>
    </w:p>
    <w:p w14:paraId="1AAF9C3C">
      <w:pPr>
        <w:pStyle w:val="3"/>
        <w:rPr>
          <w:color w:val="auto"/>
        </w:rPr>
      </w:pPr>
      <w:r>
        <w:rPr>
          <w:color w:val="auto"/>
        </w:rPr>
        <w:t>Datums / Date: ___________________________</w:t>
      </w:r>
      <w:bookmarkEnd w:id="9"/>
    </w:p>
    <w:p w14:paraId="3F5FE780">
      <w:pPr>
        <w:rPr>
          <w:color w:val="auto"/>
        </w:rPr>
      </w:pPr>
      <w:r>
        <w:rPr>
          <w:color w:val="auto"/>
        </w:rPr>
        <w:br w:type="page"/>
      </w:r>
    </w:p>
    <w:p w14:paraId="08A8C30C">
      <w:pPr>
        <w:pStyle w:val="2"/>
        <w:rPr>
          <w:color w:val="auto"/>
        </w:rPr>
      </w:pPr>
      <w:bookmarkStart w:id="10" w:name="Xd244ff1412791f8def47ada287cf997138bf98e"/>
      <w:r>
        <w:rPr>
          <w:color w:val="auto"/>
        </w:rPr>
        <w:t>PRETENDENTA PĀRBAUDES LAPA / TENDERER’S CHECKLIST</w:t>
      </w:r>
    </w:p>
    <w:p w14:paraId="37B7D1C4">
      <w:pPr>
        <w:pStyle w:val="3"/>
        <w:rPr>
          <w:rFonts w:ascii="Calibri" w:hAnsi="Calibri" w:eastAsia="Calibri" w:cs="Calibri"/>
          <w:color w:val="auto"/>
          <w:lang w:val="lv-LV"/>
        </w:rPr>
      </w:pPr>
      <w:r>
        <w:rPr>
          <w:color w:val="auto"/>
          <w:lang w:val="en-US"/>
        </w:rPr>
        <w:t xml:space="preserve">Informatīvs materiāls iepirkumam id. Nr. </w:t>
      </w:r>
      <w:r>
        <w:rPr>
          <w:rFonts w:ascii="Calibri" w:hAnsi="Calibri" w:eastAsia="Calibri" w:cs="Calibri"/>
          <w:color w:val="auto"/>
          <w:lang w:val="en-US" w:eastAsia="zh-CN"/>
        </w:rPr>
        <w:t>K/202</w:t>
      </w:r>
      <w:r>
        <w:rPr>
          <w:rFonts w:ascii="Calibri" w:hAnsi="Calibri" w:eastAsia="Calibri" w:cs="Calibri"/>
          <w:color w:val="auto"/>
          <w:lang w:val="lv-LV" w:eastAsia="zh-CN"/>
        </w:rPr>
        <w:t>6</w:t>
      </w:r>
      <w:r>
        <w:rPr>
          <w:rFonts w:ascii="Calibri" w:hAnsi="Calibri" w:eastAsia="Calibri" w:cs="Calibri"/>
          <w:color w:val="auto"/>
          <w:lang w:val="en-US" w:eastAsia="zh-CN"/>
        </w:rPr>
        <w:t>/11</w:t>
      </w:r>
      <w:r>
        <w:rPr>
          <w:rFonts w:ascii="Calibri" w:hAnsi="Calibri" w:eastAsia="Calibri" w:cs="Calibri"/>
          <w:color w:val="auto"/>
          <w:lang w:val="lv-LV" w:eastAsia="zh-CN"/>
        </w:rPr>
        <w:t>09</w:t>
      </w:r>
      <w:r>
        <w:rPr>
          <w:rFonts w:ascii="Calibri" w:hAnsi="Calibri" w:eastAsia="Calibri" w:cs="Calibri"/>
          <w:color w:val="auto"/>
          <w:lang w:val="en-US" w:eastAsia="zh-CN"/>
        </w:rPr>
        <w:t>2</w:t>
      </w:r>
      <w:r>
        <w:rPr>
          <w:rFonts w:ascii="Calibri" w:hAnsi="Calibri" w:eastAsia="Calibri" w:cs="Calibri"/>
          <w:color w:val="auto"/>
          <w:lang w:val="lv-LV" w:eastAsia="zh-CN"/>
        </w:rPr>
        <w:t>6</w:t>
      </w:r>
      <w:r>
        <w:rPr>
          <w:rFonts w:ascii="Calibri" w:hAnsi="Calibri" w:eastAsia="Calibri" w:cs="Calibri"/>
          <w:color w:val="auto"/>
          <w:lang w:val="en-US" w:eastAsia="zh-CN"/>
        </w:rPr>
        <w:t>/1</w:t>
      </w:r>
      <w:r>
        <w:rPr>
          <w:color w:val="auto"/>
          <w:lang w:val="en-US"/>
        </w:rPr>
        <w:t xml:space="preserve"> Informative material for tender ID no. </w:t>
      </w:r>
      <w:r>
        <w:rPr>
          <w:rFonts w:ascii="Calibri" w:hAnsi="Calibri" w:eastAsia="Calibri" w:cs="Calibri"/>
          <w:color w:val="auto"/>
          <w:lang w:val="en-US" w:eastAsia="zh-CN"/>
        </w:rPr>
        <w:t>K/202</w:t>
      </w:r>
      <w:r>
        <w:rPr>
          <w:rFonts w:ascii="Calibri" w:hAnsi="Calibri" w:eastAsia="Calibri" w:cs="Calibri"/>
          <w:color w:val="auto"/>
          <w:lang w:val="lv-LV" w:eastAsia="zh-CN"/>
        </w:rPr>
        <w:t>6</w:t>
      </w:r>
      <w:r>
        <w:rPr>
          <w:rFonts w:ascii="Calibri" w:hAnsi="Calibri" w:eastAsia="Calibri" w:cs="Calibri"/>
          <w:color w:val="auto"/>
          <w:lang w:val="en-US" w:eastAsia="zh-CN"/>
        </w:rPr>
        <w:t>/11</w:t>
      </w:r>
      <w:r>
        <w:rPr>
          <w:rFonts w:ascii="Calibri" w:hAnsi="Calibri" w:eastAsia="Calibri" w:cs="Calibri"/>
          <w:color w:val="auto"/>
          <w:lang w:val="lv-LV" w:eastAsia="zh-CN"/>
        </w:rPr>
        <w:t>09</w:t>
      </w:r>
      <w:r>
        <w:rPr>
          <w:rFonts w:ascii="Calibri" w:hAnsi="Calibri" w:eastAsia="Calibri" w:cs="Calibri"/>
          <w:color w:val="auto"/>
          <w:lang w:val="en-US" w:eastAsia="zh-CN"/>
        </w:rPr>
        <w:t>2</w:t>
      </w:r>
      <w:r>
        <w:rPr>
          <w:rFonts w:ascii="Calibri" w:hAnsi="Calibri" w:eastAsia="Calibri" w:cs="Calibri"/>
          <w:color w:val="auto"/>
          <w:lang w:val="lv-LV" w:eastAsia="zh-CN"/>
        </w:rPr>
        <w:t>6</w:t>
      </w:r>
      <w:r>
        <w:rPr>
          <w:rFonts w:ascii="Calibri" w:hAnsi="Calibri" w:eastAsia="Calibri" w:cs="Calibri"/>
          <w:color w:val="auto"/>
          <w:lang w:val="en-US" w:eastAsia="zh-CN"/>
        </w:rPr>
        <w:t>/1</w:t>
      </w:r>
    </w:p>
    <w:p w14:paraId="6ECC7663">
      <w:pPr>
        <w:pStyle w:val="3"/>
        <w:rPr>
          <w:color w:val="auto"/>
        </w:rPr>
      </w:pPr>
      <w:r>
        <w:rPr>
          <w:color w:val="auto"/>
        </w:rPr>
        <w:t>Šī lapa ir tikai Pretendenta pašpārbaudei — tā nav jāiesniedz un netiek vērtēta. Pretrunu gadījumā noteicošs ir iepirkuma dokumenta un tehniskās specifikācijas teksts.</w:t>
      </w:r>
    </w:p>
    <w:p w14:paraId="2FAC9AA0">
      <w:pPr>
        <w:pStyle w:val="3"/>
        <w:rPr>
          <w:color w:val="auto"/>
        </w:rPr>
      </w:pPr>
      <w:r>
        <w:rPr>
          <w:i/>
          <w:iCs/>
          <w:color w:val="auto"/>
        </w:rPr>
        <w:t>This sheet is for the tenderer’s own verification only — it need not be submitted and is not evaluated. In the event of any discrepancy, the text of the procurement document and the technical specification prevails.</w:t>
      </w:r>
    </w:p>
    <w:p w14:paraId="3F34B8A4">
      <w:pPr>
        <w:pStyle w:val="4"/>
        <w:rPr>
          <w:color w:val="auto"/>
        </w:rPr>
      </w:pPr>
      <w:bookmarkStart w:id="11" w:name="iesniedzamais-what-must-be-submitted"/>
      <w:r>
        <w:rPr>
          <w:color w:val="auto"/>
        </w:rPr>
        <w:t>1. Iesniedzamais / What must be submitted</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600"/>
        <w:gridCol w:w="4200"/>
        <w:gridCol w:w="5800"/>
      </w:tblGrid>
      <w:tr w14:paraId="2436D275">
        <w:trPr>
          <w:tblHeader/>
        </w:trPr>
        <w:tc>
          <w:p w14:paraId="50733850">
            <w:pPr>
              <w:pStyle w:val="28"/>
              <w:jc w:val="left"/>
              <w:rPr>
                <w:color w:val="auto"/>
              </w:rPr>
            </w:pPr>
            <w:r>
              <w:rPr>
                <w:color w:val="auto"/>
              </w:rPr>
              <w:t>✔</w:t>
            </w:r>
          </w:p>
        </w:tc>
        <w:tc>
          <w:p w14:paraId="567AAD06">
            <w:pPr>
              <w:pStyle w:val="28"/>
              <w:jc w:val="left"/>
              <w:rPr>
                <w:color w:val="auto"/>
              </w:rPr>
            </w:pPr>
            <w:r>
              <w:rPr>
                <w:color w:val="auto"/>
              </w:rPr>
              <w:t>Datne / File</w:t>
            </w:r>
          </w:p>
        </w:tc>
        <w:tc>
          <w:p w14:paraId="1ADE70E9">
            <w:pPr>
              <w:pStyle w:val="28"/>
              <w:jc w:val="left"/>
              <w:rPr>
                <w:color w:val="auto"/>
              </w:rPr>
            </w:pPr>
            <w:r>
              <w:rPr>
                <w:color w:val="auto"/>
              </w:rPr>
              <w:t>Ko aizpilda / What to complete</w:t>
            </w:r>
          </w:p>
        </w:tc>
      </w:tr>
      <w:tr w14:paraId="21E8634D">
        <w:tc>
          <w:p w14:paraId="30406699">
            <w:pPr>
              <w:pStyle w:val="28"/>
              <w:jc w:val="left"/>
              <w:rPr>
                <w:color w:val="auto"/>
              </w:rPr>
            </w:pPr>
            <w:r>
              <w:rPr>
                <w:color w:val="auto"/>
              </w:rPr>
              <w:t>☐</w:t>
            </w:r>
          </w:p>
        </w:tc>
        <w:tc>
          <w:p w14:paraId="33D8417C">
            <w:pPr>
              <w:pStyle w:val="28"/>
              <w:jc w:val="left"/>
              <w:rPr>
                <w:color w:val="auto"/>
              </w:rPr>
            </w:pPr>
            <w:r>
              <w:rPr>
                <w:color w:val="auto"/>
              </w:rPr>
              <w:t>Iepirkuma dokuments, 4.–7. sadaļa / Procurement document, sections 4 to 7</w:t>
            </w:r>
          </w:p>
        </w:tc>
        <w:tc>
          <w:p w14:paraId="4C659994">
            <w:pPr>
              <w:pStyle w:val="28"/>
              <w:jc w:val="left"/>
              <w:rPr>
                <w:color w:val="auto"/>
              </w:rPr>
            </w:pPr>
            <w:r>
              <w:rPr>
                <w:color w:val="auto"/>
              </w:rPr>
              <w:t>Ceturtā kolonna 4. sadaļā; 5. tabula; cenas 6. sadaļā; paraksts 7. sadaļā / Fourth column in section 4; tables 5; prices in section 6; signature in section 7</w:t>
            </w:r>
          </w:p>
        </w:tc>
      </w:tr>
      <w:tr w14:paraId="7C533C18">
        <w:tc>
          <w:p w14:paraId="35FB08F6">
            <w:pPr>
              <w:pStyle w:val="28"/>
              <w:jc w:val="left"/>
              <w:rPr>
                <w:color w:val="auto"/>
              </w:rPr>
            </w:pPr>
            <w:r>
              <w:rPr>
                <w:color w:val="auto"/>
              </w:rPr>
              <w:t>☐</w:t>
            </w:r>
          </w:p>
        </w:tc>
        <w:tc>
          <w:p w14:paraId="5CE4FD41">
            <w:pPr>
              <w:pStyle w:val="28"/>
              <w:jc w:val="left"/>
              <w:rPr>
                <w:color w:val="auto"/>
              </w:rPr>
            </w:pPr>
            <w:r>
              <w:rPr>
                <w:color w:val="auto"/>
              </w:rPr>
              <w:t>1. pielikums — tehniskā specifikācija / Annex 1 — technical specification</w:t>
            </w:r>
          </w:p>
        </w:tc>
        <w:tc>
          <w:p w14:paraId="3304C9EE">
            <w:pPr>
              <w:pStyle w:val="28"/>
              <w:jc w:val="left"/>
              <w:rPr>
                <w:color w:val="auto"/>
              </w:rPr>
            </w:pPr>
            <w:r>
              <w:rPr>
                <w:color w:val="auto"/>
              </w:rPr>
              <w:t>Atbilstības kolonna katrai prasībai / Compliance column for every requirement</w:t>
            </w:r>
          </w:p>
        </w:tc>
      </w:tr>
      <w:tr w14:paraId="29DECC66">
        <w:tc>
          <w:p w14:paraId="12AFEACE">
            <w:pPr>
              <w:pStyle w:val="28"/>
              <w:jc w:val="left"/>
              <w:rPr>
                <w:color w:val="auto"/>
              </w:rPr>
            </w:pPr>
            <w:r>
              <w:rPr>
                <w:color w:val="auto"/>
              </w:rPr>
              <w:t>☐</w:t>
            </w:r>
          </w:p>
        </w:tc>
        <w:tc>
          <w:p w14:paraId="0D929F9E">
            <w:pPr>
              <w:pStyle w:val="28"/>
              <w:jc w:val="left"/>
              <w:rPr>
                <w:color w:val="auto"/>
              </w:rPr>
            </w:pPr>
            <w:r>
              <w:rPr>
                <w:color w:val="auto"/>
              </w:rPr>
              <w:t>Reģistrācijas dokumenta kopija / Copy of the registration document</w:t>
            </w:r>
          </w:p>
        </w:tc>
        <w:tc>
          <w:p w14:paraId="475AE943">
            <w:pPr>
              <w:pStyle w:val="28"/>
              <w:jc w:val="left"/>
              <w:rPr>
                <w:color w:val="auto"/>
              </w:rPr>
            </w:pPr>
            <w:r>
              <w:rPr>
                <w:b/>
                <w:bCs/>
                <w:color w:val="auto"/>
              </w:rPr>
              <w:t>Tikai</w:t>
            </w:r>
            <w:r>
              <w:rPr>
                <w:color w:val="auto"/>
              </w:rPr>
              <w:t xml:space="preserve"> ārvalstīs reģistrētam Pretendentam / </w:t>
            </w:r>
            <w:r>
              <w:rPr>
                <w:b/>
                <w:bCs/>
                <w:color w:val="auto"/>
              </w:rPr>
              <w:t>Only</w:t>
            </w:r>
            <w:r>
              <w:rPr>
                <w:color w:val="auto"/>
              </w:rPr>
              <w:t xml:space="preserve"> for a tenderer registered abroad</w:t>
            </w:r>
          </w:p>
        </w:tc>
      </w:tr>
    </w:tbl>
    <w:p w14:paraId="4DE72402">
      <w:pPr>
        <w:pStyle w:val="3"/>
        <w:rPr>
          <w:color w:val="auto"/>
        </w:rPr>
      </w:pPr>
      <w:r>
        <w:rPr>
          <w:color w:val="auto"/>
        </w:rPr>
        <w:t xml:space="preserve">☐ Nekas cits nav jāiesniedz: atsauksmes, izziņas, gada pārskati, metodikas apraksti, atsevišķs darbu grafiks, apakšuzņēmēju apliecinājumi un personu apvienības vienošanās piedāvājumam </w:t>
      </w:r>
      <w:r>
        <w:rPr>
          <w:b/>
          <w:bCs/>
          <w:color w:val="auto"/>
        </w:rPr>
        <w:t>nav</w:t>
      </w:r>
      <w:r>
        <w:rPr>
          <w:color w:val="auto"/>
        </w:rPr>
        <w:t xml:space="preserve"> jāpievieno. / </w:t>
      </w:r>
      <w:r>
        <w:rPr>
          <w:i/>
          <w:iCs/>
          <w:color w:val="auto"/>
        </w:rPr>
        <w:t>Nothing else is required: references, certificates, annual reports, methodology descriptions, a separate work schedule, subcontractor declarations and consortium agreements need not be attached.</w:t>
      </w:r>
    </w:p>
    <w:bookmarkEnd w:id="11"/>
    <w:p w14:paraId="46254201">
      <w:pPr>
        <w:pStyle w:val="4"/>
        <w:rPr>
          <w:color w:val="auto"/>
        </w:rPr>
      </w:pPr>
      <w:bookmarkStart w:id="12" w:name="Xb35ae311bcfdae294364cd39ba01030d3bfcccc"/>
      <w:r>
        <w:rPr>
          <w:color w:val="auto"/>
        </w:rPr>
        <w:t>2. 4. sadaļa — vai visas rindas aizpildītas / Section 4 — all rows completed</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600"/>
        <w:gridCol w:w="1356"/>
        <w:gridCol w:w="8644"/>
      </w:tblGrid>
      <w:tr w14:paraId="508BDB10">
        <w:trPr>
          <w:tblHeader/>
        </w:trPr>
        <w:tc>
          <w:p w14:paraId="4215E60A">
            <w:pPr>
              <w:pStyle w:val="28"/>
              <w:jc w:val="left"/>
              <w:rPr>
                <w:color w:val="auto"/>
              </w:rPr>
            </w:pPr>
            <w:r>
              <w:rPr>
                <w:color w:val="auto"/>
              </w:rPr>
              <w:t>✔</w:t>
            </w:r>
          </w:p>
        </w:tc>
        <w:tc>
          <w:tcPr>
            <w:tcW w:w="1356" w:type="dxa"/>
          </w:tcPr>
          <w:p w14:paraId="6A7B6329">
            <w:pPr>
              <w:pStyle w:val="28"/>
              <w:jc w:val="left"/>
              <w:rPr>
                <w:color w:val="auto"/>
              </w:rPr>
            </w:pPr>
            <w:r>
              <w:rPr>
                <w:color w:val="auto"/>
              </w:rPr>
              <w:t>Rinda / Row</w:t>
            </w:r>
          </w:p>
        </w:tc>
        <w:tc>
          <w:tcPr>
            <w:tcW w:w="8644" w:type="dxa"/>
          </w:tcPr>
          <w:p w14:paraId="04184FE2">
            <w:pPr>
              <w:pStyle w:val="28"/>
              <w:jc w:val="left"/>
              <w:rPr>
                <w:color w:val="auto"/>
              </w:rPr>
            </w:pPr>
            <w:r>
              <w:rPr>
                <w:color w:val="auto"/>
              </w:rPr>
              <w:t>Pārbaudāmais / What to check</w:t>
            </w:r>
          </w:p>
        </w:tc>
      </w:tr>
      <w:tr w14:paraId="584EEBE2">
        <w:tc>
          <w:p w14:paraId="287A234C">
            <w:pPr>
              <w:pStyle w:val="28"/>
              <w:jc w:val="left"/>
              <w:rPr>
                <w:color w:val="auto"/>
              </w:rPr>
            </w:pPr>
            <w:r>
              <w:rPr>
                <w:color w:val="auto"/>
              </w:rPr>
              <w:t>☐</w:t>
            </w:r>
          </w:p>
        </w:tc>
        <w:tc>
          <w:tcPr>
            <w:tcW w:w="1356" w:type="dxa"/>
          </w:tcPr>
          <w:p w14:paraId="6D34E835">
            <w:pPr>
              <w:pStyle w:val="28"/>
              <w:jc w:val="left"/>
              <w:rPr>
                <w:color w:val="auto"/>
              </w:rPr>
            </w:pPr>
            <w:r>
              <w:rPr>
                <w:color w:val="auto"/>
              </w:rPr>
              <w:t>4.1–4.5</w:t>
            </w:r>
          </w:p>
        </w:tc>
        <w:tc>
          <w:tcPr>
            <w:tcW w:w="8644" w:type="dxa"/>
          </w:tcPr>
          <w:p w14:paraId="568944F4">
            <w:pPr>
              <w:pStyle w:val="28"/>
              <w:jc w:val="left"/>
              <w:rPr>
                <w:color w:val="auto"/>
              </w:rPr>
            </w:pPr>
            <w:r>
              <w:rPr>
                <w:color w:val="auto"/>
              </w:rPr>
              <w:t>Pretendenta dati, paraksttiesīgā persona; 4.5 – “viens piegādātājs” vai apvienības dalībnieki ar % / Tenderer’s details, authorised signatory; 4.5 – “single supplier” or consortium members with %</w:t>
            </w:r>
          </w:p>
        </w:tc>
      </w:tr>
      <w:tr w14:paraId="685F5C36">
        <w:tc>
          <w:p w14:paraId="536A32AE">
            <w:pPr>
              <w:pStyle w:val="28"/>
              <w:jc w:val="left"/>
              <w:rPr>
                <w:color w:val="auto"/>
              </w:rPr>
            </w:pPr>
            <w:r>
              <w:rPr>
                <w:color w:val="auto"/>
              </w:rPr>
              <w:t>☐</w:t>
            </w:r>
          </w:p>
        </w:tc>
        <w:tc>
          <w:tcPr>
            <w:tcW w:w="1356" w:type="dxa"/>
          </w:tcPr>
          <w:p w14:paraId="0FEC97A5">
            <w:pPr>
              <w:pStyle w:val="28"/>
              <w:jc w:val="left"/>
              <w:rPr>
                <w:color w:val="auto"/>
              </w:rPr>
            </w:pPr>
            <w:r>
              <w:rPr>
                <w:color w:val="auto"/>
              </w:rPr>
              <w:t>4.6–4.7</w:t>
            </w:r>
          </w:p>
        </w:tc>
        <w:tc>
          <w:tcPr>
            <w:tcW w:w="8644" w:type="dxa"/>
          </w:tcPr>
          <w:p w14:paraId="3293999E">
            <w:pPr>
              <w:pStyle w:val="28"/>
              <w:jc w:val="left"/>
              <w:rPr>
                <w:color w:val="auto"/>
              </w:rPr>
            </w:pPr>
            <w:r>
              <w:rPr>
                <w:color w:val="auto"/>
              </w:rPr>
              <w:t>Juridiskais statuss; ārvalstu Pretendentam – pievienots reģistrācijas dokuments / Legal status; for a foreign tenderer – registration document attached</w:t>
            </w:r>
          </w:p>
        </w:tc>
      </w:tr>
      <w:tr w14:paraId="2838EF68">
        <w:tc>
          <w:p w14:paraId="704EA0D6">
            <w:pPr>
              <w:pStyle w:val="28"/>
              <w:jc w:val="left"/>
              <w:rPr>
                <w:color w:val="auto"/>
              </w:rPr>
            </w:pPr>
            <w:r>
              <w:rPr>
                <w:color w:val="auto"/>
              </w:rPr>
              <w:t>☐</w:t>
            </w:r>
          </w:p>
        </w:tc>
        <w:tc>
          <w:tcPr>
            <w:tcW w:w="1356" w:type="dxa"/>
          </w:tcPr>
          <w:p w14:paraId="32E029D8">
            <w:pPr>
              <w:pStyle w:val="28"/>
              <w:jc w:val="left"/>
              <w:rPr>
                <w:color w:val="auto"/>
              </w:rPr>
            </w:pPr>
            <w:r>
              <w:rPr>
                <w:color w:val="auto"/>
              </w:rPr>
              <w:t>4.8</w:t>
            </w:r>
          </w:p>
        </w:tc>
        <w:tc>
          <w:tcPr>
            <w:tcW w:w="8644" w:type="dxa"/>
          </w:tcPr>
          <w:p w14:paraId="030806B5">
            <w:pPr>
              <w:pStyle w:val="28"/>
              <w:jc w:val="left"/>
              <w:rPr>
                <w:color w:val="auto"/>
              </w:rPr>
            </w:pPr>
            <w:r>
              <w:rPr>
                <w:color w:val="auto"/>
              </w:rPr>
              <w:t>Apgrozījums par 3 gadiem un vidējais ≥ 900 000 EUR bez PVN / Turnover for 3 years and the average ≥ EUR 900 000 excl. VAT</w:t>
            </w:r>
          </w:p>
        </w:tc>
      </w:tr>
      <w:tr w14:paraId="55255227">
        <w:tc>
          <w:p w14:paraId="143ABA7E">
            <w:pPr>
              <w:pStyle w:val="28"/>
              <w:jc w:val="left"/>
              <w:rPr>
                <w:color w:val="auto"/>
              </w:rPr>
            </w:pPr>
            <w:r>
              <w:rPr>
                <w:color w:val="auto"/>
              </w:rPr>
              <w:t>☐</w:t>
            </w:r>
          </w:p>
        </w:tc>
        <w:tc>
          <w:tcPr>
            <w:tcW w:w="1356" w:type="dxa"/>
          </w:tcPr>
          <w:p w14:paraId="249249B3">
            <w:pPr>
              <w:pStyle w:val="28"/>
              <w:jc w:val="left"/>
              <w:rPr>
                <w:color w:val="auto"/>
              </w:rPr>
            </w:pPr>
            <w:r>
              <w:rPr>
                <w:color w:val="auto"/>
              </w:rPr>
              <w:t>4.9–4.11</w:t>
            </w:r>
          </w:p>
        </w:tc>
        <w:tc>
          <w:tcPr>
            <w:tcW w:w="8644" w:type="dxa"/>
          </w:tcPr>
          <w:p w14:paraId="5686215B">
            <w:pPr>
              <w:pStyle w:val="28"/>
              <w:jc w:val="left"/>
              <w:rPr>
                <w:color w:val="auto"/>
              </w:rPr>
            </w:pPr>
            <w:r>
              <w:rPr>
                <w:color w:val="auto"/>
              </w:rPr>
              <w:t>Norādīti projektu numuri no 5. sadaļas; ja HDPE prasība netiek izpildīta – ierakstīts pamatojums / Project numbers from section 5 stated; if the HDPE requirement is not met – justification entered</w:t>
            </w:r>
          </w:p>
        </w:tc>
      </w:tr>
      <w:tr w14:paraId="3CB88262">
        <w:tc>
          <w:p w14:paraId="0D35857E">
            <w:pPr>
              <w:pStyle w:val="28"/>
              <w:jc w:val="left"/>
              <w:rPr>
                <w:color w:val="auto"/>
              </w:rPr>
            </w:pPr>
            <w:r>
              <w:rPr>
                <w:color w:val="auto"/>
              </w:rPr>
              <w:t>☐</w:t>
            </w:r>
          </w:p>
        </w:tc>
        <w:tc>
          <w:tcPr>
            <w:tcW w:w="1356" w:type="dxa"/>
          </w:tcPr>
          <w:p w14:paraId="3C5F7340">
            <w:pPr>
              <w:pStyle w:val="28"/>
              <w:jc w:val="left"/>
              <w:rPr>
                <w:color w:val="auto"/>
              </w:rPr>
            </w:pPr>
            <w:r>
              <w:rPr>
                <w:color w:val="auto"/>
              </w:rPr>
              <w:t>4.12–4.13</w:t>
            </w:r>
          </w:p>
        </w:tc>
        <w:tc>
          <w:tcPr>
            <w:tcW w:w="8644" w:type="dxa"/>
          </w:tcPr>
          <w:p w14:paraId="1B8D5D5C">
            <w:pPr>
              <w:pStyle w:val="28"/>
              <w:jc w:val="left"/>
              <w:rPr>
                <w:color w:val="auto"/>
              </w:rPr>
            </w:pPr>
            <w:r>
              <w:rPr>
                <w:color w:val="auto"/>
              </w:rPr>
              <w:t>Apakšuzņēmēji ar ≥ 10 % vai ieraksts “nav” / Subcontractors with ≥ 10 % or the entry “none”</w:t>
            </w:r>
          </w:p>
        </w:tc>
      </w:tr>
      <w:tr w14:paraId="2E75DC9C">
        <w:tc>
          <w:p w14:paraId="461CD290">
            <w:pPr>
              <w:pStyle w:val="28"/>
              <w:jc w:val="left"/>
              <w:rPr>
                <w:color w:val="auto"/>
              </w:rPr>
            </w:pPr>
            <w:r>
              <w:rPr>
                <w:color w:val="auto"/>
              </w:rPr>
              <w:t>☐</w:t>
            </w:r>
          </w:p>
        </w:tc>
        <w:tc>
          <w:tcPr>
            <w:tcW w:w="1356" w:type="dxa"/>
          </w:tcPr>
          <w:p w14:paraId="6856055A">
            <w:pPr>
              <w:pStyle w:val="28"/>
              <w:jc w:val="left"/>
              <w:rPr>
                <w:color w:val="auto"/>
              </w:rPr>
            </w:pPr>
            <w:r>
              <w:rPr>
                <w:color w:val="auto"/>
              </w:rPr>
              <w:t>4.14–4.17</w:t>
            </w:r>
          </w:p>
        </w:tc>
        <w:tc>
          <w:tcPr>
            <w:tcW w:w="8644" w:type="dxa"/>
          </w:tcPr>
          <w:p w14:paraId="1ABDAAAD">
            <w:pPr>
              <w:pStyle w:val="28"/>
              <w:jc w:val="left"/>
              <w:rPr>
                <w:color w:val="auto"/>
              </w:rPr>
            </w:pPr>
            <w:r>
              <w:rPr>
                <w:color w:val="auto"/>
              </w:rPr>
              <w:t>Apliecinājumi par maksātnespēju, sankcijām, interešu konfliktu un neatkarīgu piedāvājumu / Declarations on insolvency, sanctions, conflict of interest and independent preparation</w:t>
            </w:r>
          </w:p>
        </w:tc>
      </w:tr>
      <w:tr w14:paraId="5A513456">
        <w:tc>
          <w:p w14:paraId="11BFF3E7">
            <w:pPr>
              <w:pStyle w:val="28"/>
              <w:jc w:val="left"/>
              <w:rPr>
                <w:color w:val="auto"/>
              </w:rPr>
            </w:pPr>
            <w:r>
              <w:rPr>
                <w:color w:val="auto"/>
              </w:rPr>
              <w:t>☐</w:t>
            </w:r>
          </w:p>
        </w:tc>
        <w:tc>
          <w:tcPr>
            <w:tcW w:w="1356" w:type="dxa"/>
          </w:tcPr>
          <w:p w14:paraId="28703AB9">
            <w:pPr>
              <w:pStyle w:val="28"/>
              <w:jc w:val="left"/>
              <w:rPr>
                <w:color w:val="auto"/>
              </w:rPr>
            </w:pPr>
            <w:r>
              <w:rPr>
                <w:color w:val="auto"/>
              </w:rPr>
              <w:t>4.18–4.19</w:t>
            </w:r>
          </w:p>
        </w:tc>
        <w:tc>
          <w:tcPr>
            <w:tcW w:w="8644" w:type="dxa"/>
          </w:tcPr>
          <w:p w14:paraId="27F82608">
            <w:pPr>
              <w:pStyle w:val="28"/>
              <w:jc w:val="left"/>
              <w:rPr>
                <w:color w:val="auto"/>
              </w:rPr>
            </w:pPr>
            <w:r>
              <w:rPr>
                <w:color w:val="auto"/>
              </w:rPr>
              <w:t>Spēkā esība ≥ 90 dienas; iepazīšanās ar dokumentāciju / Validity ≥ 90 days; documentation examined</w:t>
            </w:r>
          </w:p>
        </w:tc>
      </w:tr>
      <w:tr w14:paraId="32521668">
        <w:tc>
          <w:p w14:paraId="2CE04D2B">
            <w:pPr>
              <w:pStyle w:val="28"/>
              <w:jc w:val="left"/>
              <w:rPr>
                <w:color w:val="auto"/>
              </w:rPr>
            </w:pPr>
            <w:r>
              <w:rPr>
                <w:color w:val="auto"/>
              </w:rPr>
              <w:t>☐</w:t>
            </w:r>
          </w:p>
        </w:tc>
        <w:tc>
          <w:tcPr>
            <w:tcW w:w="1356" w:type="dxa"/>
          </w:tcPr>
          <w:p w14:paraId="7698765A">
            <w:pPr>
              <w:pStyle w:val="28"/>
              <w:jc w:val="left"/>
              <w:rPr>
                <w:color w:val="auto"/>
              </w:rPr>
            </w:pPr>
            <w:r>
              <w:rPr>
                <w:color w:val="auto"/>
              </w:rPr>
              <w:t>4.20</w:t>
            </w:r>
          </w:p>
        </w:tc>
        <w:tc>
          <w:tcPr>
            <w:tcW w:w="8644" w:type="dxa"/>
          </w:tcPr>
          <w:p w14:paraId="4959312C">
            <w:pPr>
              <w:keepNext w:val="0"/>
              <w:keepLines w:val="0"/>
              <w:widowControl/>
              <w:suppressLineNumbers w:val="0"/>
              <w:jc w:val="left"/>
              <w:rPr>
                <w:color w:val="auto"/>
              </w:rPr>
            </w:pPr>
            <w:r>
              <w:rPr>
                <w:rFonts w:hint="default" w:ascii="Calibri" w:hAnsi="Calibri" w:eastAsia="Calibri" w:cs="Calibri"/>
                <w:color w:val="auto"/>
                <w:sz w:val="20"/>
                <w:szCs w:val="20"/>
                <w:lang w:val="lv-LV" w:eastAsia="lv-LV" w:bidi="ar-SA"/>
              </w:rPr>
              <w:t xml:space="preserve">Apliecināta </w:t>
            </w:r>
            <w:r>
              <w:rPr>
                <w:rFonts w:hint="default" w:cs="Calibri"/>
                <w:color w:val="auto"/>
                <w:sz w:val="20"/>
                <w:szCs w:val="20"/>
                <w:lang w:val="en-US" w:eastAsia="lv-LV" w:bidi="ar-SA"/>
              </w:rPr>
              <w:t>noteikto</w:t>
            </w:r>
            <w:r>
              <w:rPr>
                <w:rFonts w:ascii="Calibri" w:hAnsi="Calibri" w:eastAsia="Calibri" w:cs="Calibri"/>
                <w:color w:val="auto"/>
                <w:sz w:val="20"/>
                <w:szCs w:val="20"/>
                <w:lang w:val="lv-LV" w:eastAsia="lv-LV" w:bidi="ar-SA"/>
              </w:rPr>
              <w:t xml:space="preserve"> termiņ</w:t>
            </w:r>
            <w:r>
              <w:rPr>
                <w:rFonts w:hint="default" w:ascii="Calibri" w:hAnsi="Calibri" w:eastAsia="Calibri" w:cs="Calibri"/>
                <w:color w:val="auto"/>
                <w:sz w:val="20"/>
                <w:szCs w:val="20"/>
                <w:lang w:val="lv-LV" w:eastAsia="lv-LV" w:bidi="ar-SA"/>
              </w:rPr>
              <w:t>u</w:t>
            </w:r>
            <w:r>
              <w:rPr>
                <w:rFonts w:ascii="Calibri" w:hAnsi="Calibri" w:eastAsia="Calibri" w:cs="Calibri"/>
                <w:color w:val="auto"/>
                <w:sz w:val="20"/>
                <w:szCs w:val="20"/>
                <w:lang w:val="lv-LV" w:eastAsia="lv-LV" w:bidi="ar-SA"/>
              </w:rPr>
              <w:t xml:space="preserve"> (1)–(</w:t>
            </w:r>
            <w:r>
              <w:rPr>
                <w:rFonts w:hint="default" w:ascii="Calibri" w:hAnsi="Calibri" w:eastAsia="Calibri" w:cs="Calibri"/>
                <w:color w:val="auto"/>
                <w:sz w:val="20"/>
                <w:szCs w:val="20"/>
                <w:lang w:val="lv-LV" w:eastAsia="lv-LV" w:bidi="ar-SA"/>
              </w:rPr>
              <w:t>5</w:t>
            </w:r>
            <w:r>
              <w:rPr>
                <w:rFonts w:ascii="Calibri" w:hAnsi="Calibri" w:eastAsia="Calibri" w:cs="Calibri"/>
                <w:color w:val="auto"/>
                <w:sz w:val="20"/>
                <w:szCs w:val="20"/>
                <w:lang w:val="lv-LV" w:eastAsia="lv-LV" w:bidi="ar-SA"/>
              </w:rPr>
              <w:t>)</w:t>
            </w:r>
            <w:r>
              <w:rPr>
                <w:rFonts w:hint="default" w:ascii="Calibri" w:hAnsi="Calibri" w:eastAsia="Calibri" w:cs="Calibri"/>
                <w:color w:val="auto"/>
                <w:sz w:val="20"/>
                <w:szCs w:val="20"/>
                <w:lang w:val="lv-LV" w:eastAsia="lv-LV" w:bidi="ar-SA"/>
              </w:rPr>
              <w:t xml:space="preserve"> izpilde</w:t>
            </w:r>
            <w:r>
              <w:rPr>
                <w:color w:val="auto"/>
              </w:rPr>
              <w:t xml:space="preserve"> / </w:t>
            </w:r>
            <w:r>
              <w:rPr>
                <w:rFonts w:ascii="Calibri" w:hAnsi="Calibri" w:eastAsia="Calibri" w:cs="Calibri"/>
                <w:color w:val="auto"/>
                <w:sz w:val="20"/>
                <w:szCs w:val="20"/>
                <w:lang w:val="en-US" w:eastAsia="zh-CN" w:bidi="ar-SA"/>
              </w:rPr>
              <w:t xml:space="preserve">Confirmation of compliance with the </w:t>
            </w:r>
            <w:r>
              <w:rPr>
                <w:rFonts w:hint="default" w:cs="Calibri"/>
                <w:color w:val="auto"/>
                <w:sz w:val="20"/>
                <w:szCs w:val="20"/>
                <w:lang w:val="lv-LV" w:eastAsia="zh-CN" w:bidi="ar-SA"/>
              </w:rPr>
              <w:t>specified</w:t>
            </w:r>
            <w:r>
              <w:rPr>
                <w:rFonts w:ascii="Calibri" w:hAnsi="Calibri" w:eastAsia="Calibri" w:cs="Calibri"/>
                <w:color w:val="auto"/>
                <w:sz w:val="20"/>
                <w:szCs w:val="20"/>
                <w:lang w:val="en-US" w:eastAsia="zh-CN" w:bidi="ar-SA"/>
              </w:rPr>
              <w:t xml:space="preserve"> deadlines (1)–(5)</w:t>
            </w:r>
          </w:p>
        </w:tc>
      </w:tr>
      <w:tr w14:paraId="07C2862E">
        <w:tc>
          <w:p w14:paraId="4D38B077">
            <w:pPr>
              <w:pStyle w:val="28"/>
              <w:jc w:val="left"/>
              <w:rPr>
                <w:color w:val="auto"/>
              </w:rPr>
            </w:pPr>
            <w:r>
              <w:rPr>
                <w:color w:val="auto"/>
              </w:rPr>
              <w:t>☐</w:t>
            </w:r>
          </w:p>
        </w:tc>
        <w:tc>
          <w:tcPr>
            <w:tcW w:w="1356" w:type="dxa"/>
          </w:tcPr>
          <w:p w14:paraId="447210B3">
            <w:pPr>
              <w:pStyle w:val="28"/>
              <w:jc w:val="left"/>
              <w:rPr>
                <w:rFonts w:hint="default"/>
                <w:color w:val="auto"/>
                <w:lang w:val="lv-LV"/>
              </w:rPr>
            </w:pPr>
            <w:r>
              <w:rPr>
                <w:color w:val="auto"/>
              </w:rPr>
              <w:t>4.2</w:t>
            </w:r>
            <w:r>
              <w:rPr>
                <w:rFonts w:hint="default"/>
                <w:color w:val="auto"/>
                <w:lang w:val="lv-LV"/>
              </w:rPr>
              <w:t>1</w:t>
            </w:r>
            <w:r>
              <w:rPr>
                <w:color w:val="auto"/>
              </w:rPr>
              <w:t>–4.2</w:t>
            </w:r>
            <w:r>
              <w:rPr>
                <w:rFonts w:hint="default"/>
                <w:color w:val="auto"/>
                <w:lang w:val="lv-LV"/>
              </w:rPr>
              <w:t>2</w:t>
            </w:r>
          </w:p>
        </w:tc>
        <w:tc>
          <w:tcPr>
            <w:tcW w:w="8644" w:type="dxa"/>
          </w:tcPr>
          <w:p w14:paraId="209DF1EC">
            <w:pPr>
              <w:pStyle w:val="28"/>
              <w:jc w:val="left"/>
              <w:rPr>
                <w:color w:val="auto"/>
              </w:rPr>
            </w:pPr>
            <w:r>
              <w:rPr>
                <w:color w:val="auto"/>
              </w:rPr>
              <w:t>Apliecinājumi / Declarations</w:t>
            </w:r>
          </w:p>
        </w:tc>
      </w:tr>
    </w:tbl>
    <w:p w14:paraId="54ED3C95">
      <w:pPr>
        <w:pStyle w:val="3"/>
        <w:rPr>
          <w:color w:val="auto"/>
        </w:rPr>
      </w:pPr>
      <w:r>
        <w:rPr>
          <w:color w:val="auto"/>
        </w:rPr>
        <w:t xml:space="preserve">☐ Neviena aile nav atstāta tukša — tukša aile tiek uzskatīta par prasības neizpildi. / </w:t>
      </w:r>
      <w:r>
        <w:rPr>
          <w:i/>
          <w:iCs/>
          <w:color w:val="auto"/>
        </w:rPr>
        <w:t>No cell has been left blank — a blank cell is treated as non-compliance.</w:t>
      </w:r>
    </w:p>
    <w:bookmarkEnd w:id="12"/>
    <w:p w14:paraId="118095C0">
      <w:pPr>
        <w:pStyle w:val="4"/>
        <w:rPr>
          <w:color w:val="auto"/>
        </w:rPr>
      </w:pPr>
      <w:bookmarkStart w:id="13" w:name="Xc918cd54c4407ee947116b3804529a69130200b"/>
      <w:r>
        <w:rPr>
          <w:color w:val="auto"/>
        </w:rPr>
        <w:t xml:space="preserve">3. 5. sadaļa — pieredze / Sections 5 — experience </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600"/>
        <w:gridCol w:w="10000"/>
      </w:tblGrid>
      <w:tr w14:paraId="393D38EB">
        <w:trPr>
          <w:tblHeader/>
        </w:trPr>
        <w:tc>
          <w:p w14:paraId="531D9FBB">
            <w:pPr>
              <w:pStyle w:val="28"/>
              <w:jc w:val="left"/>
              <w:rPr>
                <w:color w:val="auto"/>
              </w:rPr>
            </w:pPr>
            <w:r>
              <w:rPr>
                <w:color w:val="auto"/>
              </w:rPr>
              <w:t>✔</w:t>
            </w:r>
          </w:p>
        </w:tc>
        <w:tc>
          <w:p w14:paraId="4764E488">
            <w:pPr>
              <w:pStyle w:val="28"/>
              <w:jc w:val="left"/>
              <w:rPr>
                <w:color w:val="auto"/>
              </w:rPr>
            </w:pPr>
            <w:r>
              <w:rPr>
                <w:color w:val="auto"/>
              </w:rPr>
              <w:t>Pārbaudāmais / What to check</w:t>
            </w:r>
          </w:p>
        </w:tc>
      </w:tr>
      <w:tr w14:paraId="06328BE0">
        <w:tc>
          <w:p w14:paraId="5E857DFA">
            <w:pPr>
              <w:pStyle w:val="28"/>
              <w:jc w:val="left"/>
              <w:rPr>
                <w:color w:val="auto"/>
              </w:rPr>
            </w:pPr>
            <w:r>
              <w:rPr>
                <w:color w:val="auto"/>
              </w:rPr>
              <w:t>☐</w:t>
            </w:r>
          </w:p>
        </w:tc>
        <w:tc>
          <w:p w14:paraId="7A4EEF98">
            <w:pPr>
              <w:pStyle w:val="28"/>
              <w:jc w:val="left"/>
              <w:rPr>
                <w:color w:val="auto"/>
              </w:rPr>
            </w:pPr>
            <w:r>
              <w:rPr>
                <w:color w:val="auto"/>
              </w:rPr>
              <w:t>Aizpildīti vismaz 3 pieredzes projekti ar visiem laukiem / At least 3 experience projects completed with all fields</w:t>
            </w:r>
          </w:p>
        </w:tc>
      </w:tr>
      <w:tr w14:paraId="7E328AF3">
        <w:tc>
          <w:p w14:paraId="427B5421">
            <w:pPr>
              <w:pStyle w:val="28"/>
              <w:jc w:val="left"/>
              <w:rPr>
                <w:color w:val="auto"/>
              </w:rPr>
            </w:pPr>
            <w:r>
              <w:rPr>
                <w:color w:val="auto"/>
              </w:rPr>
              <w:t>☐</w:t>
            </w:r>
          </w:p>
        </w:tc>
        <w:tc>
          <w:p w14:paraId="6BC6F5CF">
            <w:pPr>
              <w:pStyle w:val="28"/>
              <w:jc w:val="left"/>
              <w:rPr>
                <w:color w:val="auto"/>
              </w:rPr>
            </w:pPr>
            <w:r>
              <w:rPr>
                <w:color w:val="auto"/>
              </w:rPr>
              <w:t>Katra projekta vērtība ≥ 100 000 EUR bez PVN / The value of each project ≥ EUR 100 000 excl. VAT</w:t>
            </w:r>
          </w:p>
        </w:tc>
      </w:tr>
      <w:tr w14:paraId="27CE4288">
        <w:tc>
          <w:p w14:paraId="700FACAA">
            <w:pPr>
              <w:pStyle w:val="28"/>
              <w:jc w:val="left"/>
              <w:rPr>
                <w:color w:val="auto"/>
              </w:rPr>
            </w:pPr>
            <w:r>
              <w:rPr>
                <w:color w:val="auto"/>
              </w:rPr>
              <w:t>☐</w:t>
            </w:r>
          </w:p>
        </w:tc>
        <w:tc>
          <w:p w14:paraId="1D682CEE">
            <w:pPr>
              <w:pStyle w:val="28"/>
              <w:jc w:val="left"/>
              <w:rPr>
                <w:color w:val="auto"/>
              </w:rPr>
            </w:pPr>
            <w:r>
              <w:rPr>
                <w:color w:val="auto"/>
              </w:rPr>
              <w:t>Norādītas pasūtītāju kontaktpersonas ar tālruni un e-pastu / Client contacts with phone and e-mail stated</w:t>
            </w:r>
          </w:p>
        </w:tc>
      </w:tr>
      <w:bookmarkEnd w:id="13"/>
    </w:tbl>
    <w:p w14:paraId="7ABB41D7">
      <w:pPr>
        <w:pStyle w:val="4"/>
        <w:rPr>
          <w:color w:val="auto"/>
        </w:rPr>
      </w:pPr>
      <w:bookmarkStart w:id="14" w:name="Xaa6d4376324a1b89a4606f0a13573b680ab1454"/>
      <w:r>
        <w:rPr>
          <w:color w:val="auto"/>
        </w:rPr>
        <w:t>4. 6. sadaļa — finanšu piedāvājums / Section 6 — financial offer</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600"/>
        <w:gridCol w:w="10000"/>
      </w:tblGrid>
      <w:tr w14:paraId="03661FF6">
        <w:trPr>
          <w:tblHeader/>
        </w:trPr>
        <w:tc>
          <w:p w14:paraId="6D263745">
            <w:pPr>
              <w:pStyle w:val="28"/>
              <w:jc w:val="left"/>
              <w:rPr>
                <w:color w:val="auto"/>
              </w:rPr>
            </w:pPr>
            <w:r>
              <w:rPr>
                <w:color w:val="auto"/>
              </w:rPr>
              <w:t>✔</w:t>
            </w:r>
          </w:p>
        </w:tc>
        <w:tc>
          <w:p w14:paraId="286E777E">
            <w:pPr>
              <w:pStyle w:val="28"/>
              <w:jc w:val="left"/>
              <w:rPr>
                <w:color w:val="auto"/>
              </w:rPr>
            </w:pPr>
            <w:r>
              <w:rPr>
                <w:color w:val="auto"/>
              </w:rPr>
              <w:t>Pārbaudāmais / What to check</w:t>
            </w:r>
          </w:p>
        </w:tc>
      </w:tr>
      <w:tr w14:paraId="4D361F00">
        <w:tc>
          <w:p w14:paraId="1FE7DEEA">
            <w:pPr>
              <w:pStyle w:val="28"/>
              <w:jc w:val="left"/>
              <w:rPr>
                <w:color w:val="auto"/>
              </w:rPr>
            </w:pPr>
            <w:r>
              <w:rPr>
                <w:color w:val="auto"/>
              </w:rPr>
              <w:t>☐</w:t>
            </w:r>
          </w:p>
        </w:tc>
        <w:tc>
          <w:p w14:paraId="3B81160F">
            <w:pPr>
              <w:pStyle w:val="28"/>
              <w:jc w:val="left"/>
              <w:rPr>
                <w:color w:val="auto"/>
              </w:rPr>
            </w:pPr>
            <w:r>
              <w:rPr>
                <w:color w:val="auto"/>
              </w:rPr>
              <w:t xml:space="preserve">Aizpildītas visas </w:t>
            </w:r>
            <w:r>
              <w:rPr>
                <w:rFonts w:hint="default"/>
                <w:color w:val="auto"/>
                <w:lang w:val="lv-LV"/>
              </w:rPr>
              <w:t>5</w:t>
            </w:r>
            <w:r>
              <w:rPr>
                <w:color w:val="auto"/>
              </w:rPr>
              <w:t xml:space="preserve"> pozīcijas un kopējā līgumcena / All </w:t>
            </w:r>
            <w:r>
              <w:rPr>
                <w:rFonts w:hint="default"/>
                <w:color w:val="auto"/>
                <w:lang w:val="lv-LV"/>
              </w:rPr>
              <w:t>5</w:t>
            </w:r>
            <w:r>
              <w:rPr>
                <w:color w:val="auto"/>
              </w:rPr>
              <w:t xml:space="preserve"> items and the total contract price completed</w:t>
            </w:r>
          </w:p>
        </w:tc>
      </w:tr>
      <w:tr w14:paraId="36613257">
        <w:tc>
          <w:p w14:paraId="46BE8258">
            <w:pPr>
              <w:pStyle w:val="28"/>
              <w:jc w:val="left"/>
              <w:rPr>
                <w:color w:val="auto"/>
              </w:rPr>
            </w:pPr>
            <w:r>
              <w:rPr>
                <w:color w:val="auto"/>
              </w:rPr>
              <w:t>☐</w:t>
            </w:r>
          </w:p>
        </w:tc>
        <w:tc>
          <w:p w14:paraId="47520DEB">
            <w:pPr>
              <w:pStyle w:val="28"/>
              <w:jc w:val="left"/>
              <w:rPr>
                <w:color w:val="auto"/>
              </w:rPr>
            </w:pPr>
            <w:r>
              <w:rPr>
                <w:color w:val="auto"/>
              </w:rPr>
              <w:t>Cenas euro bez PVN ar divām zīmēm pēc komata; pozīciju summa sakrīt ar kopsummu / Prices in euro excl. VAT with two decimals; the sum of the items matches the total</w:t>
            </w:r>
          </w:p>
        </w:tc>
      </w:tr>
      <w:tr w14:paraId="4F14A6C9">
        <w:tc>
          <w:p w14:paraId="75C5DA2E">
            <w:pPr>
              <w:pStyle w:val="28"/>
              <w:jc w:val="left"/>
              <w:rPr>
                <w:color w:val="auto"/>
              </w:rPr>
            </w:pPr>
            <w:r>
              <w:rPr>
                <w:color w:val="auto"/>
              </w:rPr>
              <w:t>☐</w:t>
            </w:r>
          </w:p>
        </w:tc>
        <w:tc>
          <w:p w14:paraId="43182B8B">
            <w:pPr>
              <w:pStyle w:val="28"/>
              <w:jc w:val="left"/>
              <w:rPr>
                <w:color w:val="auto"/>
              </w:rPr>
            </w:pPr>
            <w:r>
              <w:rPr>
                <w:color w:val="auto"/>
              </w:rPr>
              <w:t>Cenā iekļautas visas 6. sadaļas ievadā uzskaitītās izmaksas/ The price includes all costs listed in the introduction to section 6</w:t>
            </w:r>
          </w:p>
        </w:tc>
      </w:tr>
      <w:tr w14:paraId="7E4E37B0">
        <w:tc>
          <w:p w14:paraId="4BC7078E">
            <w:pPr>
              <w:pStyle w:val="28"/>
              <w:jc w:val="left"/>
              <w:rPr>
                <w:color w:val="auto"/>
              </w:rPr>
            </w:pPr>
            <w:r>
              <w:rPr>
                <w:color w:val="auto"/>
              </w:rPr>
              <w:t>☐</w:t>
            </w:r>
          </w:p>
        </w:tc>
        <w:tc>
          <w:p w14:paraId="3CE51572">
            <w:pPr>
              <w:pStyle w:val="28"/>
              <w:jc w:val="left"/>
              <w:rPr>
                <w:color w:val="auto"/>
              </w:rPr>
            </w:pPr>
            <w:r>
              <w:rPr>
                <w:color w:val="auto"/>
              </w:rPr>
              <w:t>Cenas ir fiksētas visā līguma izpildes laikā / The prices are fixed for the entire period of performance</w:t>
            </w:r>
          </w:p>
        </w:tc>
      </w:tr>
      <w:bookmarkEnd w:id="14"/>
    </w:tbl>
    <w:p w14:paraId="061A9A43">
      <w:pPr>
        <w:pStyle w:val="4"/>
        <w:rPr>
          <w:color w:val="auto"/>
        </w:rPr>
      </w:pPr>
      <w:bookmarkStart w:id="15" w:name="X162f187b229f37737ecda16cde131e740d9fdd8"/>
      <w:r>
        <w:rPr>
          <w:rFonts w:hint="default"/>
          <w:color w:val="auto"/>
          <w:lang w:val="lv-LV"/>
        </w:rPr>
        <w:t>5</w:t>
      </w:r>
      <w:r>
        <w:rPr>
          <w:color w:val="auto"/>
        </w:rPr>
        <w:t>. 1. pielikums — tehniskais piedāvājums / Annex 1 — technical offer</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600"/>
        <w:gridCol w:w="10000"/>
      </w:tblGrid>
      <w:tr w14:paraId="2704A338">
        <w:trPr>
          <w:tblHeader/>
        </w:trPr>
        <w:tc>
          <w:p w14:paraId="682408A3">
            <w:pPr>
              <w:pStyle w:val="28"/>
              <w:jc w:val="left"/>
              <w:rPr>
                <w:color w:val="auto"/>
              </w:rPr>
            </w:pPr>
            <w:r>
              <w:rPr>
                <w:color w:val="auto"/>
              </w:rPr>
              <w:t>✔</w:t>
            </w:r>
          </w:p>
        </w:tc>
        <w:tc>
          <w:p w14:paraId="64F85D7E">
            <w:pPr>
              <w:pStyle w:val="28"/>
              <w:jc w:val="left"/>
              <w:rPr>
                <w:color w:val="auto"/>
              </w:rPr>
            </w:pPr>
            <w:r>
              <w:rPr>
                <w:color w:val="auto"/>
              </w:rPr>
              <w:t>Pārbaudāmais / What to check</w:t>
            </w:r>
          </w:p>
        </w:tc>
      </w:tr>
      <w:tr w14:paraId="0B4DBD75">
        <w:tc>
          <w:p w14:paraId="42BFE2DD">
            <w:pPr>
              <w:pStyle w:val="28"/>
              <w:jc w:val="left"/>
              <w:rPr>
                <w:color w:val="auto"/>
              </w:rPr>
            </w:pPr>
            <w:r>
              <w:rPr>
                <w:color w:val="auto"/>
              </w:rPr>
              <w:t>☐</w:t>
            </w:r>
          </w:p>
        </w:tc>
        <w:tc>
          <w:p w14:paraId="15347231">
            <w:pPr>
              <w:pStyle w:val="28"/>
              <w:jc w:val="left"/>
              <w:rPr>
                <w:color w:val="auto"/>
              </w:rPr>
            </w:pPr>
            <w:r>
              <w:rPr>
                <w:color w:val="auto"/>
              </w:rPr>
              <w:t xml:space="preserve">Aizpildīta </w:t>
            </w:r>
            <w:r>
              <w:rPr>
                <w:b/>
                <w:bCs/>
                <w:color w:val="auto"/>
              </w:rPr>
              <w:t>katras</w:t>
            </w:r>
            <w:r>
              <w:rPr>
                <w:color w:val="auto"/>
              </w:rPr>
              <w:t xml:space="preserve"> prasības atbilstības kolonna — neviena rinda nav tukša / The compliance column completed for </w:t>
            </w:r>
            <w:r>
              <w:rPr>
                <w:b/>
                <w:bCs/>
                <w:color w:val="auto"/>
              </w:rPr>
              <w:t>every</w:t>
            </w:r>
            <w:r>
              <w:rPr>
                <w:color w:val="auto"/>
              </w:rPr>
              <w:t xml:space="preserve"> requirement — no row left blank</w:t>
            </w:r>
          </w:p>
        </w:tc>
      </w:tr>
      <w:tr w14:paraId="589C93E1">
        <w:tc>
          <w:p w14:paraId="6A0C08C1">
            <w:pPr>
              <w:pStyle w:val="28"/>
              <w:jc w:val="left"/>
              <w:rPr>
                <w:color w:val="auto"/>
              </w:rPr>
            </w:pPr>
            <w:r>
              <w:rPr>
                <w:color w:val="auto"/>
              </w:rPr>
              <w:t>☐</w:t>
            </w:r>
          </w:p>
        </w:tc>
        <w:tc>
          <w:p w14:paraId="4DD7413B">
            <w:pPr>
              <w:pStyle w:val="28"/>
              <w:jc w:val="left"/>
              <w:rPr>
                <w:color w:val="auto"/>
              </w:rPr>
            </w:pPr>
            <w:r>
              <w:rPr>
                <w:color w:val="auto"/>
              </w:rPr>
              <w:t>Katrai rindai norādīts “Atbilst” vai “Neatbilst” / “Complies” or “Does not comply” stated for every row</w:t>
            </w:r>
          </w:p>
        </w:tc>
      </w:tr>
      <w:bookmarkEnd w:id="15"/>
    </w:tbl>
    <w:p w14:paraId="249ADE59">
      <w:pPr>
        <w:pStyle w:val="4"/>
        <w:rPr>
          <w:color w:val="auto"/>
        </w:rPr>
      </w:pPr>
      <w:bookmarkStart w:id="16" w:name="X9b84a4d393e54915bbe55b507e67b862ffd38b3"/>
      <w:r>
        <w:rPr>
          <w:rFonts w:hint="default"/>
          <w:color w:val="auto"/>
          <w:lang w:val="lv-LV"/>
        </w:rPr>
        <w:t>6</w:t>
      </w:r>
      <w:r>
        <w:rPr>
          <w:color w:val="auto"/>
        </w:rPr>
        <w:t>. Noformējums un nosūtīšana / Formalities and sending</w:t>
      </w:r>
    </w:p>
    <w:tbl>
      <w:tblPr>
        <w:tblStyle w:val="33"/>
        <w:tblW w:w="10600"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600"/>
        <w:gridCol w:w="10000"/>
      </w:tblGrid>
      <w:tr w14:paraId="460DC2B1">
        <w:trPr>
          <w:tblHeader/>
        </w:trPr>
        <w:tc>
          <w:p w14:paraId="66689E74">
            <w:pPr>
              <w:pStyle w:val="28"/>
              <w:jc w:val="left"/>
              <w:rPr>
                <w:color w:val="auto"/>
              </w:rPr>
            </w:pPr>
            <w:r>
              <w:rPr>
                <w:color w:val="auto"/>
              </w:rPr>
              <w:t>✔</w:t>
            </w:r>
          </w:p>
        </w:tc>
        <w:tc>
          <w:p w14:paraId="2B3246D0">
            <w:pPr>
              <w:pStyle w:val="28"/>
              <w:jc w:val="left"/>
              <w:rPr>
                <w:color w:val="auto"/>
              </w:rPr>
            </w:pPr>
            <w:r>
              <w:rPr>
                <w:color w:val="auto"/>
              </w:rPr>
              <w:t>Pārbaudāmais / What to check</w:t>
            </w:r>
          </w:p>
        </w:tc>
      </w:tr>
      <w:tr w14:paraId="2ACFE8B8">
        <w:tc>
          <w:p w14:paraId="6CB3E29A">
            <w:pPr>
              <w:pStyle w:val="28"/>
              <w:jc w:val="left"/>
              <w:rPr>
                <w:color w:val="auto"/>
              </w:rPr>
            </w:pPr>
            <w:r>
              <w:rPr>
                <w:color w:val="auto"/>
              </w:rPr>
              <w:t>☐</w:t>
            </w:r>
          </w:p>
        </w:tc>
        <w:tc>
          <w:p w14:paraId="6E2E71B9">
            <w:pPr>
              <w:pStyle w:val="28"/>
              <w:jc w:val="left"/>
              <w:rPr>
                <w:color w:val="auto"/>
              </w:rPr>
            </w:pPr>
            <w:r>
              <w:rPr>
                <w:color w:val="auto"/>
              </w:rPr>
              <w:t>Latviešu vai angļu valodā / In Latvian or English</w:t>
            </w:r>
          </w:p>
        </w:tc>
      </w:tr>
      <w:tr w14:paraId="5A0EC8ED">
        <w:tc>
          <w:p w14:paraId="0181BD8D">
            <w:pPr>
              <w:pStyle w:val="28"/>
              <w:jc w:val="left"/>
              <w:rPr>
                <w:color w:val="auto"/>
              </w:rPr>
            </w:pPr>
            <w:r>
              <w:rPr>
                <w:color w:val="auto"/>
              </w:rPr>
              <w:t>☐</w:t>
            </w:r>
          </w:p>
        </w:tc>
        <w:tc>
          <w:p w14:paraId="1B942806">
            <w:pPr>
              <w:pStyle w:val="28"/>
              <w:jc w:val="left"/>
              <w:rPr>
                <w:color w:val="auto"/>
              </w:rPr>
            </w:pPr>
            <w:r>
              <w:rPr>
                <w:color w:val="auto"/>
              </w:rPr>
              <w:t>Iesniegts parakstīts PDF un rediģējamā formātā (DOCX/XLSX) / Submitted as a signed PDF and in editable format (DOCX/XLSX)</w:t>
            </w:r>
          </w:p>
        </w:tc>
      </w:tr>
      <w:tr w14:paraId="2BC06005">
        <w:tc>
          <w:p w14:paraId="1E198247">
            <w:pPr>
              <w:pStyle w:val="28"/>
              <w:jc w:val="left"/>
              <w:rPr>
                <w:color w:val="auto"/>
              </w:rPr>
            </w:pPr>
            <w:r>
              <w:rPr>
                <w:color w:val="auto"/>
              </w:rPr>
              <w:t>☐</w:t>
            </w:r>
          </w:p>
        </w:tc>
        <w:tc>
          <w:p w14:paraId="61FB6A5C">
            <w:pPr>
              <w:pStyle w:val="28"/>
              <w:jc w:val="left"/>
              <w:rPr>
                <w:color w:val="auto"/>
              </w:rPr>
            </w:pPr>
            <w:r>
              <w:rPr>
                <w:color w:val="auto"/>
              </w:rPr>
              <w:t>Parakstījusi paraksttiesīgā persona; ja paraksta pilnvarotā persona – pievienota pilnvara; apvienībā – visi dalībnieki / Signed by the authorised signatory; if signed by a proxy – the power of attorney is attached; in a consortium – all members</w:t>
            </w:r>
          </w:p>
        </w:tc>
      </w:tr>
      <w:tr w14:paraId="2D27FF09">
        <w:tc>
          <w:p w14:paraId="7A925A50">
            <w:pPr>
              <w:pStyle w:val="28"/>
              <w:jc w:val="left"/>
              <w:rPr>
                <w:color w:val="auto"/>
              </w:rPr>
            </w:pPr>
            <w:r>
              <w:rPr>
                <w:color w:val="auto"/>
              </w:rPr>
              <w:t>☐</w:t>
            </w:r>
          </w:p>
        </w:tc>
        <w:tc>
          <w:p w14:paraId="175098F6">
            <w:pPr>
              <w:pStyle w:val="28"/>
              <w:jc w:val="left"/>
              <w:rPr>
                <w:color w:val="auto"/>
              </w:rPr>
            </w:pPr>
            <w:r>
              <w:rPr>
                <w:color w:val="auto"/>
              </w:rPr>
              <w:t>Apjoms ≤ 50 MB vienā sūtījumā; datnes nav aizsargātas ar paroli / Up to 50 MB per message; the files are not password-protected</w:t>
            </w:r>
          </w:p>
        </w:tc>
      </w:tr>
      <w:tr w14:paraId="1B9C6DC7">
        <w:tc>
          <w:p w14:paraId="6ABC24EF">
            <w:pPr>
              <w:pStyle w:val="28"/>
              <w:jc w:val="left"/>
              <w:rPr>
                <w:color w:val="auto"/>
              </w:rPr>
            </w:pPr>
            <w:r>
              <w:rPr>
                <w:color w:val="auto"/>
              </w:rPr>
              <w:t>☐</w:t>
            </w:r>
          </w:p>
        </w:tc>
        <w:tc>
          <w:p w14:paraId="5F8FC53F">
            <w:pPr>
              <w:pStyle w:val="28"/>
              <w:jc w:val="left"/>
              <w:rPr>
                <w:color w:val="auto"/>
              </w:rPr>
            </w:pPr>
            <w:r>
              <w:rPr>
                <w:color w:val="auto"/>
              </w:rPr>
              <w:t>Nosūtīts uz 1. sadaļā norādīto e-pasta adresi / Sent to the e-mail address stated in section 1</w:t>
            </w:r>
          </w:p>
        </w:tc>
      </w:tr>
      <w:tr w14:paraId="62BFBD77">
        <w:tc>
          <w:p w14:paraId="0F0A10C0">
            <w:pPr>
              <w:pStyle w:val="28"/>
              <w:jc w:val="left"/>
              <w:rPr>
                <w:color w:val="auto"/>
              </w:rPr>
            </w:pPr>
            <w:r>
              <w:rPr>
                <w:color w:val="auto"/>
              </w:rPr>
              <w:t>☐</w:t>
            </w:r>
          </w:p>
        </w:tc>
        <w:tc>
          <w:p w14:paraId="612FC145">
            <w:pPr>
              <w:pStyle w:val="28"/>
              <w:jc w:val="left"/>
              <w:rPr>
                <w:color w:val="auto"/>
              </w:rPr>
            </w:pPr>
            <w:r>
              <w:rPr>
                <w:color w:val="auto"/>
              </w:rPr>
              <w:t>Nosūtīts pirms termiņa; noteicošais ir saņemšanas laiks Pasūtītāja e-pasta serverī / Sent before the deadline; the time of receipt on the contracting authority’s mail server governs</w:t>
            </w:r>
          </w:p>
        </w:tc>
      </w:tr>
      <w:bookmarkEnd w:id="10"/>
      <w:bookmarkEnd w:id="16"/>
    </w:tbl>
    <w:p w14:paraId="747EC86C">
      <w:pPr>
        <w:pStyle w:val="3"/>
        <w:rPr>
          <w:color w:val="auto"/>
        </w:rPr>
      </w:pPr>
    </w:p>
    <w:sectPr>
      <w:footerReference r:id="rId5" w:type="default"/>
      <w:pgSz w:w="11906" w:h="16838"/>
      <w:pgMar w:top="680" w:right="620" w:bottom="680" w:left="680" w:header="454" w:footer="454"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AE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Consolas">
    <w:altName w:val="苹方-简"/>
    <w:panose1 w:val="00000000000000000000"/>
    <w:charset w:val="00"/>
    <w:family w:val="auto"/>
    <w:pitch w:val="default"/>
    <w:sig w:usb0="00000000" w:usb1="00000000" w:usb2="00000000" w:usb3="00000000" w:csb0="00000000" w:csb1="00000000"/>
  </w:font>
  <w:font w:name="helvetica">
    <w:panose1 w:val="00000000000000000000"/>
    <w:charset w:val="00"/>
    <w:family w:val="auto"/>
    <w:pitch w:val="default"/>
    <w:sig w:usb0="E00002FF" w:usb1="5000785B" w:usb2="00000000" w:usb3="00000000" w:csb0="2000019F" w:csb1="4F01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 w:name="苹方-简">
    <w:panose1 w:val="020B0400000000000000"/>
    <w:charset w:val="86"/>
    <w:family w:val="auto"/>
    <w:pitch w:val="default"/>
    <w:sig w:usb0="A00002FF" w:usb1="7ACFFDFB" w:usb2="00000017"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3EB2D">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9319B1D">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14:paraId="09319B1D">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480"/>
      </w:pPr>
    </w:lvl>
    <w:lvl w:ilvl="1" w:tentative="0">
      <w:start w:val="0"/>
      <w:numFmt w:val="bullet"/>
      <w:lvlText w:val="–"/>
      <w:lvlJc w:val="left"/>
      <w:pPr>
        <w:ind w:left="1440" w:hanging="480"/>
      </w:pPr>
    </w:lvl>
    <w:lvl w:ilvl="2" w:tentative="0">
      <w:start w:val="0"/>
      <w:numFmt w:val="bullet"/>
      <w:lvlText w:val="•"/>
      <w:lvlJc w:val="left"/>
      <w:pPr>
        <w:ind w:left="2160" w:hanging="480"/>
      </w:pPr>
    </w:lvl>
    <w:lvl w:ilvl="3" w:tentative="0">
      <w:start w:val="0"/>
      <w:numFmt w:val="bullet"/>
      <w:lvlText w:val="–"/>
      <w:lvlJc w:val="left"/>
      <w:pPr>
        <w:ind w:left="2880" w:hanging="480"/>
      </w:pPr>
    </w:lvl>
    <w:lvl w:ilvl="4" w:tentative="0">
      <w:start w:val="0"/>
      <w:numFmt w:val="bullet"/>
      <w:lvlText w:val="•"/>
      <w:lvlJc w:val="left"/>
      <w:pPr>
        <w:ind w:left="3600" w:hanging="480"/>
      </w:pPr>
    </w:lvl>
    <w:lvl w:ilvl="5" w:tentative="0">
      <w:start w:val="0"/>
      <w:numFmt w:val="bullet"/>
      <w:lvlText w:val="–"/>
      <w:lvlJc w:val="left"/>
      <w:pPr>
        <w:ind w:left="4320" w:hanging="480"/>
      </w:pPr>
    </w:lvl>
    <w:lvl w:ilvl="6" w:tentative="0">
      <w:start w:val="0"/>
      <w:numFmt w:val="bullet"/>
      <w:lvlText w:val="•"/>
      <w:lvlJc w:val="left"/>
      <w:pPr>
        <w:ind w:left="5040" w:hanging="480"/>
      </w:pPr>
    </w:lvl>
    <w:lvl w:ilvl="7" w:tentative="0">
      <w:start w:val="0"/>
      <w:numFmt w:val="bullet"/>
      <w:lvlText w:val="–"/>
      <w:lvlJc w:val="left"/>
      <w:pPr>
        <w:ind w:left="5760" w:hanging="480"/>
      </w:pPr>
    </w:lvl>
    <w:lvl w:ilvl="8" w:tentative="0">
      <w:start w:val="0"/>
      <w:numFmt w:val="bullet"/>
      <w:lvlText w:val="•"/>
      <w:lvlJc w:val="left"/>
      <w:pPr>
        <w:ind w:left="64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NotTrackMoves/>
  <w:documentProtection w:enforcement="0"/>
  <w:defaultTabStop w:val="720"/>
  <w:drawingGridHorizontalSpacing w:val="360"/>
  <w:drawingGridVerticalSpacing w:val="36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F737FA"/>
    <w:rsid w:val="014EC009"/>
    <w:rsid w:val="02056488"/>
    <w:rsid w:val="029B4880"/>
    <w:rsid w:val="0319443A"/>
    <w:rsid w:val="072F58E4"/>
    <w:rsid w:val="0A0B6003"/>
    <w:rsid w:val="0C275D23"/>
    <w:rsid w:val="0C355733"/>
    <w:rsid w:val="0C987C87"/>
    <w:rsid w:val="0CBE0E63"/>
    <w:rsid w:val="0E9653DB"/>
    <w:rsid w:val="0F2A4A9D"/>
    <w:rsid w:val="0F789FD2"/>
    <w:rsid w:val="12E2F03A"/>
    <w:rsid w:val="16FFAF7E"/>
    <w:rsid w:val="18728327"/>
    <w:rsid w:val="18EFDC80"/>
    <w:rsid w:val="197197D6"/>
    <w:rsid w:val="1C7FB6A8"/>
    <w:rsid w:val="1EFCB88B"/>
    <w:rsid w:val="20208743"/>
    <w:rsid w:val="235A76BC"/>
    <w:rsid w:val="23DB6F51"/>
    <w:rsid w:val="23F680F8"/>
    <w:rsid w:val="259B2E77"/>
    <w:rsid w:val="2649A96C"/>
    <w:rsid w:val="26BB67E8"/>
    <w:rsid w:val="27977A49"/>
    <w:rsid w:val="299000D5"/>
    <w:rsid w:val="2FF737FA"/>
    <w:rsid w:val="321B88C4"/>
    <w:rsid w:val="339A4E9D"/>
    <w:rsid w:val="353C31EE"/>
    <w:rsid w:val="371138F2"/>
    <w:rsid w:val="372AE165"/>
    <w:rsid w:val="3759FF7E"/>
    <w:rsid w:val="37DF32DC"/>
    <w:rsid w:val="39394D43"/>
    <w:rsid w:val="393F1C34"/>
    <w:rsid w:val="399FFBB4"/>
    <w:rsid w:val="3B4320DA"/>
    <w:rsid w:val="3BEFA012"/>
    <w:rsid w:val="3D04F803"/>
    <w:rsid w:val="3E21B13F"/>
    <w:rsid w:val="3E77BFBE"/>
    <w:rsid w:val="3EA9246E"/>
    <w:rsid w:val="40AD2E13"/>
    <w:rsid w:val="439DCEBC"/>
    <w:rsid w:val="44390051"/>
    <w:rsid w:val="45E97C21"/>
    <w:rsid w:val="47BFD0ED"/>
    <w:rsid w:val="47F0D761"/>
    <w:rsid w:val="47FFC3CB"/>
    <w:rsid w:val="48BB3DE5"/>
    <w:rsid w:val="49606373"/>
    <w:rsid w:val="49A9C5B8"/>
    <w:rsid w:val="49B203D1"/>
    <w:rsid w:val="4C85FB3B"/>
    <w:rsid w:val="4E6E2BCE"/>
    <w:rsid w:val="503F85F3"/>
    <w:rsid w:val="50D33F1C"/>
    <w:rsid w:val="53136CB5"/>
    <w:rsid w:val="53D8AE19"/>
    <w:rsid w:val="584D4C76"/>
    <w:rsid w:val="58C08965"/>
    <w:rsid w:val="5B5F7FD0"/>
    <w:rsid w:val="5D8D84AB"/>
    <w:rsid w:val="5ED8BD68"/>
    <w:rsid w:val="5FFD9735"/>
    <w:rsid w:val="60E44253"/>
    <w:rsid w:val="62A6A06B"/>
    <w:rsid w:val="637BBA2B"/>
    <w:rsid w:val="63EEE9FB"/>
    <w:rsid w:val="666DB35A"/>
    <w:rsid w:val="6687F109"/>
    <w:rsid w:val="6697E1F8"/>
    <w:rsid w:val="66FBFF12"/>
    <w:rsid w:val="672F560D"/>
    <w:rsid w:val="6B5A7DDD"/>
    <w:rsid w:val="6D6161BC"/>
    <w:rsid w:val="7041F8F0"/>
    <w:rsid w:val="72895EAD"/>
    <w:rsid w:val="72E893F0"/>
    <w:rsid w:val="75168BE1"/>
    <w:rsid w:val="764F7028"/>
    <w:rsid w:val="76C08026"/>
    <w:rsid w:val="77DCA420"/>
    <w:rsid w:val="783DD820"/>
    <w:rsid w:val="791A482C"/>
    <w:rsid w:val="7AFB3B31"/>
    <w:rsid w:val="7B3589F8"/>
    <w:rsid w:val="7BAC5796"/>
    <w:rsid w:val="7C36A8CF"/>
    <w:rsid w:val="7CEA289D"/>
    <w:rsid w:val="7DF824CA"/>
    <w:rsid w:val="7EFB23D8"/>
    <w:rsid w:val="7F79B2B0"/>
    <w:rsid w:val="7FCFB224"/>
    <w:rsid w:val="7FE8241D"/>
    <w:rsid w:val="B2FDDEF5"/>
    <w:rsid w:val="C76FD042"/>
    <w:rsid w:val="EFEFED89"/>
    <w:rsid w:val="F79D073F"/>
    <w:rsid w:val="F97F0F0B"/>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00" w:line="240" w:lineRule="auto"/>
    </w:pPr>
    <w:rPr>
      <w:rFonts w:ascii="Calibri" w:hAnsi="Calibri" w:eastAsia="Calibri" w:cs="Calibri"/>
      <w:sz w:val="20"/>
      <w:szCs w:val="20"/>
      <w:lang w:val="lv-LV" w:eastAsia="lv-LV"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4F81BD" w:themeColor="accent1"/>
      <w:sz w:val="32"/>
      <w:szCs w:val="32"/>
      <w14:textFill>
        <w14:solidFill>
          <w14:schemeClr w14:val="accent1"/>
        </w14:solidFill>
      </w14:textFill>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4F81BD" w:themeColor="accent1"/>
      <w:sz w:val="28"/>
      <w:szCs w:val="28"/>
      <w14:textFill>
        <w14:solidFill>
          <w14:schemeClr w14:val="accent1"/>
        </w14:solidFill>
      </w14:textFill>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4F81BD" w:themeColor="accent1"/>
      <w:sz w:val="24"/>
      <w:szCs w:val="24"/>
      <w14:textFill>
        <w14:solidFill>
          <w14:schemeClr w14:val="accent1"/>
        </w14:solidFill>
      </w14:textFill>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Cs/>
      <w:i/>
      <w:color w:val="4F81BD" w:themeColor="accent1"/>
      <w:sz w:val="24"/>
      <w:szCs w:val="24"/>
      <w14:textFill>
        <w14:solidFill>
          <w14:schemeClr w14:val="accent1"/>
        </w14:solidFill>
      </w14:textFill>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Cs/>
      <w:color w:val="4F81BD" w:themeColor="accent1"/>
      <w:sz w:val="24"/>
      <w:szCs w:val="24"/>
      <w14:textFill>
        <w14:solidFill>
          <w14:schemeClr w14:val="accent1"/>
        </w14:solidFill>
      </w14:textFill>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4F81BD" w:themeColor="accent1"/>
      <w:sz w:val="24"/>
      <w:szCs w:val="24"/>
      <w14:textFill>
        <w14:solidFill>
          <w14:schemeClr w14:val="accent1"/>
        </w14:solidFill>
      </w14:textFill>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4F81BD" w:themeColor="accent1"/>
      <w:sz w:val="24"/>
      <w:szCs w:val="24"/>
      <w14:textFill>
        <w14:solidFill>
          <w14:schemeClr w14:val="accent1"/>
        </w14:solidFill>
      </w14:textFill>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4F81BD" w:themeColor="accent1"/>
      <w:sz w:val="24"/>
      <w:szCs w:val="24"/>
      <w14:textFill>
        <w14:solidFill>
          <w14:schemeClr w14:val="accent1"/>
        </w14:solidFill>
      </w14:textFill>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4F81BD" w:themeColor="accent1"/>
      <w:sz w:val="24"/>
      <w:szCs w:val="24"/>
      <w14:textFill>
        <w14:solidFill>
          <w14:schemeClr w14:val="accent1"/>
        </w14:solidFill>
      </w14:textFill>
    </w:rPr>
  </w:style>
  <w:style w:type="character" w:default="1" w:styleId="12">
    <w:name w:val="Default Paragraph Font"/>
    <w:semiHidden/>
    <w:unhideWhenUsed/>
    <w:uiPriority w:val="0"/>
  </w:style>
  <w:style w:type="table" w:default="1" w:styleId="13">
    <w:name w:val="Normal Table"/>
    <w:uiPriority w:val="0"/>
    <w:tblPr>
      <w:tblCellMar>
        <w:top w:w="0" w:type="dxa"/>
        <w:left w:w="108" w:type="dxa"/>
        <w:bottom w:w="0" w:type="dxa"/>
        <w:right w:w="108" w:type="dxa"/>
      </w:tblCellMar>
    </w:tblPr>
  </w:style>
  <w:style w:type="paragraph" w:styleId="3">
    <w:name w:val="Body Text"/>
    <w:basedOn w:val="1"/>
    <w:link w:val="20"/>
    <w:qFormat/>
    <w:uiPriority w:val="0"/>
    <w:pPr>
      <w:spacing w:before="180" w:after="180"/>
    </w:pPr>
  </w:style>
  <w:style w:type="paragraph" w:styleId="14">
    <w:name w:val="Block Text"/>
    <w:basedOn w:val="3"/>
    <w:next w:val="3"/>
    <w:unhideWhenUsed/>
    <w:qFormat/>
    <w:uiPriority w:val="9"/>
    <w:pPr>
      <w:spacing w:before="100" w:after="100"/>
      <w:ind w:left="480" w:right="480" w:firstLine="0"/>
    </w:pPr>
  </w:style>
  <w:style w:type="paragraph" w:styleId="15">
    <w:name w:val="caption"/>
    <w:basedOn w:val="1"/>
    <w:uiPriority w:val="0"/>
    <w:pPr>
      <w:spacing w:before="0" w:after="120"/>
    </w:pPr>
    <w:rPr>
      <w:i/>
    </w:rPr>
  </w:style>
  <w:style w:type="paragraph" w:styleId="16">
    <w:name w:val="Date"/>
    <w:next w:val="3"/>
    <w:qFormat/>
    <w:uiPriority w:val="0"/>
    <w:pPr>
      <w:keepNext/>
      <w:keepLines/>
      <w:spacing w:after="100" w:line="240" w:lineRule="auto"/>
      <w:jc w:val="center"/>
    </w:pPr>
    <w:rPr>
      <w:rFonts w:ascii="Calibri" w:hAnsi="Calibri" w:eastAsia="Calibri" w:cs="Calibri"/>
      <w:sz w:val="20"/>
      <w:szCs w:val="20"/>
      <w:lang w:val="lv-LV" w:eastAsia="lv-LV" w:bidi="ar-SA"/>
    </w:rPr>
  </w:style>
  <w:style w:type="character" w:styleId="17">
    <w:name w:val="Emphasis"/>
    <w:basedOn w:val="12"/>
    <w:uiPriority w:val="0"/>
    <w:rPr>
      <w:i/>
      <w:iCs/>
    </w:rPr>
  </w:style>
  <w:style w:type="paragraph" w:styleId="18">
    <w:name w:val="footer"/>
    <w:basedOn w:val="1"/>
    <w:uiPriority w:val="0"/>
    <w:pPr>
      <w:tabs>
        <w:tab w:val="center" w:pos="4153"/>
        <w:tab w:val="right" w:pos="8306"/>
      </w:tabs>
      <w:snapToGrid w:val="0"/>
      <w:jc w:val="left"/>
    </w:pPr>
    <w:rPr>
      <w:sz w:val="18"/>
      <w:szCs w:val="18"/>
    </w:rPr>
  </w:style>
  <w:style w:type="character" w:styleId="19">
    <w:name w:val="footnote reference"/>
    <w:basedOn w:val="20"/>
    <w:uiPriority w:val="0"/>
    <w:rPr>
      <w:vertAlign w:val="superscript"/>
    </w:rPr>
  </w:style>
  <w:style w:type="character" w:customStyle="1" w:styleId="20">
    <w:name w:val="Body Text Char"/>
    <w:basedOn w:val="12"/>
    <w:link w:val="3"/>
    <w:uiPriority w:val="0"/>
  </w:style>
  <w:style w:type="paragraph" w:styleId="21">
    <w:name w:val="footnote text"/>
    <w:basedOn w:val="1"/>
    <w:unhideWhenUsed/>
    <w:qFormat/>
    <w:uiPriority w:val="9"/>
  </w:style>
  <w:style w:type="paragraph" w:styleId="22">
    <w:name w:val="header"/>
    <w:basedOn w:val="1"/>
    <w:uiPriority w:val="0"/>
    <w:pPr>
      <w:tabs>
        <w:tab w:val="center" w:pos="4153"/>
        <w:tab w:val="right" w:pos="8306"/>
      </w:tabs>
      <w:snapToGrid w:val="0"/>
    </w:pPr>
    <w:rPr>
      <w:sz w:val="18"/>
      <w:szCs w:val="18"/>
    </w:rPr>
  </w:style>
  <w:style w:type="character" w:styleId="23">
    <w:name w:val="Hyperlink"/>
    <w:basedOn w:val="20"/>
    <w:uiPriority w:val="0"/>
    <w:rPr>
      <w:color w:val="4F81BD" w:themeColor="accent1"/>
      <w14:textFill>
        <w14:solidFill>
          <w14:schemeClr w14:val="accent1"/>
        </w14:solidFill>
      </w14:textFill>
    </w:rPr>
  </w:style>
  <w:style w:type="paragraph" w:styleId="24">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25">
    <w:name w:val="Subtitle"/>
    <w:basedOn w:val="26"/>
    <w:next w:val="3"/>
    <w:qFormat/>
    <w:uiPriority w:val="0"/>
    <w:pPr>
      <w:keepNext/>
      <w:keepLines/>
      <w:spacing w:before="240" w:after="240"/>
      <w:jc w:val="center"/>
    </w:pPr>
    <w:rPr>
      <w:sz w:val="30"/>
      <w:szCs w:val="30"/>
    </w:rPr>
  </w:style>
  <w:style w:type="paragraph" w:styleId="26">
    <w:name w:val="Title"/>
    <w:basedOn w:val="1"/>
    <w:next w:val="3"/>
    <w:qFormat/>
    <w:uiPriority w:val="0"/>
    <w:pPr>
      <w:keepNext/>
      <w:keepLines/>
      <w:spacing w:before="480" w:after="240"/>
      <w:jc w:val="center"/>
    </w:pPr>
    <w:rPr>
      <w:rFonts w:asciiTheme="majorHAnsi" w:hAnsiTheme="majorHAnsi" w:eastAsiaTheme="majorEastAsia" w:cstheme="majorBidi"/>
      <w:b/>
      <w:bCs/>
      <w:color w:val="345B8A" w:themeColor="accent1" w:themeShade="B5"/>
      <w:sz w:val="36"/>
      <w:szCs w:val="36"/>
    </w:rPr>
  </w:style>
  <w:style w:type="paragraph" w:customStyle="1" w:styleId="27">
    <w:name w:val="First Paragraph"/>
    <w:basedOn w:val="3"/>
    <w:next w:val="3"/>
    <w:qFormat/>
    <w:uiPriority w:val="0"/>
  </w:style>
  <w:style w:type="paragraph" w:customStyle="1" w:styleId="28">
    <w:name w:val="Compact"/>
    <w:basedOn w:val="3"/>
    <w:qFormat/>
    <w:uiPriority w:val="0"/>
    <w:pPr>
      <w:spacing w:before="36" w:after="36"/>
    </w:pPr>
  </w:style>
  <w:style w:type="paragraph" w:customStyle="1" w:styleId="29">
    <w:name w:val="Author"/>
    <w:next w:val="3"/>
    <w:qFormat/>
    <w:uiPriority w:val="0"/>
    <w:pPr>
      <w:keepNext/>
      <w:keepLines/>
      <w:spacing w:after="100" w:line="240" w:lineRule="auto"/>
      <w:jc w:val="center"/>
    </w:pPr>
    <w:rPr>
      <w:rFonts w:ascii="Calibri" w:hAnsi="Calibri" w:eastAsia="Calibri" w:cs="Calibri"/>
      <w:sz w:val="20"/>
      <w:szCs w:val="20"/>
      <w:lang w:val="lv-LV" w:eastAsia="lv-LV" w:bidi="ar-SA"/>
    </w:rPr>
  </w:style>
  <w:style w:type="paragraph" w:customStyle="1" w:styleId="30">
    <w:name w:val="Abstract Title"/>
    <w:basedOn w:val="1"/>
    <w:next w:val="31"/>
    <w:qFormat/>
    <w:uiPriority w:val="0"/>
    <w:pPr>
      <w:keepNext/>
      <w:keepLines/>
      <w:spacing w:before="300" w:after="0"/>
      <w:jc w:val="center"/>
    </w:pPr>
    <w:rPr>
      <w:b/>
      <w:color w:val="345A8A"/>
      <w:sz w:val="20"/>
      <w:szCs w:val="20"/>
    </w:rPr>
  </w:style>
  <w:style w:type="paragraph" w:customStyle="1" w:styleId="31">
    <w:name w:val="Abstract"/>
    <w:basedOn w:val="1"/>
    <w:next w:val="3"/>
    <w:qFormat/>
    <w:uiPriority w:val="0"/>
    <w:pPr>
      <w:keepNext/>
      <w:keepLines/>
      <w:spacing w:before="100" w:after="300"/>
    </w:pPr>
    <w:rPr>
      <w:sz w:val="20"/>
      <w:szCs w:val="20"/>
    </w:rPr>
  </w:style>
  <w:style w:type="paragraph" w:customStyle="1" w:styleId="32">
    <w:name w:val="Bibliography"/>
    <w:basedOn w:val="1"/>
    <w:qFormat/>
    <w:uiPriority w:val="0"/>
  </w:style>
  <w:style w:type="table" w:customStyle="1" w:styleId="33">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34">
    <w:name w:val="Definition Term"/>
    <w:basedOn w:val="1"/>
    <w:next w:val="35"/>
    <w:uiPriority w:val="0"/>
    <w:pPr>
      <w:keepNext/>
      <w:keepLines/>
      <w:spacing w:after="0"/>
    </w:pPr>
    <w:rPr>
      <w:b/>
    </w:rPr>
  </w:style>
  <w:style w:type="paragraph" w:customStyle="1" w:styleId="35">
    <w:name w:val="Definition"/>
    <w:basedOn w:val="1"/>
    <w:uiPriority w:val="0"/>
  </w:style>
  <w:style w:type="paragraph" w:customStyle="1" w:styleId="36">
    <w:name w:val="Table Caption"/>
    <w:basedOn w:val="15"/>
    <w:uiPriority w:val="0"/>
    <w:pPr>
      <w:keepNext/>
    </w:pPr>
  </w:style>
  <w:style w:type="paragraph" w:customStyle="1" w:styleId="37">
    <w:name w:val="Image Caption"/>
    <w:basedOn w:val="15"/>
    <w:uiPriority w:val="0"/>
  </w:style>
  <w:style w:type="paragraph" w:customStyle="1" w:styleId="38">
    <w:name w:val="Figure"/>
    <w:basedOn w:val="1"/>
    <w:uiPriority w:val="0"/>
  </w:style>
  <w:style w:type="paragraph" w:customStyle="1" w:styleId="39">
    <w:name w:val="Captioned Figure"/>
    <w:basedOn w:val="38"/>
    <w:uiPriority w:val="0"/>
    <w:pPr>
      <w:keepNext/>
    </w:pPr>
  </w:style>
  <w:style w:type="character" w:customStyle="1" w:styleId="40">
    <w:name w:val="Verbatim Char"/>
    <w:basedOn w:val="20"/>
    <w:link w:val="41"/>
    <w:uiPriority w:val="0"/>
    <w:rPr>
      <w:rFonts w:ascii="Consolas" w:hAnsi="Consolas"/>
      <w:sz w:val="22"/>
    </w:rPr>
  </w:style>
  <w:style w:type="paragraph" w:customStyle="1" w:styleId="41">
    <w:name w:val="Source Code"/>
    <w:basedOn w:val="1"/>
    <w:link w:val="40"/>
    <w:uiPriority w:val="0"/>
    <w:pPr>
      <w:wordWrap w:val="0"/>
    </w:pPr>
  </w:style>
  <w:style w:type="character" w:customStyle="1" w:styleId="42">
    <w:name w:val="Section Number"/>
    <w:basedOn w:val="20"/>
    <w:uiPriority w:val="0"/>
  </w:style>
  <w:style w:type="paragraph" w:customStyle="1" w:styleId="43">
    <w:name w:val="TOC Heading"/>
    <w:basedOn w:val="2"/>
    <w:next w:val="3"/>
    <w:unhideWhenUsed/>
    <w:qFormat/>
    <w:uiPriority w:val="39"/>
    <w:pPr>
      <w:spacing w:before="240" w:line="259" w:lineRule="auto"/>
      <w:outlineLvl w:val="9"/>
    </w:pPr>
    <w:rPr>
      <w:rFonts w:asciiTheme="majorHAnsi" w:hAnsiTheme="majorHAnsi" w:eastAsiaTheme="majorEastAsia" w:cstheme="majorBidi"/>
      <w:b w:val="0"/>
      <w:bCs w:val="0"/>
      <w:color w:val="376092" w:themeColor="accent1" w:themeShade="BF"/>
    </w:rPr>
  </w:style>
  <w:style w:type="character" w:customStyle="1" w:styleId="44">
    <w:name w:val="KeywordTok"/>
    <w:basedOn w:val="40"/>
    <w:uiPriority w:val="0"/>
    <w:rPr>
      <w:b/>
      <w:color w:val="007020"/>
    </w:rPr>
  </w:style>
  <w:style w:type="character" w:customStyle="1" w:styleId="45">
    <w:name w:val="DataTypeTok"/>
    <w:basedOn w:val="40"/>
    <w:uiPriority w:val="0"/>
    <w:rPr>
      <w:color w:val="902000"/>
    </w:rPr>
  </w:style>
  <w:style w:type="character" w:customStyle="1" w:styleId="46">
    <w:name w:val="DecValTok"/>
    <w:basedOn w:val="40"/>
    <w:uiPriority w:val="0"/>
    <w:rPr>
      <w:color w:val="40A070"/>
    </w:rPr>
  </w:style>
  <w:style w:type="character" w:customStyle="1" w:styleId="47">
    <w:name w:val="BaseNTok"/>
    <w:basedOn w:val="40"/>
    <w:uiPriority w:val="0"/>
    <w:rPr>
      <w:color w:val="40A070"/>
    </w:rPr>
  </w:style>
  <w:style w:type="character" w:customStyle="1" w:styleId="48">
    <w:name w:val="FloatTok"/>
    <w:basedOn w:val="40"/>
    <w:uiPriority w:val="0"/>
    <w:rPr>
      <w:color w:val="40A070"/>
    </w:rPr>
  </w:style>
  <w:style w:type="character" w:customStyle="1" w:styleId="49">
    <w:name w:val="ConstantTok"/>
    <w:basedOn w:val="40"/>
    <w:uiPriority w:val="0"/>
    <w:rPr>
      <w:color w:val="880000"/>
    </w:rPr>
  </w:style>
  <w:style w:type="character" w:customStyle="1" w:styleId="50">
    <w:name w:val="CharTok"/>
    <w:basedOn w:val="40"/>
    <w:uiPriority w:val="0"/>
    <w:rPr>
      <w:color w:val="4070A0"/>
    </w:rPr>
  </w:style>
  <w:style w:type="character" w:customStyle="1" w:styleId="51">
    <w:name w:val="SpecialCharTok"/>
    <w:basedOn w:val="40"/>
    <w:uiPriority w:val="0"/>
    <w:rPr>
      <w:color w:val="4070A0"/>
    </w:rPr>
  </w:style>
  <w:style w:type="character" w:customStyle="1" w:styleId="52">
    <w:name w:val="StringTok"/>
    <w:basedOn w:val="40"/>
    <w:uiPriority w:val="0"/>
    <w:rPr>
      <w:color w:val="4070A0"/>
    </w:rPr>
  </w:style>
  <w:style w:type="character" w:customStyle="1" w:styleId="53">
    <w:name w:val="VerbatimStringTok"/>
    <w:basedOn w:val="40"/>
    <w:uiPriority w:val="0"/>
    <w:rPr>
      <w:color w:val="4070A0"/>
    </w:rPr>
  </w:style>
  <w:style w:type="character" w:customStyle="1" w:styleId="54">
    <w:name w:val="SpecialStringTok"/>
    <w:basedOn w:val="40"/>
    <w:uiPriority w:val="0"/>
    <w:rPr>
      <w:color w:val="BB6688"/>
    </w:rPr>
  </w:style>
  <w:style w:type="character" w:customStyle="1" w:styleId="55">
    <w:name w:val="ImportTok"/>
    <w:basedOn w:val="40"/>
    <w:uiPriority w:val="0"/>
    <w:rPr>
      <w:b/>
      <w:color w:val="008000"/>
    </w:rPr>
  </w:style>
  <w:style w:type="character" w:customStyle="1" w:styleId="56">
    <w:name w:val="CommentTok"/>
    <w:basedOn w:val="40"/>
    <w:uiPriority w:val="0"/>
    <w:rPr>
      <w:i/>
      <w:color w:val="60A0B0"/>
    </w:rPr>
  </w:style>
  <w:style w:type="character" w:customStyle="1" w:styleId="57">
    <w:name w:val="DocumentationTok"/>
    <w:basedOn w:val="40"/>
    <w:uiPriority w:val="0"/>
    <w:rPr>
      <w:i/>
      <w:color w:val="BA2121"/>
    </w:rPr>
  </w:style>
  <w:style w:type="character" w:customStyle="1" w:styleId="58">
    <w:name w:val="AnnotationTok"/>
    <w:basedOn w:val="40"/>
    <w:uiPriority w:val="0"/>
    <w:rPr>
      <w:b/>
      <w:i/>
      <w:color w:val="60A0B0"/>
    </w:rPr>
  </w:style>
  <w:style w:type="character" w:customStyle="1" w:styleId="59">
    <w:name w:val="CommentVarTok"/>
    <w:basedOn w:val="40"/>
    <w:uiPriority w:val="0"/>
    <w:rPr>
      <w:b/>
      <w:i/>
      <w:color w:val="60A0B0"/>
    </w:rPr>
  </w:style>
  <w:style w:type="character" w:customStyle="1" w:styleId="60">
    <w:name w:val="OtherTok"/>
    <w:basedOn w:val="40"/>
    <w:uiPriority w:val="0"/>
    <w:rPr>
      <w:color w:val="007020"/>
    </w:rPr>
  </w:style>
  <w:style w:type="character" w:customStyle="1" w:styleId="61">
    <w:name w:val="FunctionTok"/>
    <w:basedOn w:val="40"/>
    <w:uiPriority w:val="0"/>
    <w:rPr>
      <w:color w:val="06287E"/>
    </w:rPr>
  </w:style>
  <w:style w:type="character" w:customStyle="1" w:styleId="62">
    <w:name w:val="VariableTok"/>
    <w:basedOn w:val="40"/>
    <w:uiPriority w:val="0"/>
    <w:rPr>
      <w:color w:val="19177C"/>
    </w:rPr>
  </w:style>
  <w:style w:type="character" w:customStyle="1" w:styleId="63">
    <w:name w:val="ControlFlowTok"/>
    <w:basedOn w:val="40"/>
    <w:uiPriority w:val="0"/>
    <w:rPr>
      <w:b/>
      <w:color w:val="007020"/>
    </w:rPr>
  </w:style>
  <w:style w:type="character" w:customStyle="1" w:styleId="64">
    <w:name w:val="OperatorTok"/>
    <w:basedOn w:val="40"/>
    <w:uiPriority w:val="0"/>
    <w:rPr>
      <w:color w:val="666666"/>
    </w:rPr>
  </w:style>
  <w:style w:type="character" w:customStyle="1" w:styleId="65">
    <w:name w:val="BuiltInTok"/>
    <w:basedOn w:val="40"/>
    <w:uiPriority w:val="0"/>
    <w:rPr>
      <w:color w:val="008000"/>
    </w:rPr>
  </w:style>
  <w:style w:type="character" w:customStyle="1" w:styleId="66">
    <w:name w:val="ExtensionTok"/>
    <w:basedOn w:val="40"/>
    <w:uiPriority w:val="0"/>
  </w:style>
  <w:style w:type="character" w:customStyle="1" w:styleId="67">
    <w:name w:val="PreprocessorTok"/>
    <w:basedOn w:val="40"/>
    <w:uiPriority w:val="0"/>
    <w:rPr>
      <w:color w:val="BC7A00"/>
    </w:rPr>
  </w:style>
  <w:style w:type="character" w:customStyle="1" w:styleId="68">
    <w:name w:val="AttributeTok"/>
    <w:basedOn w:val="40"/>
    <w:uiPriority w:val="0"/>
    <w:rPr>
      <w:color w:val="7D9029"/>
    </w:rPr>
  </w:style>
  <w:style w:type="character" w:customStyle="1" w:styleId="69">
    <w:name w:val="RegionMarkerTok"/>
    <w:basedOn w:val="40"/>
    <w:uiPriority w:val="0"/>
  </w:style>
  <w:style w:type="character" w:customStyle="1" w:styleId="70">
    <w:name w:val="InformationTok"/>
    <w:basedOn w:val="40"/>
    <w:uiPriority w:val="0"/>
    <w:rPr>
      <w:b/>
      <w:i/>
      <w:color w:val="60A0B0"/>
    </w:rPr>
  </w:style>
  <w:style w:type="character" w:customStyle="1" w:styleId="71">
    <w:name w:val="WarningTok"/>
    <w:basedOn w:val="40"/>
    <w:uiPriority w:val="0"/>
    <w:rPr>
      <w:b/>
      <w:i/>
      <w:color w:val="60A0B0"/>
    </w:rPr>
  </w:style>
  <w:style w:type="character" w:customStyle="1" w:styleId="72">
    <w:name w:val="AlertTok"/>
    <w:basedOn w:val="40"/>
    <w:uiPriority w:val="0"/>
    <w:rPr>
      <w:b/>
      <w:color w:val="FF0000"/>
    </w:rPr>
  </w:style>
  <w:style w:type="character" w:customStyle="1" w:styleId="73">
    <w:name w:val="ErrorTok"/>
    <w:basedOn w:val="40"/>
    <w:uiPriority w:val="0"/>
    <w:rPr>
      <w:b/>
      <w:color w:val="FF0000"/>
    </w:rPr>
  </w:style>
  <w:style w:type="character" w:customStyle="1" w:styleId="74">
    <w:name w:val="NormalTok"/>
    <w:basedOn w:val="40"/>
    <w:uiPriority w:val="0"/>
  </w:style>
  <w:style w:type="paragraph" w:customStyle="1" w:styleId="75">
    <w:name w:val="p1"/>
    <w:uiPriority w:val="0"/>
    <w:pPr>
      <w:spacing w:before="0" w:beforeAutospacing="0" w:after="0" w:afterAutospacing="0"/>
      <w:ind w:left="0" w:right="0"/>
      <w:jc w:val="left"/>
    </w:pPr>
    <w:rPr>
      <w:rFonts w:ascii="helvetica" w:hAnsi="helvetica" w:eastAsia="helvetica" w:cs="helvetica"/>
      <w:kern w:val="0"/>
      <w:sz w:val="13"/>
      <w:szCs w:val="13"/>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ma:contentTypeVersion="13" ma:contentTypeName="Document" ma:contentTypeID="0x010100734C327E1D630B43A90DD923508B2F3C" ct:_="" ma:_="" ma:contentTypeScope="" ma:contentTypeDescription="Create a new document." ma:versionID="f368681050d9776d49bd0035679b46b1">
  <xsd:schema xmlns:p="http://schemas.microsoft.com/office/2006/metadata/properties" xmlns:ns2="eb136987-0ce7-43b5-8142-c0365b7a6db0" xmlns:ns3="61bbe3a0-6a0c-4689-b86b-5906e8a28c82" xmlns:xs="http://www.w3.org/2001/XMLSchema" xmlns:xsd="http://www.w3.org/2001/XMLSchema" targetNamespace="http://schemas.microsoft.com/office/2006/metadata/properties" ma:fieldsID="42a6e6594559975f99069779532a468f" ma:root="true" ns2:_="" ns3:_="">
    <xsd:import namespace="eb136987-0ce7-43b5-8142-c0365b7a6db0"/>
    <xsd:import namespace="61bbe3a0-6a0c-4689-b86b-5906e8a28c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Satur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http://www.w3.org/2001/XMLSchema" xmlns:xsd="http://www.w3.org/2001/XMLSchema" xmlns:dms="http://schemas.microsoft.com/office/2006/documentManagement/types" xmlns:pc="http://schemas.microsoft.com/office/infopath/2007/PartnerControls" targetNamespace="eb136987-0ce7-43b5-8142-c0365b7a6db0" elementFormDefault="qualified">
    <xsd:import namespace="http://schemas.microsoft.com/office/2006/documentManagement/types"/>
    <xsd:import namespace="http://schemas.microsoft.com/office/infopath/2007/PartnerControls"/>
    <xsd:element ma:index="8" name="MediaServiceMetadata" ma:hidden="true" ma:displayName="MediaServiceMetadata" ma:internalName="MediaServiceMetadata" nillable="true" ma:readOnly="true">
      <xsd:simpleType>
        <xsd:restriction base="dms:Note"/>
      </xsd:simpleType>
    </xsd:element>
    <xsd:element ma:index="9" name="MediaServiceFastMetadata" ma:hidden="true" ma:displayName="MediaServiceFastMetadata" ma:internalName="MediaServiceFastMetadata" nillable="true" ma:readOnly="true">
      <xsd:simpleType>
        <xsd:restriction base="dms:Note"/>
      </xsd:simpleType>
    </xsd:element>
    <xsd:element ma:index="10" name="MediaServiceSearchProperties" ma:hidden="true" ma:displayName="MediaServiceSearchProperties" ma:internalName="MediaServiceSearchProperties" nillable="true" ma:readOnly="true">
      <xsd:simpleType>
        <xsd:restriction base="dms:Note"/>
      </xsd:simpleType>
    </xsd:element>
    <xsd:element ma:index="11" ma:format="Dropdown" name="Saturs" ma:displayName="Saturs" ma:internalName="Saturs" nillable="true">
      <xsd:simpleType>
        <xsd:restriction base="dms:Note">
          <xsd:maxLength value="255"/>
        </xsd:restriction>
      </xsd:simpleType>
    </xsd:element>
    <xsd:element ma:index="12" name="MediaServiceDateTaken" ma:hidden="true" ma:displayName="MediaServiceDateTaken" ma:internalName="MediaServiceDateTaken" ma:indexed="true" nillable="true" ma:readOnly="true">
      <xsd:simpleType>
        <xsd:restriction base="dms:Text"/>
      </xsd:simpleType>
    </xsd:element>
    <xsd:element ma:index="14" ma:taxonomy="true" ma:termSetId="09814cd3-568e-fe90-9814-8d621ff8fb84" name="lcf76f155ced4ddcb4097134ff3c332f" ma:taxonomyFieldName="MediaServiceImageTags" ma:displayName="Image Tags" ma:fieldId="{5cf76f15-5ced-4ddc-b409-7134ff3c332f}" ma:taxonomyMulti="true" ma:internalName="lcf76f155ced4ddcb4097134ff3c332f" nillable="true" ma:sspId="959f352f-d8f6-4acf-b6c1-206bfa35e575" ma:open="true" ma:anchorId="fba54fb3-c3e1-fe81-a776-ca4b69148c4d" ma:readOnly="false" ma:isKeyword="false">
      <xsd:complexType>
        <xsd:sequence>
          <xsd:element ref="pc:Terms" maxOccurs="1" minOccurs="0"/>
        </xsd:sequence>
      </xsd:complexType>
    </xsd:element>
    <xsd:element ma:index="16" name="MediaServiceGenerationTime" ma:hidden="true" ma:displayName="MediaServiceGenerationTime" ma:internalName="MediaServiceGenerationTime" nillable="true" ma:readOnly="true">
      <xsd:simpleType>
        <xsd:restriction base="dms:Text"/>
      </xsd:simpleType>
    </xsd:element>
    <xsd:element ma:index="17" name="MediaServiceEventHashCode" ma:hidden="true" ma:displayName="MediaServiceEventHashCode" ma:internalName="MediaServiceEventHashCode" nillable="true" ma:readOnly="true">
      <xsd:simpleType>
        <xsd:restriction base="dms:Text"/>
      </xsd:simpleType>
    </xsd:element>
    <xsd:element ma:index="18" name="MediaServiceOCR" ma:displayName="Extracted Text" ma:internalName="MediaServiceOCR" nillable="true" ma:readOnly="true">
      <xsd:simpleType>
        <xsd:restriction base="dms:Note">
          <xsd:maxLength value="255"/>
        </xsd:restriction>
      </xsd:simpleType>
    </xsd:element>
    <xsd:element ma:index="19" name="MediaServiceLocation" ma:displayName="Location" ma:internalName="MediaServiceLocation" ma:indexed="true" nillable="true" ma:readOnly="true">
      <xsd:simpleType>
        <xsd:restriction base="dms:Text"/>
      </xsd:simpleType>
    </xsd:element>
    <xsd:element ma:index="20" name="MediaLengthInSeconds" ma:hidden="true" ma:displayName="MediaLengthInSeconds" ma:internalName="MediaLengthInSeconds" nillable="true" ma:readOnly="true">
      <xsd:simpleType>
        <xsd:restriction base="dms:Unknown"/>
      </xsd:simpleType>
    </xsd:element>
  </xsd:schema>
  <xsd:schema xmlns:xs="http://www.w3.org/2001/XMLSchema" xmlns:xsd="http://www.w3.org/2001/XMLSchema" xmlns:dms="http://schemas.microsoft.com/office/2006/documentManagement/types" xmlns:pc="http://schemas.microsoft.com/office/infopath/2007/PartnerControls" targetNamespace="61bbe3a0-6a0c-4689-b86b-5906e8a28c82" elementFormDefault="qualified">
    <xsd:import namespace="http://schemas.microsoft.com/office/2006/documentManagement/types"/>
    <xsd:import namespace="http://schemas.microsoft.com/office/infopath/2007/PartnerControls"/>
    <xsd:element ma:index="15" name="TaxCatchAll" ma:hidden="true" ma:displayName="Taxonomy Catch All Column" ma:internalName="TaxCatchAll" nillable="true" ma:list="{d5409b14-f4be-4e93-b933-320bf18314eb}" ma:showField="CatchAllData" ma:web="61bbe3a0-6a0c-4689-b86b-5906e8a28c82">
      <xsd:complexType>
        <xsd:complexContent>
          <xsd:extension base="dms:MultiChoiceLookup">
            <xsd:sequence>
              <xsd:element name="Value" maxOccurs="unbounded" nillable="true" minOccurs="0" type="dms:Lookup"/>
            </xsd:sequence>
          </xsd:extension>
        </xsd:complexContent>
      </xsd:complexType>
    </xsd:element>
  </xsd:schema>
  <xsd:schema xmlns:dc="http://purl.org/dc/elements/1.1/" xmlns="http://schemas.openxmlformats.org/package/2006/metadata/core-properties" xmlns:dcterms="http://purl.org/dc/terms/" xmlns:xsd="http://www.w3.org/2001/XMLSchema" xmlns:odoc="http://schemas.microsoft.com/internal/obd" xmlns:xsi="http://www.w3.org/2001/XMLSchema-instance" targetNamespace="http://schemas.openxmlformats.org/package/2006/metadata/core-properties" attributeFormDefault="unqualified" blockDefault="#all" elementFormDefault="qualified">
    <xsd:import schemaLocation="http://dublincore.org/schemas/xmls/qdc/2003/04/02/dc.xsd" namespace="http://purl.org/dc/elements/1.1/"/>
    <xsd:import schemaLocation="http://dublincore.org/schemas/xmls/qdc/2003/04/02/dcterms.xsd" namespace="http://purl.org/dc/terms/"/>
    <xsd:element name="coreProperties" type="CT_coreProperties"/>
    <xsd:complexType name="CT_coreProperties">
      <xsd:all>
        <xsd:element ref="dc:creator" maxOccurs="1" minOccurs="0"/>
        <xsd:element ref="dcterms:created" maxOccurs="1" minOccurs="0"/>
        <xsd:element ref="dc:identifier" maxOccurs="1" minOccurs="0"/>
        <xsd:element ma:index="0" name="contentType" ma:displayName="Content Type" maxOccurs="1" minOccurs="0" type="xsd:string"/>
        <xsd:element ma:index="4" ref="dc:title" ma:displayName="Title" maxOccurs="1" minOccurs="0"/>
        <xsd:element ref="dc:subject" maxOccurs="1" minOccurs="0"/>
        <xsd:element ref="dc:description" maxOccurs="1" minOccurs="0"/>
        <xsd:element name="keywords" maxOccurs="1" minOccurs="0" type="xsd:string"/>
        <xsd:element ref="dc:language" maxOccurs="1" minOccurs="0"/>
        <xsd:element name="category" maxOccurs="1" minOccurs="0" type="xsd:string"/>
        <xsd:element name="version" maxOccurs="1" minOccurs="0" type="xsd:string"/>
        <xsd:element name="revision" maxOccurs="1" minOccurs="0" type="xsd:string">
          <xsd:annotation>
            <xsd:documentation>
                        This value indicates the number of saves or revisions. The application is responsible for updating this value after each revision.
                    </xsd:documentation>
          </xsd:annotation>
        </xsd:element>
        <xsd:element name="lastModifiedBy" maxOccurs="1" minOccurs="0" type="xsd:string"/>
        <xsd:element ref="dcterms:modified" maxOccurs="1" minOccurs="0"/>
        <xsd:element name="contentStatus" maxOccurs="1" minOccurs="0" type="xsd:string"/>
      </xsd:all>
    </xsd:complexType>
  </xsd:schema>
  <xs:schema xmlns:xs="http://www.w3.org/2001/XMLSchema" xmlns:pc="http://schemas.microsoft.com/office/infopath/2007/PartnerControls" targetNamespace="http://schemas.microsoft.com/office/infopath/2007/PartnerControls" attributeFormDefault="unqualified" elementFormDefault="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axOccurs="unbounded" minOccurs="0"/>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axOccurs="unbounded" minOccurs="0"/>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aturs xmlns="eb136987-0ce7-43b5-8142-c0365b7a6db0" xsi:nil="true"/>
    <lcf76f155ced4ddcb4097134ff3c332f xmlns="eb136987-0ce7-43b5-8142-c0365b7a6db0">
      <Terms xmlns="http://schemas.microsoft.com/office/infopath/2007/PartnerControls"/>
    </lcf76f155ced4ddcb4097134ff3c332f>
    <TaxCatchAll xmlns="61bbe3a0-6a0c-4689-b86b-5906e8a28c82" xsi:nil="tru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FB3090-A506-47E4-A766-5777EBBAECA9}">
  <ds:schemaRefs/>
</ds:datastoreItem>
</file>

<file path=customXml/itemProps3.xml><?xml version="1.0" encoding="utf-8"?>
<ds:datastoreItem xmlns:ds="http://schemas.openxmlformats.org/officeDocument/2006/customXml" ds:itemID="{9B6CB00C-F72E-4145-8E94-C7914BCC5506}">
  <ds:schemaRefs/>
</ds:datastoreItem>
</file>

<file path=customXml/itemProps4.xml><?xml version="1.0" encoding="utf-8"?>
<ds:datastoreItem xmlns:ds="http://schemas.openxmlformats.org/officeDocument/2006/customXml" ds:itemID="{8705AD8D-42CD-4786-ACA6-D8DD2B4FD4E9}">
  <ds:schemaRefs/>
</ds:datastoreItem>
</file>

<file path=docProps/app.xml><?xml version="1.0" encoding="utf-8"?>
<Properties xmlns="http://schemas.openxmlformats.org/officeDocument/2006/extended-properties" xmlns:vt="http://schemas.openxmlformats.org/officeDocument/2006/docPropsVTypes">
  <Template>Normal.dotm</Template>
  <Pages>32</Pages>
  <TotalTime>6</TotalTime>
  <ScaleCrop>false</ScaleCrop>
  <LinksUpToDate>false</LinksUpToDate>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2026-09-12T08:13:00Z</dcterms:created>
  <dc:creator>Justs Jēkabs Berks</dc:creator>
  <cp:lastModifiedBy>Justs Jēkabs Berks</cp:lastModifiedBy>
  <dcterms:modified xsi:type="dcterms:W3CDTF">2026-09-11T18:49:25Z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1033-12.1.28492.28492</vt:lpwstr>
  </property>
  <property fmtid="{D5CDD505-2E9C-101B-9397-08002B2CF9AE}" pid="3" name="ICV">
    <vt:lpwstr>26E5ABCD057743181804A46AFEAFD635_43</vt:lpwstr>
  </property>
  <property fmtid="{D5CDD505-2E9C-101B-9397-08002B2CF9AE}" pid="4" name="ContentTypeId">
    <vt:lpwstr>0x010100734C327E1D630B43A90DD923508B2F3C</vt:lpwstr>
  </property>
  <property fmtid="{D5CDD505-2E9C-101B-9397-08002B2CF9AE}" pid="5" name="MediaServiceImageTags">
    <vt:lpwstr/>
  </property>
</Properties>
</file>